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utl-20260630.htm"/>
        <w:bookmarkStart w:id="1" w:name="ksutl20260630"/>
        <w:bookmarkEnd w:id="0"/>
        <w:bookmarkEnd w:id="1"/>
        <w:r>
          <w:rPr>
            <w:rStyle w:val="InternetLink"/>
            <w:rFonts w:ascii="Times New Roman" w:hAnsi="Times New Roman"/>
            <w:b/>
            <w:color w:val="0000FF"/>
            <w:sz w:val="20"/>
            <w:u w:val="single"/>
          </w:rPr>
          <w:t>Table of Contents</w:t>
        </w:r>
      </w:hyperlink>
    </w:p>
    <w:p>
      <w:pPr>
        <w:pStyle w:val="TextBody"/>
        <w:pBdr>
          <w:top w:val="doub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sz w:val="20"/>
        </w:rPr>
      </w:pPr>
      <w:bookmarkStart w:id="2" w:name="toc"/>
      <w:bookmarkEnd w:id="2"/>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3"/>
        </w:rPr>
        <w:t>WASHINGTON, D.C. 20549</w:t>
      </w:r>
      <w:r>
        <w:rPr>
          <w:rFonts w:ascii="Times New Roman" w:hAnsi="Times New Roman"/>
          <w:color w:val="000000"/>
          <w:sz w:val="20"/>
        </w:rPr>
        <w:t xml:space="preserve"> </w:t>
      </w:r>
    </w:p>
    <w:p>
      <w:pPr>
        <w:pStyle w:val="TextBody"/>
        <w:pBdr>
          <w:bottom w:val="single" w:sz="8" w:space="1" w:color="000000"/>
        </w:pBdr>
        <w:bidi w:val="0"/>
        <w:spacing w:before="60" w:after="283"/>
        <w:ind w:left="4320" w:right="4320" w:hanging="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47"/>
        </w:rPr>
        <w:t>FORM 10-Q</w:t>
      </w:r>
      <w:r>
        <w:rPr>
          <w:rFonts w:ascii="Times New Roman" w:hAnsi="Times New Roman"/>
          <w:color w:val="000000"/>
          <w:sz w:val="20"/>
        </w:rPr>
        <w:t xml:space="preserve"> </w:t>
      </w:r>
    </w:p>
    <w:p>
      <w:pPr>
        <w:pStyle w:val="TextBody"/>
        <w:pBdr>
          <w:bottom w:val="single" w:sz="8" w:space="1" w:color="000000"/>
        </w:pBdr>
        <w:bidi w:val="0"/>
        <w:spacing w:before="60" w:after="283"/>
        <w:ind w:left="4320" w:right="4320" w:hanging="0"/>
        <w:jc w:val="center"/>
        <w:rPr/>
      </w:pPr>
      <w:r>
        <w:rPr/>
        <w:t> </w:t>
      </w:r>
    </w:p>
    <w:p>
      <w:pPr>
        <w:pStyle w:val="TextBody"/>
        <w:pBdr/>
        <w:bidi w:val="0"/>
        <w:spacing w:before="60" w:after="283"/>
        <w:ind w:left="0" w:right="0" w:hanging="490"/>
        <w:jc w:val="left"/>
        <w:rPr/>
      </w:pPr>
      <w:r>
        <w:rPr>
          <w:color w:val="000000"/>
        </w:rPr>
        <w:t xml:space="preserve">☒ </w:t>
      </w:r>
      <w:r>
        <w:rPr>
          <w:rFonts w:ascii="Times New Roman" w:hAnsi="Times New Roman"/>
          <w:b/>
          <w:color w:val="000000"/>
          <w:sz w:val="23"/>
        </w:rPr>
        <w:t>QUARTERLY REPORT UNDER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9"/>
        </w:rPr>
        <w:t>For the quarterly period ended June 30, 2026</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9"/>
        </w:rPr>
        <w:t>or</w:t>
      </w:r>
      <w:r>
        <w:rPr>
          <w:rFonts w:ascii="Times New Roman" w:hAnsi="Times New Roman"/>
          <w:color w:val="000000"/>
          <w:sz w:val="20"/>
        </w:rPr>
        <w:t xml:space="preserve"> </w:t>
      </w:r>
    </w:p>
    <w:p>
      <w:pPr>
        <w:pStyle w:val="TextBody"/>
        <w:pBdr/>
        <w:bidi w:val="0"/>
        <w:spacing w:before="60" w:after="283"/>
        <w:ind w:left="0" w:right="0" w:hanging="490"/>
        <w:jc w:val="left"/>
        <w:rPr/>
      </w:pPr>
      <w:r>
        <w:rPr>
          <w:color w:val="000000"/>
        </w:rPr>
        <w:t xml:space="preserve">☐ </w:t>
      </w:r>
      <w:r>
        <w:rPr>
          <w:rFonts w:ascii="Times New Roman" w:hAnsi="Times New Roman"/>
          <w:b/>
          <w:color w:val="000000"/>
          <w:sz w:val="23"/>
        </w:rPr>
        <w:t>TRANSITION REPORT 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9"/>
        </w:rPr>
        <w:t xml:space="preserve">Commission File Number </w:t>
      </w:r>
      <w:r>
        <w:rPr>
          <w:rFonts w:ascii="Times New Roman" w:hAnsi="Times New Roman"/>
          <w:b/>
          <w:color w:val="000000"/>
          <w:sz w:val="19"/>
          <w:u w:val="single"/>
        </w:rPr>
        <w:t>1-8858</w:t>
      </w:r>
      <w:r>
        <w:rPr>
          <w:rFonts w:ascii="Times New Roman" w:hAnsi="Times New Roman"/>
          <w:color w:val="000000"/>
          <w:sz w:val="20"/>
        </w:rPr>
        <w:t xml:space="preserve"> </w:t>
      </w:r>
    </w:p>
    <w:p>
      <w:pPr>
        <w:pStyle w:val="TextBody"/>
        <w:pBdr>
          <w:bottom w:val="single" w:sz="8" w:space="1" w:color="000000"/>
        </w:pBdr>
        <w:bidi w:val="0"/>
        <w:spacing w:before="60" w:after="283"/>
        <w:ind w:left="4320" w:right="4320" w:hanging="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47"/>
        </w:rPr>
        <w:t>UNITIL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New Hampshire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02-0381573</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5342" w:type="dxa"/>
        <w:jc w:val="left"/>
        <w:tblInd w:w="0" w:type="dxa"/>
        <w:tblLayout w:type="fixed"/>
        <w:tblCellMar>
          <w:top w:w="28" w:type="dxa"/>
          <w:left w:w="28" w:type="dxa"/>
          <w:bottom w:w="28" w:type="dxa"/>
          <w:right w:w="28" w:type="dxa"/>
        </w:tblCellMar>
      </w:tblPr>
      <w:tblGrid>
        <w:gridCol w:w="4186"/>
        <w:gridCol w:w="1156"/>
      </w:tblGrid>
      <w:tr>
        <w:trPr/>
        <w:tc>
          <w:tcPr>
            <w:tcW w:w="418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9"/>
              </w:rPr>
            </w:pPr>
            <w:r>
              <w:rPr>
                <w:rFonts w:ascii="Times New Roman" w:hAnsi="Times New Roman"/>
                <w:b/>
                <w:color w:val="000000"/>
                <w:sz w:val="19"/>
              </w:rPr>
              <w:t>6 Liberty Lane West, Hampton, New Hampshire</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03842-1720</w:t>
            </w:r>
          </w:p>
        </w:tc>
      </w:tr>
      <w:tr>
        <w:trPr/>
        <w:tc>
          <w:tcPr>
            <w:tcW w:w="418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(Address of principal executive office)</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9"/>
        </w:rPr>
        <w:t>Registrant’s telephone number, including area code: (603) 772-0775</w:t>
      </w:r>
      <w:r>
        <w:rPr>
          <w:rFonts w:ascii="Times New Roman" w:hAnsi="Times New Roman"/>
          <w:color w:val="000000"/>
          <w:sz w:val="20"/>
        </w:rPr>
        <w:t xml:space="preserve"> </w:t>
      </w:r>
    </w:p>
    <w:p>
      <w:pPr>
        <w:pStyle w:val="TextBody"/>
        <w:pBdr>
          <w:bottom w:val="single" w:sz="6" w:space="1" w:color="000000"/>
        </w:pBdr>
        <w:bidi w:val="0"/>
        <w:spacing w:before="60" w:after="283"/>
        <w:ind w:left="4176" w:right="4176" w:hanging="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28" w:type="dxa"/>
        <w:jc w:val="left"/>
        <w:tblInd w:w="0" w:type="dxa"/>
        <w:tblLayout w:type="fixed"/>
        <w:tblCellMar>
          <w:top w:w="28" w:type="dxa"/>
          <w:left w:w="28" w:type="dxa"/>
          <w:bottom w:w="28" w:type="dxa"/>
          <w:right w:w="28" w:type="dxa"/>
        </w:tblCellMar>
      </w:tblPr>
      <w:tblGrid>
        <w:gridCol w:w="2566"/>
        <w:gridCol w:w="1276"/>
        <w:gridCol w:w="3286"/>
      </w:tblGrid>
      <w:tr>
        <w:trPr/>
        <w:tc>
          <w:tcPr>
            <w:tcW w:w="256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286" w:type="dxa"/>
            <w:tcBorders/>
            <w:shd w:fill="FFFFFF" w:val="clear"/>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of which registered</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Common Stock, no par value</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UTL</w:t>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New York Stock Exchange</w:t>
            </w:r>
          </w:p>
        </w:tc>
      </w:tr>
    </w:tbl>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the number of shares outstanding of each of the issuer’s classes of common stock, as of the latest practicable date.</w:t>
      </w:r>
      <w:r>
        <w:rPr>
          <w:rFonts w:ascii="Times New Roman" w:hAnsi="Times New Roman"/>
          <w:color w:val="000000"/>
          <w:sz w:val="20"/>
        </w:rPr>
        <w:t xml:space="preserve"> </w:t>
      </w:r>
    </w:p>
    <w:p>
      <w:pPr>
        <w:pStyle w:val="TextBody"/>
        <w:bidi w:val="0"/>
        <w:jc w:val="left"/>
        <w:rPr/>
      </w:pPr>
      <w:r>
        <w:rPr/>
        <w:t> </w:t>
      </w:r>
    </w:p>
    <w:tbl>
      <w:tblPr>
        <w:tblW w:w="4322" w:type="dxa"/>
        <w:jc w:val="left"/>
        <w:tblInd w:w="0" w:type="dxa"/>
        <w:tblLayout w:type="fixed"/>
        <w:tblCellMar>
          <w:top w:w="28" w:type="dxa"/>
          <w:left w:w="28" w:type="dxa"/>
          <w:bottom w:w="28" w:type="dxa"/>
          <w:right w:w="28" w:type="dxa"/>
        </w:tblCellMar>
      </w:tblPr>
      <w:tblGrid>
        <w:gridCol w:w="2161"/>
        <w:gridCol w:w="216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216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Class</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Outstanding at July 31, 2026</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18,236,674</w:t>
            </w:r>
            <w:r>
              <w:rPr>
                <w:rFonts w:ascii="Times New Roman" w:hAnsi="Times New Roman"/>
                <w:color w:val="000000"/>
                <w:sz w:val="20"/>
              </w:rPr>
              <w:t> </w:t>
            </w:r>
            <w:r>
              <w:rPr>
                <w:rFonts w:ascii="Times New Roman" w:hAnsi="Times New Roman"/>
                <w:color w:val="000000"/>
                <w:sz w:val="16"/>
              </w:rPr>
              <w:t>Shares</w:t>
            </w:r>
          </w:p>
        </w:tc>
      </w:tr>
    </w:tbl>
    <w:p>
      <w:pPr>
        <w:pStyle w:val="TextBody"/>
        <w:bidi w:val="0"/>
        <w:jc w:val="left"/>
        <w:rPr/>
      </w:pPr>
      <w:r>
        <w:rPr/>
        <w:t> </w:t>
      </w:r>
    </w:p>
    <w:p>
      <w:pPr>
        <w:pStyle w:val="TextBody"/>
        <w:pBdr>
          <w:top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sz w:val="20"/>
        </w:rPr>
      </w:pPr>
      <w:r>
        <w:rPr>
          <w:rFonts w:ascii="Times New Roman" w:hAnsi="Times New Roman"/>
          <w:b/>
          <w:color w:val="000000"/>
          <w:sz w:val="20"/>
        </w:rPr>
        <w:t>UNITIL CORPORATION AND SUBSIDIARY COMPANIES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Quarter Ended June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 w:name="toc_page"/>
      <w:bookmarkEnd w:id="3"/>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8"/>
        <w:gridCol w:w="8095"/>
        <w:gridCol w:w="1172"/>
      </w:tblGrid>
      <w:tr>
        <w:trPr/>
        <w:tc>
          <w:tcPr>
            <w:tcW w:w="938" w:type="dxa"/>
            <w:tcBorders/>
            <w:shd w:fill="FFFFFF" w:val="clear"/>
            <w:vAlign w:val="center"/>
          </w:tcPr>
          <w:p>
            <w:pPr>
              <w:pStyle w:val="TableContents"/>
              <w:bidi w:val="0"/>
              <w:spacing w:before="0" w:after="283"/>
              <w:jc w:val="left"/>
              <w:rPr>
                <w:sz w:val="4"/>
                <w:szCs w:val="4"/>
              </w:rPr>
            </w:pPr>
            <w:r>
              <w:rPr>
                <w:sz w:val="4"/>
                <w:szCs w:val="4"/>
              </w:rPr>
            </w:r>
          </w:p>
        </w:tc>
        <w:tc>
          <w:tcPr>
            <w:tcW w:w="8095" w:type="dxa"/>
            <w:tcBorders/>
            <w:shd w:fill="FFFFFF" w:val="clear"/>
            <w:vAlign w:val="center"/>
          </w:tcPr>
          <w:p>
            <w:pPr>
              <w:pStyle w:val="TableContents"/>
              <w:bidi w:val="0"/>
              <w:spacing w:before="0" w:after="283"/>
              <w:jc w:val="left"/>
              <w:rPr>
                <w:sz w:val="4"/>
                <w:szCs w:val="4"/>
              </w:rPr>
            </w:pPr>
            <w:r>
              <w:rPr>
                <w:sz w:val="4"/>
                <w:szCs w:val="4"/>
              </w:rPr>
            </w:r>
          </w:p>
        </w:tc>
        <w:tc>
          <w:tcPr>
            <w:tcW w:w="1172" w:type="dxa"/>
            <w:tcBorders/>
            <w:shd w:fill="FFFFFF" w:val="clear"/>
            <w:vAlign w:val="center"/>
          </w:tcPr>
          <w:p>
            <w:pPr>
              <w:pStyle w:val="TableContents"/>
              <w:bidi w:val="0"/>
              <w:spacing w:before="0" w:after="283"/>
              <w:jc w:val="left"/>
              <w:rPr>
                <w:sz w:val="4"/>
                <w:szCs w:val="4"/>
              </w:rPr>
            </w:pPr>
            <w:r>
              <w:rPr>
                <w:sz w:val="4"/>
                <w:szCs w:val="4"/>
              </w:rPr>
            </w:r>
          </w:p>
        </w:tc>
      </w:tr>
      <w:tr>
        <w:trPr/>
        <w:tc>
          <w:tcPr>
            <w:tcW w:w="903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 No.</w:t>
            </w:r>
          </w:p>
        </w:tc>
      </w:tr>
      <w:tr>
        <w:trPr/>
        <w:tc>
          <w:tcPr>
            <w:tcW w:w="9033"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autionary_statement">
              <w:r>
                <w:rPr>
                  <w:rStyle w:val="InternetLink"/>
                  <w:rFonts w:ascii="Times New Roman" w:hAnsi="Times New Roman"/>
                  <w:b/>
                  <w:color w:val="0000FF"/>
                  <w:sz w:val="20"/>
                  <w:u w:val="single"/>
                </w:rPr>
                <w:t>Cautionary Statement</w:t>
              </w:r>
            </w:hyperlink>
            <w:hyperlink w:anchor="cautionary_statement">
              <w:r>
                <w:rPr>
                  <w:rStyle w:val="InternetLink"/>
                  <w:rFonts w:ascii="Times New Roman" w:hAnsi="Times New Roman"/>
                  <w:color w:val="0000FF"/>
                  <w:sz w:val="20"/>
                </w:rPr>
                <w:t xml:space="preserve"> </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r>
      <w:tr>
        <w:trPr/>
        <w:tc>
          <w:tcPr>
            <w:tcW w:w="90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9033"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Part I. Financial Information</w:t>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ind w:left="0" w:right="0" w:firstLine="48"/>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Item 1.</w:t>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Financial Statements—Unaudited</w:t>
            </w:r>
          </w:p>
        </w:tc>
        <w:tc>
          <w:tcPr>
            <w:tcW w:w="117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earnings">
              <w:r>
                <w:rPr>
                  <w:rStyle w:val="InternetLink"/>
                  <w:rFonts w:ascii="Times New Roman" w:hAnsi="Times New Roman"/>
                  <w:color w:val="0000FF"/>
                  <w:sz w:val="20"/>
                  <w:u w:val="single"/>
                </w:rPr>
                <w:t>Consolidated Statements of Earnings—Three and Six Months Ended June 30, 2026 and 2025</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
              </w:rPr>
              <w:t>4</w:t>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Consolidated Balance Sheets—June 30, 2026, June 30, 2025 and December 31, 2025</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17-18</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ash_flows">
              <w:r>
                <w:rPr>
                  <w:rStyle w:val="InternetLink"/>
                  <w:rFonts w:ascii="Times New Roman" w:hAnsi="Times New Roman"/>
                  <w:color w:val="0000FF"/>
                  <w:sz w:val="20"/>
                  <w:u w:val="single"/>
                </w:rPr>
                <w:t>Consolidated Statements of Cash Flows—Six Months Ended June 30, 2026 and 2025</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f_changes_in_co">
              <w:r>
                <w:rPr>
                  <w:rStyle w:val="InternetLink"/>
                  <w:rFonts w:ascii="Times New Roman" w:hAnsi="Times New Roman"/>
                  <w:color w:val="0000FF"/>
                  <w:sz w:val="20"/>
                  <w:u w:val="single"/>
                </w:rPr>
                <w:t>Consolidated Statements of Changes in Common Stock Equity – Three and Six Months Ended June 30, 2026 and 2025</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20</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21-49</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Item 2.</w:t>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managements_discussion">
              <w:r>
                <w:rPr>
                  <w:rStyle w:val="InternetLink"/>
                  <w:rFonts w:ascii="Times New Roman" w:hAnsi="Times New Roman"/>
                  <w:color w:val="0000FF"/>
                  <w:sz w:val="20"/>
                  <w:u w:val="single"/>
                </w:rPr>
                <w:t>Management’s Discussion and Analysis (MD&amp;A) of Financial Condition and Results of Operations</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3-15</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Item 3.</w:t>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50</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Item 4.</w:t>
            </w:r>
          </w:p>
        </w:tc>
        <w:tc>
          <w:tcPr>
            <w:tcW w:w="8095"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trols_and_procedures">
              <w:r>
                <w:rPr>
                  <w:rStyle w:val="InternetLink"/>
                  <w:rFonts w:ascii="Times New Roman" w:hAnsi="Times New Roman"/>
                  <w:color w:val="0000FF"/>
                  <w:sz w:val="20"/>
                  <w:u w:val="single"/>
                </w:rPr>
                <w:t>Controls and Procedures</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50</w:t>
            </w:r>
          </w:p>
        </w:tc>
      </w:tr>
      <w:tr>
        <w:trPr/>
        <w:tc>
          <w:tcPr>
            <w:tcW w:w="90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9033"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Part II. Other Information</w:t>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1.</w:t>
            </w:r>
          </w:p>
        </w:tc>
        <w:tc>
          <w:tcPr>
            <w:tcW w:w="8095"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50</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Item 1A.</w:t>
            </w:r>
          </w:p>
        </w:tc>
        <w:tc>
          <w:tcPr>
            <w:tcW w:w="8095"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50</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2.</w:t>
            </w:r>
          </w:p>
        </w:tc>
        <w:tc>
          <w:tcPr>
            <w:tcW w:w="8095"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50</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3.</w:t>
            </w:r>
          </w:p>
        </w:tc>
        <w:tc>
          <w:tcPr>
            <w:tcW w:w="8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Defaults Upon Senior Securities</w:t>
            </w:r>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Inapplicable</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4.</w:t>
            </w:r>
          </w:p>
        </w:tc>
        <w:tc>
          <w:tcPr>
            <w:tcW w:w="80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 Safety Disclosures</w:t>
            </w:r>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Inapplicable</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5.</w:t>
            </w:r>
          </w:p>
        </w:tc>
        <w:tc>
          <w:tcPr>
            <w:tcW w:w="8095"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50</w:t>
            </w:r>
          </w:p>
        </w:tc>
      </w:tr>
      <w:tr>
        <w:trPr/>
        <w:tc>
          <w:tcPr>
            <w:tcW w:w="9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Item 6.</w:t>
            </w:r>
          </w:p>
        </w:tc>
        <w:tc>
          <w:tcPr>
            <w:tcW w:w="8095" w:type="dxa"/>
            <w:tcBorders/>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51-52</w:t>
            </w:r>
          </w:p>
        </w:tc>
      </w:tr>
      <w:tr>
        <w:trPr/>
        <w:tc>
          <w:tcPr>
            <w:tcW w:w="903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17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bookmarkStart w:id="4" w:name="tx351754_1"/>
      <w:bookmarkEnd w:id="4"/>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Quarterly Report on Form 10-Q, the “Company”, “Unitil”, “we”, “us”, “our” and similar terms refer to Unitil Corporation and its subsidiaries, unless the context requires otherwise.</w:t>
      </w:r>
    </w:p>
    <w:p>
      <w:pPr>
        <w:pStyle w:val="TextBody"/>
        <w:bidi w:val="0"/>
        <w:jc w:val="left"/>
        <w:rPr/>
      </w:pPr>
      <w:r>
        <w:rPr/>
        <w:t> </w:t>
      </w:r>
    </w:p>
    <w:p>
      <w:pPr>
        <w:pStyle w:val="TextBody"/>
        <w:bidi w:val="0"/>
        <w:jc w:val="left"/>
        <w:rPr>
          <w:rFonts w:ascii="Times New Roman" w:hAnsi="Times New Roman"/>
          <w:sz w:val="20"/>
        </w:rPr>
      </w:pPr>
      <w:bookmarkStart w:id="5" w:name="cautionary_statement"/>
      <w:bookmarkEnd w:id="5"/>
      <w:r>
        <w:rPr>
          <w:rFonts w:ascii="Times New Roman" w:hAnsi="Times New Roman"/>
          <w:b/>
          <w:caps/>
          <w:color w:val="000000"/>
          <w:sz w:val="20"/>
        </w:rPr>
        <w:t>Cautionary Statement</w:t>
      </w:r>
      <w:r>
        <w:rPr>
          <w:rFonts w:ascii="Times New Roman" w:hAnsi="Times New Roman"/>
          <w:caps/>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and the documents incorporated by reference into this report contain statements that constitute “forward-looking statements” within the meaning of Section 27A of the Securities Act of 1933, as amended (the Securities Act), Section 21E of the Securities Exchange Act of 1934, as amended (the Exchange Act), and the Private Securities Litigation Reform Act of 1995. All statements, other than statements of historical fact, included or incorporated by reference into this report, including, without limitation, statements regarding the financial position, business strategy and other plans and objectives for the future operations of the Company, are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statements include declarations regarding the Company’s beliefs and current expectations. In some cases, forward-looking statements can be identified by terminology such as “may,” “will,” “should,” “expects,” “plans,” “anticipates,” “believes,” “estimates,” “predicts,” “potential” or “continue” or the negative of such terms or other comparable terminology. These forward-looking statements are subject to inherent risks and uncertainties in predicting future results and conditions that could cause the actual results to differ materially from those projected in these forward-looking statements. Some, but not all, of the risks and uncertainties include those described in Part II, Item 1A (Risk Factors) and the following: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hazards and operating risks relating to the Company’s electric, natural gas and water distribution activities, which could result in accidents and other operating risks and costs;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supply of, demand for, and the prices of, electric and natural gas energy commodities and transmission and transportation capacity and the Company’s ability to recover energy supply costs in its rates;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catastrophic events;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acts of terrorism, acts of war, severe weather, a solar event, an electromagnetic event, a natural disaster, the age and condition of information technology assets, human error, or other factors could disrupt the Company’s operations and cause the Company to incur unanticipated losses and expense;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outsourcing of services to third parties could expose the Company to substandard quality of service delivery or substandard deliverables, which may result in missed deadlines or other timeliness issues, non-compliance (including with applicable legal requirements and industry standards) or reputational harm, which could negatively affect the Company's results of operations;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or changing circumstances, which could adversely affect the reduction of Company-wide direct greenhouse gas emissions;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regulatory and legislative environment (including laws and regulations relating to climate change, greenhouse gas emissions and other environmental matters) could affect the rates the Company is able to charge, the Company’s authorized rate of return, the Company’s ability to recover costs in its rates, the Company’s financial condition, results of operations and cash flows, and the scope of the Company’s regulated activities;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conditions, which could adversely affect (i) the Company’s customers and, consequently, the demand for the Company’s distribution services, (ii) the availability of credit and liquidity resources, and (iii) certain of the Company’s counterparty’s obligations (including those of its insurers and lenders);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obtain debt or equity financing on acceptable terms;</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interest rates, which could increase the Company’s interest expense;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payment of dividends in the future;</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declines in capital market valuations, which could require the Company to make substantial cash contributions to cover its pension obligations, and the Company’s ability to recover pension obligation costs in its rates;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consummate acquisitions or other strategic transactions, to successfully integrate any acquired assets or business, or derive value from strategic transactions and investment, including but not limited to the completed acquisitions of Bangor Natural Gas Company, Maine Natural Gas Corporation, Aquarion Water Company of New Hampshire, Inc. and Abenaki Water Co., Inc.;</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the Company's assets (including long-lived assets and goodwill), could negatively impact the Company's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restrictive covenants contained in the terms of the Company’s and its subsidiaries’ indebtedness, which restrict certain aspects of the Company’s business operations;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customers’ preferred energy sources;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severe storms and the Company’s ability to recover storm costs in its rates;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weather, which could decrease demand for the Company’s distribution services;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global climate change, which could adversely affect customer demand or cause extreme weather events that could disrupt the Company’s electric, natural gas and water distribution services;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events, including the imposition of tariffs;</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workforce factors, including the ability to attract and retain key personnel;</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ability to retain its existing customers and attract new customers;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water the Company supplies is subject to environmental, water quality and health and safety laws and regulations, including contaminants of emerging concern, compliance with which could impact the Company's operating costs and capital expenditures, and violations of which could subject the Company to costs, damage to the Company reputation or regulatory action, and contamination events may lead to service limitations, reduced usage or litigation;</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restrictions on water supplies may adversely affect the Company's access to sources of water, ability to supply water to customers and, together with climate variability, severe weather, natural disasters and seasonality, may cause service disruptions, reduced demand or increased costs;</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contamination of water supplies or our water service provided to our customers could result in service limitations and interruptions and exposure to substances not typically found in potable water supplies, and could subject the Company to reductions in usage and other responsive obligations, government enforcement actions, damage to the Company reputation and private litigation;</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of the Company's network of water and wastewater pipes, water mains and water reservoirs could result in losses and damages that may affect the Company's financial condition and reputation;</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competition; and </w:t>
      </w:r>
    </w:p>
    <w:p>
      <w:pPr>
        <w:pStyle w:val="TextBody"/>
        <w:bidi w:val="0"/>
        <w:spacing w:before="120" w:after="283"/>
        <w:ind w:left="734"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presently unknown or unforeseen factors. </w:t>
      </w:r>
    </w:p>
    <w:p>
      <w:pPr>
        <w:pStyle w:val="TextBody"/>
        <w:bidi w:val="0"/>
        <w:spacing w:before="240" w:after="283"/>
        <w:jc w:val="left"/>
        <w:rPr>
          <w:rFonts w:ascii="Times New Roman" w:hAnsi="Times New Roman"/>
          <w:color w:val="000000"/>
          <w:sz w:val="20"/>
        </w:rPr>
      </w:pPr>
      <w:bookmarkStart w:id="6" w:name="cautionary_statement_end"/>
      <w:bookmarkEnd w:id="6"/>
      <w:r>
        <w:rPr>
          <w:rFonts w:ascii="Times New Roman" w:hAnsi="Times New Roman"/>
          <w:color w:val="000000"/>
          <w:sz w:val="20"/>
        </w:rPr>
        <w:t xml:space="preserve">Many of these risks are beyond the Company’s control. Any forward-looking statements speak only as of the date of this report, and the Company undertakes no obligation to update any forward-looking statements to reflect events or circumstances after the date on which such statements are made or to reflect the occurrence of unanticipated events, except as required by law. New factors emerge from time to time, and it is not possible for the Company to predict all such factors, nor can the Company assess the effect of any such factor on its business or the extent to which any factor, or combination of factors, may cause results to differ materially from those contained in any forward-looking statements. </w:t>
      </w:r>
    </w:p>
    <w:p>
      <w:pPr>
        <w:pStyle w:val="TextBody"/>
        <w:bidi w:val="0"/>
        <w:spacing w:before="360" w:after="283"/>
        <w:jc w:val="left"/>
        <w:rPr>
          <w:rFonts w:ascii="Times New Roman" w:hAnsi="Times New Roman"/>
          <w:sz w:val="20"/>
        </w:rPr>
      </w:pPr>
      <w:bookmarkStart w:id="7" w:name="financial_information"/>
      <w:bookmarkEnd w:id="7"/>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Item 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information beginning on page 16 of this Quarterly Report on Form 10-Q.</w:t>
      </w:r>
    </w:p>
    <w:p>
      <w:pPr>
        <w:pStyle w:val="TextBody"/>
        <w:bidi w:val="0"/>
        <w:spacing w:before="120" w:after="283"/>
        <w:jc w:val="left"/>
        <w:rPr>
          <w:rFonts w:ascii="Times New Roman" w:hAnsi="Times New Roman"/>
          <w:sz w:val="20"/>
        </w:rPr>
      </w:pPr>
      <w:bookmarkStart w:id="8" w:name="managements_discussion"/>
      <w:bookmarkEnd w:id="8"/>
      <w:r>
        <w:rPr>
          <w:rFonts w:ascii="Times New Roman" w:hAnsi="Times New Roman"/>
          <w:b/>
          <w:i/>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Part II, Item 7. “Management’s Discussion and Analysis of Financial Condition and Results of Operations” in Unitil Corporation’s 2025 Annual Report on Form 10-K for additional information. </w:t>
      </w:r>
    </w:p>
    <w:p>
      <w:pPr>
        <w:pStyle w:val="TextBody"/>
        <w:bidi w:val="0"/>
        <w:spacing w:before="360" w:after="283"/>
        <w:jc w:val="left"/>
        <w:rPr>
          <w:rFonts w:ascii="Times New Roman" w:hAnsi="Times New Roman"/>
          <w:sz w:val="20"/>
        </w:rPr>
      </w:pPr>
      <w:r>
        <w:rPr>
          <w:rFonts w:ascii="Times New Roman" w:hAnsi="Times New Roman"/>
          <w:b/>
          <w:caps/>
          <w:color w:val="000000"/>
          <w:sz w:val="20"/>
        </w:rPr>
        <w:t>OVERVIEW</w:t>
      </w:r>
      <w:r>
        <w:rPr>
          <w:rFonts w:ascii="Times New Roman" w:hAnsi="Times New Roman"/>
          <w:caps/>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Unitil Corporation (Unitil or the Company) is a public utility holding company headquartered in Hampton, New Hampshire. Unitil and its subsidiaries are subject to regulation as a holding company system by the Federal Energy Regulatory Commission (FERC) under the Energy Policy Act of 2005.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Unitil’s principal business is the local distribution of electricity, natural gas and water throughout its service territory in the states of New Hampshire, Massachusetts and Maine. Unitil is the parent company of five wholly owned energy distribution utilities and two wholly owned water distribution utilities: </w:t>
      </w:r>
    </w:p>
    <w:p>
      <w:pPr>
        <w:pStyle w:val="TextBody"/>
        <w:bidi w:val="0"/>
        <w:spacing w:before="120" w:after="283"/>
        <w:ind w:left="605"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Unitil Energy Systems, Inc. (Unitil Energy), which provides electric service in the southeastern seacoast and state capital regions of New Hampshire, including the capital city of Concord; </w:t>
      </w:r>
    </w:p>
    <w:p>
      <w:pPr>
        <w:pStyle w:val="TextBody"/>
        <w:bidi w:val="0"/>
        <w:spacing w:before="120" w:after="283"/>
        <w:ind w:left="605"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Fitchburg Gas and Electric Light Company (Fitchburg), which provides both electric and gas service in the greater Fitchburg area of north central Massachusetts;</w:t>
      </w:r>
    </w:p>
    <w:p>
      <w:pPr>
        <w:pStyle w:val="TextBody"/>
        <w:bidi w:val="0"/>
        <w:spacing w:before="120" w:after="283"/>
        <w:ind w:left="605" w:right="0" w:hanging="0"/>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Northern Utilities, Inc. (Northern Utilities), which provides gas service in southeastern New Hampshire and portions of southern and central Maine, including the city of Portland, which is the largest city in northern New England;</w:t>
      </w:r>
    </w:p>
    <w:p>
      <w:pPr>
        <w:pStyle w:val="TextBody"/>
        <w:bidi w:val="0"/>
        <w:spacing w:before="120" w:after="283"/>
        <w:ind w:left="605" w:right="0" w:hanging="0"/>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Bangor Natural Gas Company (Bangor), which provides gas service in the Bangor area of central Maine;</w:t>
      </w:r>
    </w:p>
    <w:p>
      <w:pPr>
        <w:pStyle w:val="TextBody"/>
        <w:bidi w:val="0"/>
        <w:spacing w:before="120" w:after="283"/>
        <w:ind w:left="605" w:right="0" w:hanging="0"/>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Maine Natural Gas Corporation (Maine Natural), which provides gas service in southern and central Maine, including the greater Portland region, as well as the capital city of Augusta;</w:t>
      </w:r>
    </w:p>
    <w:p>
      <w:pPr>
        <w:pStyle w:val="TextBody"/>
        <w:bidi w:val="0"/>
        <w:spacing w:before="120" w:after="283"/>
        <w:ind w:left="605" w:right="0" w:hanging="0"/>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Aquarion Water Company of New Hampshire, Inc. (AWC-NH), which provides water service in southeastern New Hampshire; and </w:t>
      </w:r>
    </w:p>
    <w:p>
      <w:pPr>
        <w:pStyle w:val="TextBody"/>
        <w:bidi w:val="0"/>
        <w:spacing w:before="120" w:after="283"/>
        <w:ind w:left="605" w:right="0" w:hanging="0"/>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Abenaki Water Co., Inc. (Abenaki), which provides water service in central and northern New Hampshire.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Unitil Energy, Fitchburg, Northern Utilities, Bangor and Maine Natural are collectively referred to as the “energy distribution utilities.” Together, the energy distribution utilities serve approximately 110,100 electric customers and 105,000 gas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AWC-NH and Abenaki are collectively referred to as the "water distribution utilities". Together, the water distribution utilities serve approximately 10,700 water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Unitil also is the parent company of Granite State Gas Transmission, Inc. (Granite State), an interstate gas transmission pipeline company, operating 85 miles of underground gas transmission pipeline primarily located in Maine and New Hampshire. Granite State provides Northern Utilities with interconnection to major gas pipelines and access to domestic gas supplies in the south and Canadian gas supplies in the north.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June 30, 2026, Unitil had an investment in Net Utility Plant of $1.9 billion. Earnings from Unitil’s utility operations are derived primarily from the return on investment in the utility assets of the five energy distribution utilities, the two water distribution utilities and Granite State.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Unitil Resources is the Company’s wholly owned, non-regulated subsidiary, which currently does not have any activity. The Company’s other subsidiaries include Unitil Service Corp., which provides, at cost, a variety of administrative and professional services to Unitil’s affiliated companies; Unitil Realty Corp., which owns and manages Unitil’s corporate office building and property located in Hampton, New Hampshire and owns land in Kingston, New Hampshire, on which Unitil Energy’s solar facility is located; Unitil Power Corp., which formerly functioned as the full requirements wholesale power supply provider for Unitil Energy; and Unitil Water Corp., which currently does not have any activity. Unitil’s consolidated net income includes the earnings of the holding company and these subsidiaries.</w:t>
      </w:r>
    </w:p>
    <w:p>
      <w:pPr>
        <w:pStyle w:val="TextBody"/>
        <w:bidi w:val="0"/>
        <w:spacing w:before="360" w:after="283"/>
        <w:jc w:val="left"/>
        <w:rPr>
          <w:rFonts w:ascii="Times New Roman" w:hAnsi="Times New Roman"/>
          <w:sz w:val="20"/>
        </w:rPr>
      </w:pPr>
      <w:r>
        <w:rPr>
          <w:rFonts w:ascii="Times New Roman" w:hAnsi="Times New Roman"/>
          <w:b/>
          <w:caps/>
          <w:color w:val="000000"/>
          <w:sz w:val="20"/>
        </w:rPr>
        <w:t>REGULATION</w:t>
      </w:r>
      <w:r>
        <w:rPr>
          <w:rFonts w:ascii="Times New Roman" w:hAnsi="Times New Roman"/>
          <w:caps/>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Unitil is subject to comprehensive regulation by federal and state regulatory authorities. Unitil and its energy distribution subsidiaries are subject to regulation as a holding company system by the FERC under the Energy Policy Act of 2005 regarding certain bookkeeping, accounting and reporting requirements. Unitil’s utility operations related to wholesale and interstate energy business activities also are regulated by the FERC. Unitil’s energy distribution utilities are subject to regulation by the applicable state public utility commissions with regard to their rates, issuance of securities and other accounting and operational matters: Unitil Energy is subject to regulation by the New Hampshire Public Utilities Commission (NHPUC); Fitchburg is subject to regulation by the Massachusetts Department of Public Utilities (MDPU); Northern Utilities is regulated by the NHPUC and the Maine Public Utilities Commission (MPUC); Bangor is subject to regulation by the MPUC; and Maine Natural is subject to regulation by the MPUC. Unitil's water distribution utilities are subject to regulation by the NHPUC with regard to their rates, issuance of securities and other accounting and operational matters. Granite State, Unitil’s interstate gas transmission pipeline, is subject to regulation by FERC regarding its rates and operations. Because Unitil’s primary operations are subject to rate regulation, the regulatory treatment of various matters could significantly affect the Company’s operations and financial position.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Primarily all of Unitil's distribution subsidiaries deliver electricity, natural gas and/or water to all customers at rates established under cost of service regulation. Under this regulatory structure, Unitil’s distribution utilities are provided the opportunity to recover the cost of providing distribution service to their customers based on a test year, and to earn a reasonable return on their capital investment in utility assets. In addition, the Company’s distribution utilities and its natural gas transmission pipeline company may recover certain base rate costs, including capital project spending and enhanced reliability and vegetation management programs, through annual step adjustments and cost tracking rate mechanisms. Bangor and Maine Natural’s Augusta Service Area deliver natural gas to their customers at rates established under alternative rate plans, which provide multi-year rate changes designed to approximate market-based rates.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electric and gas sales in Massachusetts and New Hampshire are now largely decoupled. Revenue decoupling eliminates the dependency of distribution revenue on the volume of electricity or gas sold. The difference between distribution revenue amounts billed to customers and the targeted revenue decoupling amounts is recognized as an increase or a decrease in Accrued Revenue, which forms the basis for resetting rates for future cash recoveries from, or credits to, customers. These revenue decoupling targets may be adjusted as a result of rate cases and other authorized adjustments that the Company files with the MDPU and NHPUC.</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section of MD&amp;A compares the results of operations for each of the two fiscal periods ended June 30, 2026 and June 30, 2025 and should be read in conjunction with the accompanying unaudited Consolidated Financial Statements and the accompanying Notes to unaudited Consolidated Financial Statements included in Part I, Item 1 of this report, which are prepared in accordance with accounting principles generally accepted in the United States of America (GAAP).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results of operations historically have reflected the seasonal nature of the natural gas business. Annual gas revenues are substantially realized during the heating season as a result of higher sales of natural gas due to cold weather. Accordingly, the results of operations are historically most favorable in the first and fourth quarters. Fluctuations in seasonal weather conditions may have a significant effect on the results of operations. Sales of electricity are generally less sensitive to weather than natural gas sales, but also may be affected by the weather conditions in both the winter and summer seasons.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GAAP and 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MD&amp;A includes financial information prepared in accordance with generally accepted accounting principles in the United States (GAAP), as well as certain non-GAAP financial measures. The Company's management believes that the non-GAAP presentations of earnings and Earnings Per Share (EPS) and Electric and Gas Adjusted Gross Margins are a more meaningful representation of the Company's financial performance and provide additional and useful information to readers of this report in analyzing the historical and future performance of the business. The non-GAAP financial measures should be viewed as a supplement to, and not a substitute for, financial measures presented in accordance with GAAP. Non-GAAP measures as presented herein may not be comparable to similarly titled measures used by other companies.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earnings discussion includes Adjusted Net Income, a non-GAAP financial measure referencing the Company’s 2026 and 2025 GAAP Net Income adjusted for certain transaction costs related to the Company's acquisitions of Bangor Natural Gas Company (purchase completed as of January 31, 2025), Maine Natural Gas Corporation (purchase completed as of October 31, 2025), Aquarion Water Company of New Hampshire, Inc., and Abenaki Water Co., Inc. (the Aquarion Companies) (purchase completed as of June 30, 2026). The Company's management believes that the transaction costs related to the acquisitions of Bangor, Maine Natural and the Aquarion Companies, which are included in Operation and Maintenance expense on the Consolidated Statements of Earnings, are not indicative of the Company's ongoing costs and not directly related to the ongoing operations of the business and therefore are not an indicator of baseline operating performance. </w:t>
      </w:r>
    </w:p>
    <w:p>
      <w:pPr>
        <w:pStyle w:val="TextBody"/>
        <w:bidi w:val="0"/>
        <w:jc w:val="left"/>
        <w:rPr>
          <w:rFonts w:ascii="Times New Roman" w:hAnsi="Times New Roman"/>
          <w:color w:val="000000"/>
          <w:sz w:val="20"/>
        </w:rPr>
      </w:pPr>
      <w:r>
        <w:rPr>
          <w:rFonts w:ascii="Times New Roman" w:hAnsi="Times New Roman"/>
          <w:color w:val="000000"/>
          <w:sz w:val="20"/>
        </w:rPr>
        <w:t>In the following tables the Company has reconciled Adjusted Net Income to GAAP Net Income, which we believe to be the most comparable GAAP financial measure.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8426" w:type="dxa"/>
        <w:jc w:val="left"/>
        <w:tblInd w:w="0" w:type="dxa"/>
        <w:tblLayout w:type="fixed"/>
        <w:tblCellMar>
          <w:top w:w="28" w:type="dxa"/>
          <w:left w:w="28" w:type="dxa"/>
          <w:bottom w:w="28" w:type="dxa"/>
          <w:right w:w="28" w:type="dxa"/>
        </w:tblCellMar>
      </w:tblPr>
      <w:tblGrid>
        <w:gridCol w:w="2461"/>
        <w:gridCol w:w="146"/>
        <w:gridCol w:w="342"/>
        <w:gridCol w:w="756"/>
        <w:gridCol w:w="236"/>
        <w:gridCol w:w="236"/>
        <w:gridCol w:w="342"/>
        <w:gridCol w:w="756"/>
        <w:gridCol w:w="146"/>
        <w:gridCol w:w="146"/>
        <w:gridCol w:w="342"/>
        <w:gridCol w:w="756"/>
        <w:gridCol w:w="236"/>
        <w:gridCol w:w="236"/>
        <w:gridCol w:w="342"/>
        <w:gridCol w:w="75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analyzes operating results using Electric and Gas Adjusted Gross Margins, which are non-GAAP financial measures. Electric Adjusted Gross Margin is calculated as Total Electric Operating Revenue less Cost of Electric Sales. Gas Adjusted Gross Margin is calculated as Total Gas Operating Revenues less Cost of Gas Sales. The Company’s management believes Electric and Gas Adjusted Gross Margins provide useful information to investors regarding profitability. Also, the Company’s management believes Electric and Gas Adjusted Gross Margins are important financial measures to analyze revenue from the Company’s ongoing operations because the approved cost of electric and gas sales are tracked, reconciled and passed through directly to customers in electric and gas tariff rates, resulting in an equal and offsetting amount reflected in Total Electric and Gas Operating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following tables the Company has reconciled Electric and Gas Adjusted Gross Margin to GAAP Gross Margin, which we believe to be the most comparable GAAP financial measure. GAAP Gross Margin is calculated as Revenue less Cost of Sales and Depreciation and Amortization. The Company calculates Electric and Gas Adjusted Gross Margin as Revenue less Cost of Sales. The Company believes excluding Depreciation and Amortization, which are period costs and not related to volumetric sales, is a meaningful measure to inform investors of the Company’s profitability from electric and gas sales in the period. </w:t>
      </w:r>
    </w:p>
    <w:tbl>
      <w:tblPr>
        <w:tblW w:w="6543" w:type="dxa"/>
        <w:jc w:val="left"/>
        <w:tblInd w:w="0" w:type="dxa"/>
        <w:tblLayout w:type="fixed"/>
        <w:tblCellMar>
          <w:top w:w="28" w:type="dxa"/>
          <w:left w:w="28" w:type="dxa"/>
          <w:bottom w:w="28" w:type="dxa"/>
          <w:right w:w="28" w:type="dxa"/>
        </w:tblCellMar>
      </w:tblPr>
      <w:tblGrid>
        <w:gridCol w:w="3106"/>
        <w:gridCol w:w="146"/>
        <w:gridCol w:w="211"/>
        <w:gridCol w:w="526"/>
        <w:gridCol w:w="166"/>
        <w:gridCol w:w="146"/>
        <w:gridCol w:w="211"/>
        <w:gridCol w:w="526"/>
        <w:gridCol w:w="166"/>
        <w:gridCol w:w="146"/>
        <w:gridCol w:w="211"/>
        <w:gridCol w:w="571"/>
        <w:gridCol w:w="4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3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106"/>
        <w:gridCol w:w="146"/>
        <w:gridCol w:w="211"/>
        <w:gridCol w:w="526"/>
        <w:gridCol w:w="166"/>
        <w:gridCol w:w="146"/>
        <w:gridCol w:w="211"/>
        <w:gridCol w:w="526"/>
        <w:gridCol w:w="166"/>
        <w:gridCol w:w="146"/>
        <w:gridCol w:w="211"/>
        <w:gridCol w:w="571"/>
        <w:gridCol w:w="4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3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93" w:type="dxa"/>
        <w:jc w:val="left"/>
        <w:tblInd w:w="0" w:type="dxa"/>
        <w:tblLayout w:type="fixed"/>
        <w:tblCellMar>
          <w:top w:w="28" w:type="dxa"/>
          <w:left w:w="28" w:type="dxa"/>
          <w:bottom w:w="28" w:type="dxa"/>
          <w:right w:w="28" w:type="dxa"/>
        </w:tblCellMar>
      </w:tblPr>
      <w:tblGrid>
        <w:gridCol w:w="3106"/>
        <w:gridCol w:w="146"/>
        <w:gridCol w:w="211"/>
        <w:gridCol w:w="571"/>
        <w:gridCol w:w="166"/>
        <w:gridCol w:w="146"/>
        <w:gridCol w:w="211"/>
        <w:gridCol w:w="571"/>
        <w:gridCol w:w="166"/>
        <w:gridCol w:w="146"/>
        <w:gridCol w:w="211"/>
        <w:gridCol w:w="631"/>
        <w:gridCol w:w="4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693" w:type="dxa"/>
        <w:jc w:val="left"/>
        <w:tblInd w:w="0" w:type="dxa"/>
        <w:tblLayout w:type="fixed"/>
        <w:tblCellMar>
          <w:top w:w="28" w:type="dxa"/>
          <w:left w:w="28" w:type="dxa"/>
          <w:bottom w:w="28" w:type="dxa"/>
          <w:right w:w="28" w:type="dxa"/>
        </w:tblCellMar>
      </w:tblPr>
      <w:tblGrid>
        <w:gridCol w:w="3106"/>
        <w:gridCol w:w="146"/>
        <w:gridCol w:w="211"/>
        <w:gridCol w:w="571"/>
        <w:gridCol w:w="166"/>
        <w:gridCol w:w="146"/>
        <w:gridCol w:w="211"/>
        <w:gridCol w:w="571"/>
        <w:gridCol w:w="166"/>
        <w:gridCol w:w="146"/>
        <w:gridCol w:w="211"/>
        <w:gridCol w:w="631"/>
        <w:gridCol w:w="4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Electric GAAP Gross Margin was $23.0 million in the three months ended June 30, 2026, an increase of $5.0 million compared to the same period in 2025. Electric GAAP Gross Margin was $44.3 million in the six months ended June 30, 2026, an increase of $6.7 million compared to the same period in 2025. The three-month period increase was driven by higher rates and customer growth of $5.8 million, partially offset by higher depreciation and amortization expense of $0.8 million. The six-month period increase was driven by higher rates of $8.6 million, partially offset by higher depreciation and amortization expense of $1.2 million and a one-time reduction of FERC transmission revenue of $0.7 million (see Note 7 Regulatory Matters: FERC Transmission Formula Rate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Gas GAAP Gross Margin was $25.0 million in the three months ended June 30, 2026, an increase of $1.8 million compared to the same period in 2025. Gas GAAP Gross Margin was $92.1 million in the six months ended June 30, 2026, an increase of $11.8 million compared to the same period in 2025. The increase in the three-month period was driven by higher rates and customer growth of $3.4 million, partially offset by higher depreciation and amortization of $1.6 million. The increase in the six-month period was driven by higher rates and customer growth of $13.2 million, the favorable effects of colder winter weather in 2026 of $1.4 million, partially offset by higher depreciation and amortization of $2.8 million. Included in gas operating revenue, cost of gas sales and depreciation and amortization for the three months ended June 30, 2026 was $4.2 million, $1.5 million and $0.8 million, respectively, related to Maine Natural. Included in gas operating revenue, cost of gas sales and depreciation and amortization for the six months ended June 30, 2026 was $22.5 million, $13.8 million and $1.5 million, respectively, related to Maine Natural.</w:t>
      </w:r>
    </w:p>
    <w:p>
      <w:pPr>
        <w:pStyle w:val="TextBody"/>
        <w:bidi w:val="0"/>
        <w:spacing w:before="360" w:after="283"/>
        <w:jc w:val="left"/>
        <w:rPr>
          <w:rFonts w:ascii="Times New Roman" w:hAnsi="Times New Roman"/>
          <w:sz w:val="20"/>
        </w:rPr>
      </w:pPr>
      <w:r>
        <w:rPr>
          <w:rFonts w:ascii="Times New Roman" w:hAnsi="Times New Roman"/>
          <w:b/>
          <w:color w:val="000000"/>
          <w:sz w:val="20"/>
        </w:rPr>
        <w:t>Earnings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Net Income was $4.7 million, or $0.26 in Earnings Per Share (EPS) for the second quarter of 2026, an increase of $0.7 million in Net Income, or $0.01 in EPS, compared to the second quarter of 2025. The Company's Adjusted Net Income (a non-GAAP financial measure), which excluded transaction-related costs in connection with the acquisitions of Bangor, Maine Natural and the Aquarion Companies, was $5.2 million, or $0.29 in EPS for the second quarter of 2026. Adjusted Net Income increased $0.5 million and was unchanged in EPS when compared to the second quarter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Net Income was $37.9 million, or $2.11 in EPS for the first six months of 2026, an increase of $6.4 million in Net Income, or $0.17 in EPS, compared to the first six months of 2025. The Company's Adjusted Net Income (a non-GAAP financial measure), which excluded transaction-related costs in connection with the acquisitions of Bangor, Maine Natural and the Aquarion Companies, was $39.0 million, or $2.17 in EPS for the first six months of 2026, an increase of $5.9 million, or $0.14 in EPS, compared to the first six months of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Electric Adjusted Gross Margin (a non-GAAP financial measure) was $31.6 million and $61.2 million in the three and six months ended June 30, 2026, respectively, increases of $5.8 million and $7.9 million, respectively, compared to the same periods in 2025. The increase in the three-month period reflects higher rates and customer growth of $5.8 million. The increase in the six-month period reflects higher rates of $8.6 million, partially offset by a one-time reduction of FERC transmission revenue of $0.7 million (see Note 7 Regulatory Matters: FERC Transmission Formula Rate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Gas Adjusted Gross Margin (a non-GAAP financial measure) was $40.6 million and $122.7 million in the three and six months ended June 30, 2026, respectively, increases of $3.4 million and $14.6 million, respectively, compared to the same periods in 2025. The increase in the three-month period reflects higher rates and customer growth of $3.4 million. The increase in the six-month period was driven by higher rates and customer growth of $13.2 million and the favorable effects of colder winter weather in 2026 of $1.4 million. Included in the Gas Adjusted Gross Margin for the three and six months ended June 30, 2026 was $2.7 million and $8.7 million, respectively, related to Maine Natural.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Operation and Maintenance (O&amp;M) expenses increased $2.5 million and $3.3 million in the three and six months ended June 30, 2026, respectively, compared to the same periods in 2025. The increase in the three-month period reflects higher utility operating costs of $1.6 million, and higher labor and other costs of $1.4 million, partially offset by lower acquisition costs of $0.5 million. The increase in the six-month period reflects higher utility operating costs of $2.6 million, and higher labor and other costs of $1.5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partially offset by lower acquisition costs of $0.8 million. Included in O&amp;M expenses for the three and six months ended June 30, 2026 were $1.4 million and $2.7 million, respectively, related to Maine Natural. Excluding O&amp;M expenses for Maine Natural and transaction costs, O&amp;M expenses for legacy operations would have increased by $1.6 million and $1.4 million for the three and six months ended June 30, 2026,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and Amortization expense increased $2.4 million and $4.0 million in the three and six months ended June 30, 2026, respectively, compared to the same periods in 2025. The increase in the three-month period reflects higher levels of utility plant in service, and higher amortization of recoverable storm costs and other deferred costs. The increase in the six-month period reflects higher levels of utility plant in service and higher amortization of recoverable storm costs, partially offset by lower amortization of other deferred costs. Included in Depreciation and Amortization for the three and six months ended June 30, 2026 was $0.8 million and $1.5 million, respectively, related to Maine Natural.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Taxes Other Than Income Taxes increased $2.2 million and $3.4 million in the three and six months ended June 30, 2026, respectively, compared to the same periods in 2025. These increases reflect higher local property taxes on higher utility plant in service and higher payroll taxes. Included in Taxes Other Than Income Taxes for the three and six months ended June 30, 2026 were $0.4 million and $0.8 million, respectively, related to Maine Natural.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Net increased $1.1 million and $2.8 million in the three and six months ended June 30, 2026, respectively, compared to the same periods in 2025, primarily reflecting higher levels of short-term borrowings and long-term debt, partially offset by lower interest expense on regulatory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(Income), Net decreased $0.1 million and $0.2 million in the three and six months ended June 30, 2026, respectively, compared to the same periods in 2025, primarily from lower retirement benefit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 for Income Taxes increased $0.4 million and $2.8 million in the three and six months ended June 30, 2026, respectively, compared with the same periods in 2025, reflecting higher pre-tax earnings in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its January 2026, April 2026 and July 2026 meetings, the Unitil Corporation Board of Directors declared quarterly dividends on the Company’s common stock of $0.475 per share. These quarterly dividends result in a current effective annualized dividend rate of $1.90 per share, representing an unbroken record of quarterly dividend payments since trading began in Unitil’s common stock. </w:t>
      </w:r>
    </w:p>
    <w:p>
      <w:pPr>
        <w:pStyle w:val="TextBody"/>
        <w:bidi w:val="0"/>
        <w:spacing w:before="360" w:after="283"/>
        <w:jc w:val="left"/>
        <w:rPr>
          <w:rFonts w:ascii="Times New Roman" w:hAnsi="Times New Roman"/>
          <w:sz w:val="20"/>
        </w:rPr>
      </w:pPr>
      <w:r>
        <w:rPr>
          <w:rFonts w:ascii="Times New Roman" w:hAnsi="Times New Roman"/>
          <w:b/>
          <w:color w:val="000000"/>
          <w:sz w:val="20"/>
        </w:rPr>
        <w:t>Electric Revenues, Adjusted Gross Margin and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Electric Operating Revenues and Electric Adjusted Gross Margin (a non-GAAP financial measure)</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The following table details Total Electric Operating Revenues and Electric Adjusted Gross Margin for the three and six months ended June 30, 2026 and 2025: </w:t>
      </w:r>
    </w:p>
    <w:tbl>
      <w:tblPr>
        <w:tblW w:w="10394" w:type="dxa"/>
        <w:jc w:val="left"/>
        <w:tblInd w:w="0" w:type="dxa"/>
        <w:tblLayout w:type="fixed"/>
        <w:tblCellMar>
          <w:top w:w="28" w:type="dxa"/>
          <w:left w:w="28" w:type="dxa"/>
          <w:bottom w:w="28" w:type="dxa"/>
          <w:right w:w="28" w:type="dxa"/>
        </w:tblCellMar>
      </w:tblPr>
      <w:tblGrid>
        <w:gridCol w:w="1311"/>
        <w:gridCol w:w="146"/>
        <w:gridCol w:w="211"/>
        <w:gridCol w:w="466"/>
        <w:gridCol w:w="146"/>
        <w:gridCol w:w="146"/>
        <w:gridCol w:w="211"/>
        <w:gridCol w:w="466"/>
        <w:gridCol w:w="146"/>
        <w:gridCol w:w="146"/>
        <w:gridCol w:w="248"/>
        <w:gridCol w:w="548"/>
        <w:gridCol w:w="146"/>
        <w:gridCol w:w="146"/>
        <w:gridCol w:w="207"/>
        <w:gridCol w:w="664"/>
        <w:gridCol w:w="271"/>
        <w:gridCol w:w="146"/>
        <w:gridCol w:w="211"/>
        <w:gridCol w:w="571"/>
        <w:gridCol w:w="146"/>
        <w:gridCol w:w="146"/>
        <w:gridCol w:w="211"/>
        <w:gridCol w:w="571"/>
        <w:gridCol w:w="146"/>
        <w:gridCol w:w="146"/>
        <w:gridCol w:w="248"/>
        <w:gridCol w:w="548"/>
        <w:gridCol w:w="146"/>
        <w:gridCol w:w="146"/>
        <w:gridCol w:w="207"/>
        <w:gridCol w:w="664"/>
        <w:gridCol w:w="516"/>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9878" w:type="dxa"/>
            <w:gridSpan w:val="3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Electric Operating Revenues and Electric Adjusted Gross Margin (millions)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 Operating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Electric Operating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Electric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 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Electric Operating Revenue increased $10.7 million, or 21.0%, and $16.0 million, or 14.4%, in the three and six months ended June 30, 2026, respectively, compared to the same periods in 2025. The increase in the three-month period reflects higher electric distribution rates and higher costs of electric sales, which are tracked and reconciled to costs that are passed through directly to customers. The increase in the six-month period reflects higher electric distribution rates, and higher costs of electric sales, which are tracked and reconciled to costs that are passed through directly to customers, partially offset by a one-time reduction of FERC transmission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Electric GAAP Gross Margin is discussed above in the section entitled “Use of GAAP and Non-GAAP Financial Measures”.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Electric Adjusted Gross Margin (a non-GAAP financial measure) was $31.6 million and $61.2 million for the three and six months ended June 30, 2026, respectively, increases of $5.8 million and $7.9 million, respectively, compared to the same periods in 2025. The increase in the three-month period reflects higher rates and customer growth of $5.8 million. The increase in the six-month period reflects higher rates of $8.6 million, partially offset by a one-time reduction of FERC transmission revenue of $0.7 million (see Note 7 Regulatory Matters: FERC Transmission Formula Rate Proceedings).</w:t>
      </w:r>
    </w:p>
    <w:p>
      <w:pPr>
        <w:pStyle w:val="TextBody"/>
        <w:bidi w:val="0"/>
        <w:spacing w:before="240" w:after="283"/>
        <w:jc w:val="left"/>
        <w:rPr>
          <w:rFonts w:ascii="Times New Roman" w:hAnsi="Times New Roman"/>
          <w:sz w:val="20"/>
        </w:rPr>
      </w:pPr>
      <w:r>
        <w:rPr>
          <w:rFonts w:ascii="Times New Roman" w:hAnsi="Times New Roman"/>
          <w:b/>
          <w:i/>
          <w:color w:val="000000"/>
          <w:sz w:val="20"/>
        </w:rPr>
        <w:t>Kilowatt-hour Sales</w:t>
      </w:r>
      <w:r>
        <w:rPr>
          <w:rFonts w:ascii="Times New Roman" w:hAnsi="Times New Roman"/>
          <w:color w:val="000000"/>
          <w:sz w:val="20"/>
        </w:rPr>
        <w:t xml:space="preserve"> - Unitil’s total electric kWh sales increased 0.3% and decreased 1.6% in the three and six months ended June 30, 2026, respectively, compared to the same periods in 2025. Sales to Residential customers increased 3.1% in the three months ended June 30, 2026, compared to the same period in 2025, reflecting customer growth. Sales to Commercial and Industrial (C&amp;I) customers decreased 1.5% in the three months ended June 30, 2026, compared to the same period in 2025, reflecting the loss of a large industrial customer in the Fitchburg service area in 2025, partially offset by customer growth. Sales to Residential customers increased 2.5% in the six months ended June 30, 2026, compared to the same period in 2025, reflecting colder winter weather for heating purposes in 2026, and customer growth. Sales to C&amp;I customers decreased 4.8% in the six months ended June 30, 2026, compared to the same period in 2025, reflecting the loss of a large industrial customer in the Fitchburg service area in 2025, partially offset by customer growth. As of June 30, 2026, the number of electric customers increased by approximately 510 over the previous year. Sales margins derived from decoupled unit sales are not sensitive to changes in electric kWh sales. Substantially all of the Company’s electric kWh sales volumes are decoupled.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details total kWh sales for the three and six months ended June 30, 2026 and 2025 by major customer class: </w:t>
      </w:r>
    </w:p>
    <w:tbl>
      <w:tblPr>
        <w:tblW w:w="10205" w:type="dxa"/>
        <w:jc w:val="left"/>
        <w:tblInd w:w="0" w:type="dxa"/>
        <w:tblLayout w:type="fixed"/>
        <w:tblCellMar>
          <w:top w:w="28" w:type="dxa"/>
          <w:left w:w="28" w:type="dxa"/>
          <w:bottom w:w="28" w:type="dxa"/>
          <w:right w:w="28" w:type="dxa"/>
        </w:tblCellMar>
      </w:tblPr>
      <w:tblGrid>
        <w:gridCol w:w="1359"/>
        <w:gridCol w:w="146"/>
        <w:gridCol w:w="146"/>
        <w:gridCol w:w="571"/>
        <w:gridCol w:w="146"/>
        <w:gridCol w:w="146"/>
        <w:gridCol w:w="146"/>
        <w:gridCol w:w="571"/>
        <w:gridCol w:w="146"/>
        <w:gridCol w:w="146"/>
        <w:gridCol w:w="170"/>
        <w:gridCol w:w="491"/>
        <w:gridCol w:w="166"/>
        <w:gridCol w:w="146"/>
        <w:gridCol w:w="224"/>
        <w:gridCol w:w="647"/>
        <w:gridCol w:w="287"/>
        <w:gridCol w:w="146"/>
        <w:gridCol w:w="146"/>
        <w:gridCol w:w="571"/>
        <w:gridCol w:w="146"/>
        <w:gridCol w:w="146"/>
        <w:gridCol w:w="146"/>
        <w:gridCol w:w="571"/>
        <w:gridCol w:w="146"/>
        <w:gridCol w:w="146"/>
        <w:gridCol w:w="146"/>
        <w:gridCol w:w="526"/>
        <w:gridCol w:w="166"/>
        <w:gridCol w:w="146"/>
        <w:gridCol w:w="224"/>
        <w:gridCol w:w="647"/>
        <w:gridCol w:w="532"/>
      </w:tblGrid>
      <w:tr>
        <w:trPr/>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673" w:type="dxa"/>
            <w:gridSpan w:val="3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kWh Sales (millions)</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7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Gas Revenues, Adjusted Gross Margin and Sales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Gas Operating Revenues and Adjusted Gross Margin (a non-GAAP financial measure) -</w:t>
      </w:r>
      <w:r>
        <w:rPr>
          <w:rFonts w:ascii="Times New Roman" w:hAnsi="Times New Roman"/>
          <w:color w:val="000000"/>
          <w:sz w:val="20"/>
        </w:rPr>
        <w:t xml:space="preserve"> The following table details Total Gas Operating Revenues and Gas Adjusted Gross Margin for the three and six months ended June 30, 2026 and 2025: </w:t>
      </w:r>
    </w:p>
    <w:tbl>
      <w:tblPr>
        <w:tblW w:w="10394" w:type="dxa"/>
        <w:jc w:val="left"/>
        <w:tblInd w:w="0" w:type="dxa"/>
        <w:tblLayout w:type="fixed"/>
        <w:tblCellMar>
          <w:top w:w="28" w:type="dxa"/>
          <w:left w:w="28" w:type="dxa"/>
          <w:bottom w:w="28" w:type="dxa"/>
          <w:right w:w="28" w:type="dxa"/>
        </w:tblCellMar>
      </w:tblPr>
      <w:tblGrid>
        <w:gridCol w:w="1311"/>
        <w:gridCol w:w="146"/>
        <w:gridCol w:w="211"/>
        <w:gridCol w:w="466"/>
        <w:gridCol w:w="146"/>
        <w:gridCol w:w="146"/>
        <w:gridCol w:w="211"/>
        <w:gridCol w:w="466"/>
        <w:gridCol w:w="146"/>
        <w:gridCol w:w="146"/>
        <w:gridCol w:w="293"/>
        <w:gridCol w:w="503"/>
        <w:gridCol w:w="146"/>
        <w:gridCol w:w="146"/>
        <w:gridCol w:w="207"/>
        <w:gridCol w:w="664"/>
        <w:gridCol w:w="271"/>
        <w:gridCol w:w="146"/>
        <w:gridCol w:w="211"/>
        <w:gridCol w:w="571"/>
        <w:gridCol w:w="146"/>
        <w:gridCol w:w="146"/>
        <w:gridCol w:w="211"/>
        <w:gridCol w:w="571"/>
        <w:gridCol w:w="146"/>
        <w:gridCol w:w="146"/>
        <w:gridCol w:w="248"/>
        <w:gridCol w:w="548"/>
        <w:gridCol w:w="146"/>
        <w:gridCol w:w="146"/>
        <w:gridCol w:w="207"/>
        <w:gridCol w:w="664"/>
        <w:gridCol w:w="516"/>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9878" w:type="dxa"/>
            <w:gridSpan w:val="3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Gas Operating Revenues and Gas Adjusted Gross Margin (millions)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Gas Operating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Gas Operating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Gas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Gas 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Gas Operating Revenue increased $3.7 million, or 7.2%, and increased $44.5 million, or 27.4%, in the three and six months ended June 30, 2026, respectively, compared to the same periods in 2025. The increase in the three-month period includes $4.2 million of gas operating revenue for Maine Natural, higher rates and customer growth, partially offset by lower costs of gas sales for legacy gas operations, which are tracked and reconciled costs that are passed through directly to customers. The increase in the six-month period includes $22.5 million of gas operating revenue for Maine Natural, higher rates and customer growth, the favorable impact of colder winter weather in 2026 and higher costs of gas sales, which are tracked and reconciled costs that are passed through directly to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Gas GAAP Gross Margin is discussed above in the section entitled “Use of GAAP and Non-GAAP Financial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Gas Adjusted Gross Margin increased $3.4 million, or 9.1%, and increased $14.6 million, or 13.5%, in the three and six months ended June 30, 2026, respectively, compared to the same periods in 2025. The increase in the three-month period includes $2.7 million of gas adjusted gross margin for Maine Natural, higher rates and customer growth. The increase in the six-month period includes $8.7 million of gas adjusted gross margin for Maine Natural, higher rates and customer growth, the favorable impact of colder winter weather in 2026 and higher costs of gas sales, which are tracked and reconciled costs that are passed through directly to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Therm Sales </w:t>
      </w:r>
      <w:r>
        <w:rPr>
          <w:rFonts w:ascii="Times New Roman" w:hAnsi="Times New Roman"/>
          <w:b/>
          <w:color w:val="000000"/>
          <w:sz w:val="20"/>
        </w:rPr>
        <w:t>-</w:t>
      </w:r>
      <w:r>
        <w:rPr>
          <w:rFonts w:ascii="Times New Roman" w:hAnsi="Times New Roman"/>
          <w:color w:val="000000"/>
          <w:sz w:val="20"/>
        </w:rPr>
        <w:t xml:space="preserve"> Unitil’s total gas therm sales increased 8.8% and 12.0% in the three and six months ended June 30, 2026, respectively, compared to the same periods in 2025. In the second quarter of 2026, sales to Residential and C&amp;I customers increased 9.6% and 8.7%, respectively, compared to the same period in 2025, reflecting customer growth and colder spring weather in 2026. In the first six months of 2026, sales to Residential and C&amp;I customers increased 13.4% and 11.6%, respectively, compared to the same period in 2025, reflecting colder winter weather in 2026 and customer growth. Included in the total gas therm sales increases were 4.2 million therms and 14.8 million therms for the three and six months ended June 30, 2026, respectively, related to Maine Natural. Based on weather data collected in the Company’s gas service areas, on average there were 2.3% higher effective degree days in the first six months of 2026 compared to the same period in 2025. As of June 30, 2026, the number of gas customers increased by approximately 6,600 over the previous year. Included in this increase was 6,400 customers related to Maine Natural. Sales margins derived from decoupled unit sales (currently representing approximately 38% of total annual therm sales volume) are not sensitive to changes in gas therm sales, although those sales margins are sensitive to changes in the number of customers served.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details total therm sales for the three and six months ended June 30, 2026 and 2025 by major customer class: </w:t>
      </w:r>
    </w:p>
    <w:tbl>
      <w:tblPr>
        <w:tblW w:w="10205" w:type="dxa"/>
        <w:jc w:val="left"/>
        <w:tblInd w:w="0" w:type="dxa"/>
        <w:tblLayout w:type="fixed"/>
        <w:tblCellMar>
          <w:top w:w="28" w:type="dxa"/>
          <w:left w:w="28" w:type="dxa"/>
          <w:bottom w:w="28" w:type="dxa"/>
          <w:right w:w="28" w:type="dxa"/>
        </w:tblCellMar>
      </w:tblPr>
      <w:tblGrid>
        <w:gridCol w:w="1652"/>
        <w:gridCol w:w="146"/>
        <w:gridCol w:w="146"/>
        <w:gridCol w:w="466"/>
        <w:gridCol w:w="146"/>
        <w:gridCol w:w="146"/>
        <w:gridCol w:w="146"/>
        <w:gridCol w:w="466"/>
        <w:gridCol w:w="146"/>
        <w:gridCol w:w="146"/>
        <w:gridCol w:w="190"/>
        <w:gridCol w:w="471"/>
        <w:gridCol w:w="146"/>
        <w:gridCol w:w="146"/>
        <w:gridCol w:w="250"/>
        <w:gridCol w:w="621"/>
        <w:gridCol w:w="271"/>
        <w:gridCol w:w="146"/>
        <w:gridCol w:w="146"/>
        <w:gridCol w:w="571"/>
        <w:gridCol w:w="146"/>
        <w:gridCol w:w="146"/>
        <w:gridCol w:w="146"/>
        <w:gridCol w:w="571"/>
        <w:gridCol w:w="146"/>
        <w:gridCol w:w="146"/>
        <w:gridCol w:w="157"/>
        <w:gridCol w:w="504"/>
        <w:gridCol w:w="146"/>
        <w:gridCol w:w="146"/>
        <w:gridCol w:w="207"/>
        <w:gridCol w:w="664"/>
        <w:gridCol w:w="516"/>
      </w:tblGrid>
      <w:tr>
        <w:trPr/>
        <w:tc>
          <w:tcPr>
            <w:tcW w:w="1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9689" w:type="dxa"/>
            <w:gridSpan w:val="3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Therm Sales (millions)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transported 5.7 million therms and 68.6 million therms in the three and six months ended June 30, 2026, respectively, to two electric generation facilities in Maine. As these facilities were charged fixed fees and utilized third-party energy suppliers for natural gas, the therms were not included in the above table.</w:t>
      </w:r>
    </w:p>
    <w:p>
      <w:pPr>
        <w:pStyle w:val="TextBody"/>
        <w:bidi w:val="0"/>
        <w:spacing w:before="36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Electric Sales</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Cost of Electric Sales includes the cost of electric supply and spending on energy efficiency programs. Cost of Electric Sales increased $4.9 million, or 19.4%, and $8.1 million, or 14.0%, in the three and six months ended June 30, 2026, respectively, compared to the same periods in 2025. The increase in the three-month period reflects higher wholesale electricity prices. The increase in the six-month period reflects higher wholesale electricity prices and energy efficiency spending, and an increase in the amount of electricity purchased by customers directly from third-party suppliers. Because the Company reconciles and recovers the approved Cost of Electric Sales in its rates at cost on a pass-through basis, changes in approved expenses do not affect earnings.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Gas Sales</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Cost of Gas Sales includes the cost to supply the Company’s total gas requirements and spending on energy efficiency programs. Cost of Gas Sales increased $0.3 million, or 2.1%, and $29.9 million, or 55.3%, in the three and six months ended June 30, 2026, respectively, compared to the same periods in 2025. The increase in the three-month period reflects higher gas therm sales, including $1.5 million at Maine Natural, partially offset by lower wholesale gas commodity prices. The increase in the six-month period reflects higher wholesale gas commodity prices and higher gas therm sales, including $13.8 million at Maine Natural. Because the Company reconciles and recovers the approved Cost of Gas Sales in its rates at cost on a pass-through basis, changes in approved expenses do not affect earnings.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Operation and Maintenance (O&amp;M) - </w:t>
      </w:r>
      <w:r>
        <w:rPr>
          <w:rFonts w:ascii="Times New Roman" w:hAnsi="Times New Roman"/>
          <w:color w:val="000000"/>
          <w:sz w:val="20"/>
        </w:rPr>
        <w:t>O&amp;M expense includes electric and gas utility operating costs, and the operating cost of the Company’s corporate and other business activities. O&amp;M expenses increased $2.5 million, or 11.7%, and $3.3 million, or 7.5%, in the three and six months ended June 30, 2026, respectively, compared to the same periods in 2025. The increase in the three-month period reflects higher utility operating costs of $1.6 million, and higher labor and other costs of $1.4 million, partially offset by lower acquisition costs of $0.5 million. The increase in the six-month period reflects higher utility operating costs of $2.6 million, and higher labor and other costs of $1.5 million, partially offset by lower acquisition costs of $0.8 million. Included in O&amp;M expenses for the three and six months ended June 30, 2026 were $1.4 million and $2.7 million, respectively, related to Maine Natural. Excluding O&amp;M expenses for Maine Natural and transaction costs, O&amp;M expenses for legacy operations would have increased by $1.6 million, or 7.5%, and $1.4 million, or 3.2%, for the three and six months ended June 30, 2026,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Depreciation and Amortization -</w:t>
      </w:r>
      <w:r>
        <w:rPr>
          <w:rFonts w:ascii="Times New Roman" w:hAnsi="Times New Roman"/>
          <w:color w:val="000000"/>
          <w:sz w:val="20"/>
        </w:rPr>
        <w:t xml:space="preserve"> Depreciation and Amortization expense increased $2.4 million, or 11.0%, and $4.0 million, or 9.2%, in the three and six months ended June 30, 2026, respectively, compared to the same periods in 2025. The increase in the three-month period reflects higher levels of utility plant in service, and higher amortization of recoverable storm costs and other deferred costs. The increase in the six-month period reflects higher levels of utility plant in service and higher amortization of recoverable storm costs, partially offset by lower amortization of other deferred costs. Included in Depreciation and Amortization for the three and six months ended June 30, 2026 was $0.8 million and $1.5 million, respectively, related to Maine Natural.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Taxes Other Than Income Taxes</w:t>
      </w:r>
      <w:r>
        <w:rPr>
          <w:rFonts w:ascii="Times New Roman" w:hAnsi="Times New Roman"/>
          <w:color w:val="000000"/>
          <w:sz w:val="20"/>
        </w:rPr>
        <w:t xml:space="preserve"> </w:t>
      </w:r>
      <w:r>
        <w:rPr>
          <w:rFonts w:ascii="Times New Roman" w:hAnsi="Times New Roman"/>
          <w:b/>
          <w:i/>
          <w:color w:val="000000"/>
          <w:sz w:val="20"/>
        </w:rPr>
        <w:t>-</w:t>
      </w:r>
      <w:r>
        <w:rPr>
          <w:rFonts w:ascii="Times New Roman" w:hAnsi="Times New Roman"/>
          <w:color w:val="000000"/>
          <w:sz w:val="20"/>
        </w:rPr>
        <w:t xml:space="preserve"> Taxes Other Than Income Taxes increased $2.2 million, or 33.3%, and $3.4 million, or 23.4%, in the three and six months ended June 30, 2026, respectively, compared to the same periods in 2025. These increases reflect higher local property taxes on higher utility plant in service and higher payroll taxes. Included in Taxes Other Than Income Taxes for the three and six months ended June 30, 2026 were $0.4 million and $0.8 million, respectively, related to Maine Natural.</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Other Expense (Income), Net - </w:t>
      </w:r>
      <w:r>
        <w:rPr>
          <w:rFonts w:ascii="Times New Roman" w:hAnsi="Times New Roman"/>
          <w:color w:val="000000"/>
          <w:sz w:val="20"/>
        </w:rPr>
        <w:t>Other Expense (Income), Net decreased $0.1 million and $0.2 million in the three and six months ended June 30, 2026, respectively, compared to the same periods in 2025, primarily from lower retirement benefit costs.</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Federal and State Income Taxes increased $0.4 million and $2.8 million in the three and six months ended June 30, 2026, respectively, compared with the same periods in 2025, reflecting higher pre-tax earnings in 2026.</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 Net -</w:t>
      </w:r>
      <w:r>
        <w:rPr>
          <w:rFonts w:ascii="Times New Roman" w:hAnsi="Times New Roman"/>
          <w:color w:val="000000"/>
          <w:sz w:val="20"/>
        </w:rPr>
        <w:t xml:space="preserve"> Interest expense is presented in the Consolidated Financial Statements net of interest income. Interest expense is mainly comprised of interest on long-term debt and short-term borrowings. In addition, certain reconciling rate mechanisms used by the Company’s distribution operating utilities give rise to regulatory assets and regulatory liabilities on which interest is accrued.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Unitil’s utility subsidiaries operate several reconciling rate mechanisms to recover specifically identified costs on a pass-through basis. These reconciling rate mechanisms track costs and revenue on a monthly basis. In any given month, this tracking and reconciling process will produce either an under-collected or an over-collected position. In accordance with the energy and water distribution utilities’ rate tariffs, interest is accrued on these balances and will produce either interest income or interest expense. Consistent with regulatory precedent, interest income is recorded on an under-collection of costs which creates a regulatory asset to be recovered in future periods when rates are reset. Interest expense is recorded on an over-collection of costs, which creates a regulatory liability to be refunded in future periods when rates are reset. </w:t>
      </w:r>
    </w:p>
    <w:p>
      <w:pPr>
        <w:pStyle w:val="TextBody"/>
        <w:bidi w:val="0"/>
        <w:jc w:val="left"/>
        <w:rPr/>
      </w:pPr>
      <w:r>
        <w:rPr/>
        <w:t> </w:t>
      </w:r>
    </w:p>
    <w:tbl>
      <w:tblPr>
        <w:tblW w:w="8348" w:type="dxa"/>
        <w:jc w:val="left"/>
        <w:tblInd w:w="0" w:type="dxa"/>
        <w:tblLayout w:type="fixed"/>
        <w:tblCellMar>
          <w:top w:w="28" w:type="dxa"/>
          <w:left w:w="28" w:type="dxa"/>
          <w:bottom w:w="28" w:type="dxa"/>
          <w:right w:w="28" w:type="dxa"/>
        </w:tblCellMar>
      </w:tblPr>
      <w:tblGrid>
        <w:gridCol w:w="2401"/>
        <w:gridCol w:w="146"/>
        <w:gridCol w:w="211"/>
        <w:gridCol w:w="466"/>
        <w:gridCol w:w="166"/>
        <w:gridCol w:w="146"/>
        <w:gridCol w:w="211"/>
        <w:gridCol w:w="466"/>
        <w:gridCol w:w="166"/>
        <w:gridCol w:w="146"/>
        <w:gridCol w:w="220"/>
        <w:gridCol w:w="441"/>
        <w:gridCol w:w="166"/>
        <w:gridCol w:w="146"/>
        <w:gridCol w:w="211"/>
        <w:gridCol w:w="466"/>
        <w:gridCol w:w="166"/>
        <w:gridCol w:w="146"/>
        <w:gridCol w:w="211"/>
        <w:gridCol w:w="466"/>
        <w:gridCol w:w="166"/>
        <w:gridCol w:w="146"/>
        <w:gridCol w:w="220"/>
        <w:gridCol w:w="441"/>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Expense, Net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AFUDC</w:t>
            </w:r>
            <w:r>
              <w:rPr>
                <w:rFonts w:ascii="Times New Roman" w:hAnsi="Times New Roman"/>
                <w:color w:val="000000"/>
                <w:sz w:val="13"/>
              </w:rPr>
              <w:t>(1)</w:t>
            </w:r>
            <w:r>
              <w:rPr>
                <w:rFonts w:ascii="Times New Roman" w:hAnsi="Times New Roman"/>
                <w:color w:val="000000"/>
                <w:sz w:val="20"/>
              </w:rPr>
              <w: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AFUDC – Allowance for Funds Used During Construction.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Net increased $1.1 million, or 11.8%, and $2.8 million, or 15.2%, in the three and six months ended June 30, 2026, respectively, compared to the same periods in 2025, primarily reflecting higher levels of short-term borrowings and long-term debt, partially offset by lower interest expense on regulatory liabilities.</w:t>
      </w:r>
    </w:p>
    <w:p>
      <w:pPr>
        <w:pStyle w:val="TextBody"/>
        <w:bidi w:val="0"/>
        <w:spacing w:before="360" w:after="283"/>
        <w:jc w:val="left"/>
        <w:rPr>
          <w:rFonts w:ascii="Times New Roman" w:hAnsi="Times New Roman"/>
          <w:sz w:val="20"/>
        </w:rPr>
      </w:pPr>
      <w:r>
        <w:rPr>
          <w:rFonts w:ascii="Times New Roman" w:hAnsi="Times New Roman"/>
          <w:b/>
          <w:caps/>
          <w:color w:val="000000"/>
          <w:sz w:val="20"/>
        </w:rPr>
        <w:t>LIQUIDITY, COMMITMENTS, AND Capital RequirementS</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Sources of Capital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Unitil requires capital to fund utility plant additions, working capital and other utility expenditures recovered in subsequent periods through regulated rates. The capital necessary to meet these requirements is derived primarily from internally generated funds, which consist of cash flows from operating activities. The Company initially supplements internally generated funds through short-term bank borrowings, as needed, under its unsecured revolving Credit Facility. Periodically, the Company replaces portions of its short-term debt with long-term financings more closely matched to the long-term nature of its utility assets. Additionally, from time to time the Company has accessed the public capital markets through public offerings of equity securities. The Company’s utility operations are seasonal in nature and are therefore subject to seasonal fluctuations in cash flows. The amount, type and timing of any future financing will vary from year to year based on capital needs and maturity or redemptions of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18, 2025, the Company issued and sold 1,602,358 shares of its common stock at a price of $46.65 per share in a registered public offering (Offering). The Company’s net increase to Common Equity and Cash proceeds from the Offering was approximately $71.8 million. The proceeds were used to make equity capital contributions to the Company’s regulated utility subsidiaries, to repay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and for other general corporate purposes. Overall, the results of operations and earnings reflect the higher number of average shares outstanding, period over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 2025, the Company entered into an at-the-market equity offering program (the ATM program) with sales agents under which the Company may, from time to time, offer and sell shares of Unitil's common stock having an aggregate offering price of up to $50 million. Sales of common stock under the ATM program, if any, are made pursuant to a shelf registration statement on Form S-3 (File No. 333-287753) and a related prospectus supplement filed with the Securities and Exchange Commission. As of June 30, 2026, the Company had sold an aggregate of 239,662 shares under the ATM program for net proceeds of $12.3 million. As of June 30, 2026, approximately $37.5 million remains available for future sales under the program. There were 212,042 shares sold under the ATM program for net proceeds of $10.8 million during the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its subsidiaries are individually and collectively members of the Unitil Cash Pool (Cash Pool). The Cash Pool is the financing vehicle for day-to-day cash borrowing and investing. The Cash Pool allows for an efficient exchange of cash among the Company and its subsidiaries. The interest rates charged to the subsidiaries for borrowing from the Cash Pool are based on actual interest costs from lenders under the Company’s revolving Credit Facility (as defined below). As of June 30, 2026, June 30, 2025 and December 31, 2025, the Company and all of its subsidiaries were in compliance with the regulatory requirements to participate in the Cash Pool.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29, 2022, the Company entered into a Third Amended and Restated Credit Agreement with a syndicate of lenders (collectively, the Credit Facility), which amended and restated the prior facility in full, and on January 29, 2025, the Company executed an amendment that increased the borrowing limit from $200 million to $275 million and extended the maturity date from September 29, 2027 to September 29, 2028. Unitil may borrow under the Credit Facility through September 29, 2028, with the option for two additional one</w:t>
        <w:noBreakHyphen/>
        <w:t>year extensions under certain conditions. The Credit Facility provides for a $275 million borrowing limit, including a $25 million sublimit for standby letters of credit, and permits Unitil to increase the borrowing limit by up to an additional $75 million under certain circumstances. Borrowings under the Credit Facility may bear interest at various rate options, including a daily fluctuating rate equal to the forward</w:t>
        <w:noBreakHyphen/>
        <w:t>looking one</w:t>
        <w:noBreakHyphen/>
        <w:t>month SOFR term rate (as administered by the Federal Reserve Bank of New York), plus 0.1000%, plus a margin ranging from 1.125% to 1.375% based on Unitil’s credit rating.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utilizes the Credit Facility for cash management purposes related to its short-term operating activities. Total gross borrowings were $174.5 million for the six months ended June 30, 2026. Total gross repayments were $238.0 million for the six months ended June 30, 2026. The following table details the borrowing limits, amounts outstanding and amounts available under the Credit Facility as of June 30, 2026, June 30, 2025 and December 31, 2025: </w:t>
      </w:r>
    </w:p>
    <w:tbl>
      <w:tblPr>
        <w:tblW w:w="6656"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11"/>
        <w:gridCol w:w="571"/>
        <w:gridCol w:w="146"/>
        <w:gridCol w:w="146"/>
        <w:gridCol w:w="294"/>
        <w:gridCol w:w="80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Revolving Credit Facility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Credit Facility contains customary terms and conditions for credit facilities of this type, including affirmative and negative covenants. There are restrictions on, among other things, Unitil’s and its subsidiaries’ ability to incur liens or incur indebtedness, and restrictions on Unitil’s ability to merge or consolidate with another entity or change its line of business. The affirmative and negative covenants under the Credit Facility shall apply to Unitil until the Credit Facility terminates and all amounts borrowed under Credit Facility are paid in full (or, with respect to letters of credit, they are cash-collateralized). The only financial covenant in the Credit Facility provides that Unitil’s Funded Debt to Capitalization (as each term is defined in the Credit Facility) cannot exceed 65%, tested on a quarterly basis. At June 30, 2026, June 30, 2025 and December 31, 2025, the Company was in compliance with the covenants contained in the Credit Facility in effect on those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30, 2026, Fitchburg issued $23.0 million of Notes due 2036 at 5.62% and $17.0 million of Notes due 2041 at 5.87%. Fitchburg used the net proceeds to refinance existing debt and for general corporate purposes. Approximately $0.3 million of costs associated with this issuance were recorded as a reduction of Long-Term Debt on the Consolidated Balance Sheet in the second quarter of 2026.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8, 2025, Bangor issued $14.0 million of Notes due 2030 at 5.70% and $18.0 million of Notes due 2035 at 6.31%. Bangor used the net proceeds to refinance existing debt and for general corporate purposes. Approximately $0.2 million of costs associated with this issuance were recorded as a reduction of Long-Term Debt on the Consolidated Balance Sheet in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30, 2026, the Company entered into an Amended and Restated senior unsecured delayed-draw term loan facility with the Bank of Nova Scotia, which amended and restated the previous facility entered into on October 31, 2025. Tranche A in the agreement equals the aggregate commitment of $86.0 million used to fund the acquisition of Maine Natural on October 31, 2025 and has a maturity date of October 31, 2026. As of June 30, 2026, the Company’s Tranche A borrowings outstanding were $86.0 million. Tranche B in the agreement equals the aggregate commitment of $50.0 million used to fund the acquisition of the Aquarion Water companies on June 30, 2026 and has a maturity date of June 30, 2027. As of June 30, 2026, the Company’s Tranche B borrowings outstanding were $42.6 million. The facility provides that the Company has an option for determining whether interest on loans under the facility will bear interest based on a Base Rate plus an applicable margin of 0.25% or based on a one-month Term SOFR plus a SOFR adjustment of 0.10% plus an applicable margin of 1.25%. The Base Rate is equal to the highest of the (a) Federal Funds Rate plus 0.50%, (b) the rate of interest in effect for such day as publicly announced from time to time by The Bank of Nova Scotia as its "prime rate", or (c) one-month Term SOFR plus a SOFR adjustment of 0.10% plus 1.00%.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Unitil and its utility subsidiaries, Fitchburg, Unitil Energy, Northern Utilities, and Granite State currently are rated “BBB+”, and Bangor and Maine Natural are rated “BBB” by Standard &amp; Poor’s Ratings Services. Unitil and Granite State currently are rated “Baa2”, and Fitchburg, Unitil Energy and Northern Utilities are currently rated “Baa1” by Moody's Investors Services.</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continued availability of various methods of financing, as well as the choice of a specific form of security for such financing, will depend on many factors, including, but not limited to: security market conditions; general economic climate; regulatory approvals; the ability to meet covenant issuance restrictions; the level of earnings, cash flows and financial position; and the competitive pricing offered by financing sources. The Company believes it has sufficient sources of working capital to fund its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provides limited guarantees on certain energy and gas storage management contracts entered into by the energy distribution utilities. The Company’s policy is to limit the duration of these guarantees. As of June 30, 2026, there were $50.3 million of guarantees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Northern Utilities and Bangor enter into asset management agreements under which Northern Utilities and Bangor release certain gas pipeline and storage assets, sell to an asset manager and subsequently repurchase the gas over the course of the gas heating season at the same price at which they sold the gas to the asset manager. There was $8.3 million of natural gas storage inventory and corresponding obligations at June 30, 2026 related to these asset management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guarantees the payment of principal, interest and other amounts payable on the notes issued by Abenaki. As of June 30, 2026, the total principal amount outstanding for the Abenaki notes was $2.7 million.</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and its subsidiaries do not currently use, and are not dependent on the use of, off-balance sheet financing arrangements such as securitization of receivables or obtaining access to assets or cash through special purpose entities or variable interest entities. Unitil’s subsidiaries conduct a portion of their operations in leased facilities, and lease some of their vehicles, machinery and office equipment under both capital and operating lease arrangements. As of June 30, 2026, there were $50.3 million of guarantees on certain energy and natural gas storage management contracts entered into by the energy distribution utilities outstanding. See Note 4 (Debt and Financing Arrangements) to the accompanying Consolidated Financial Statements.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Company’s financial statements in conformity with generally accepted accounting principles in the United States of America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In making those estimates and assumptions, the Company sometimes is required to make difficult, subjective and/or complex judgments about the effect of matters that are inherently uncertain and for which different estimates that could reasonably have been used could have resulted in material differences in its financial statements. If actual results were to differ significantly from those estimates, assumptions and judgments, the financial position of the Company could be materially affected and the results of operations of the Company could be materially different than reported. As of June 30, 2026, the Company’s critical accounting policies and estimates had not changed significantly from December 31, 2025. See Part II, Item 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pPr>
      <w:r>
        <w:rPr>
          <w:color w:val="000000"/>
        </w:rPr>
        <w:t>“</w:t>
      </w:r>
      <w:r>
        <w:rPr>
          <w:rFonts w:ascii="Times New Roman" w:hAnsi="Times New Roman"/>
          <w:color w:val="000000"/>
          <w:sz w:val="20"/>
        </w:rPr>
        <w:t xml:space="preserve">Management’s Discussion and Analysis of Financial Condition and Results of Operations—Critical Accounting Policies” in the Company’s 2025 Annual Report on Form 10-K for additional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and its subsidiaries had 614 employees. The Company considers its relationship with employees to be good and has not experienced any major labor disruptions.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strives to be the employer of choice in the communities it serves. The Company works diligently to attract the best talent from a diverse range of sources to meet the current and future demands of the Company's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attract and retain a talented workforce, Unitil provides employee wages that are competitive and consistent with employee positions, skill levels, experience, knowledge and geographic location. All employees are eligible for health insurance, paid and unpaid leave, educational assistance, retirement plan and life and disability/accident coverage. Feedback from employees is collected annually in the Company’s employee opinion survey. This feedback helps create action plans to improve the engagement of employees consistent with the Company’s culture of continuous improvement.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200 employees of certain of the Company’s subsidiaries were represented by labor unions. The following table details by subsidiary the employees covered by a collective bargaining agreement (CBA) as of June 30, 2026: </w:t>
      </w:r>
    </w:p>
    <w:tbl>
      <w:tblPr>
        <w:tblW w:w="5785" w:type="dxa"/>
        <w:jc w:val="left"/>
        <w:tblInd w:w="0" w:type="dxa"/>
        <w:tblLayout w:type="fixed"/>
        <w:tblCellMar>
          <w:top w:w="28" w:type="dxa"/>
          <w:left w:w="28" w:type="dxa"/>
          <w:bottom w:w="28" w:type="dxa"/>
          <w:right w:w="28" w:type="dxa"/>
        </w:tblCellMar>
      </w:tblPr>
      <w:tblGrid>
        <w:gridCol w:w="2641"/>
        <w:gridCol w:w="146"/>
        <w:gridCol w:w="1531"/>
        <w:gridCol w:w="146"/>
        <w:gridCol w:w="132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Employees Covered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CBA Expiration</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Energy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5/31/2028</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Fitchburg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5/31/2027</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Utilities NH Division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5/31/2030</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Utilities ME Division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3/31/2027</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Bangor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5/31/2031</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Maine Natural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3/31/2027</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Granite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3/31/2027</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AWC-NH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12/31/2026</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Unitil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5/31/2028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CBAs provide discrete salary adjustments, established work practices and uniform benefit packages. The Company expects to negotiate new agreements prior to their expiration dates. </w:t>
      </w:r>
    </w:p>
    <w:p>
      <w:pPr>
        <w:pStyle w:val="TextBody"/>
        <w:bidi w:val="0"/>
        <w:spacing w:before="360" w:after="283"/>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Unitil meets its external financing needs by issuing short-term and long-term debt. The majority of debt outstanding represents long-term notes or bonds bearing fixed rates of interest. Changes in market interest rates do not affect interest expense resulting from these outstanding long-term debt securities. However, the Company periodically repays its short-term debt borrowings through the issuance of new long-term debt securities. Changes in market interest rates may affect the interest rate and corresponding interest expense on any new issuances of long-term debt securities. In addition, short-term debt borrowings bear a variable rate of interest. As a result, changes in short-term interest rates will increase or decrease interest expense in future periods. For example, if the average amount of short-term debt outstanding was $25 million for the period of one year, a change in interest rates of 1% would result in a change in annual interest expense of approximately $250,000. The average interest rates on the Company’s short-term borrowings and intercompany money pool transactions for the six months ended June 30, 2026 and June 30, 2025 were 4.9% and 5.6%, respectively. The average interest rate on the Company’s short-term borrowings for the twelve months ended December 31, 2025 was 5.4%. </w:t>
      </w:r>
    </w:p>
    <w:p>
      <w:pPr>
        <w:pStyle w:val="TextBody"/>
        <w:bidi w:val="0"/>
        <w:spacing w:before="360" w:after="283"/>
        <w:jc w:val="left"/>
        <w:rPr>
          <w:rFonts w:ascii="Times New Roman" w:hAnsi="Times New Roman"/>
          <w:sz w:val="20"/>
        </w:rPr>
      </w:pPr>
      <w:r>
        <w:rPr>
          <w:rFonts w:ascii="Times New Roman" w:hAnsi="Times New Roman"/>
          <w:b/>
          <w:color w:val="000000"/>
          <w:sz w:val="20"/>
        </w:rPr>
        <w:t>COMMODITY PRICE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Unitil’s five energy distribution utilities are subject to commodity price variations as part of their traditional operations, the current regulatory framework within which these companies operate allows for full collection of electric power and natural gas supply costs in rates on a pass-through basis. Consequently, there is limited commodity price risk after consideration of the related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rate-making. The Company has divested its long-term power supply contracts and therefore, further reduced its exposure to commodity risk. </w:t>
      </w:r>
    </w:p>
    <w:p>
      <w:pPr>
        <w:pStyle w:val="TextBody"/>
        <w:bidi w:val="0"/>
        <w:spacing w:before="360" w:after="283"/>
        <w:jc w:val="left"/>
        <w:rPr>
          <w:rFonts w:ascii="Times New Roman" w:hAnsi="Times New Roman"/>
          <w:sz w:val="20"/>
        </w:rPr>
      </w:pPr>
      <w:r>
        <w:rPr>
          <w:rFonts w:ascii="Times New Roman" w:hAnsi="Times New Roman"/>
          <w:b/>
          <w:caps/>
          <w:color w:val="000000"/>
          <w:sz w:val="20"/>
        </w:rPr>
        <w:t>Regulatory Matters</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Please refer to Note 7 to the Consolidated Financial Statements in Part I, Item 1 of this report for a discussion of Regulatory Matters.</w:t>
      </w:r>
      <w:r>
        <w:rPr>
          <w:rFonts w:ascii="Times New Roman" w:hAnsi="Times New Roman"/>
          <w:color w:val="000000"/>
          <w:sz w:val="20"/>
        </w:rPr>
        <w:t xml:space="preserve">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ENVIRONMENTAL MATTERS</w:t>
      </w:r>
    </w:p>
    <w:p>
      <w:pPr>
        <w:pStyle w:val="TextBody"/>
        <w:bidi w:val="0"/>
        <w:spacing w:before="120" w:after="283"/>
        <w:jc w:val="left"/>
        <w:rPr>
          <w:rFonts w:ascii="Times New Roman" w:hAnsi="Times New Roman"/>
          <w:sz w:val="20"/>
        </w:rPr>
      </w:pPr>
      <w:bookmarkStart w:id="9" w:name="managements_discussion_end"/>
      <w:bookmarkEnd w:id="9"/>
      <w:r>
        <w:rPr>
          <w:rFonts w:ascii="Times New Roman" w:hAnsi="Times New Roman"/>
          <w:b/>
          <w:color w:val="000000"/>
          <w:sz w:val="20"/>
        </w:rPr>
        <w:t>Please refer to Note 8 to the Consolidated Financial Statements in Part I, Item 1 of this report for a discussion of Environmental Matters.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UNITIL CORPORATION AND SUBSIDIARY COMPANIES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consolidated_statements_of_earnings"/>
      <w:bookmarkEnd w:id="10"/>
      <w:r>
        <w:rPr>
          <w:rFonts w:ascii="Times New Roman" w:hAnsi="Times New Roman"/>
          <w:b/>
          <w:color w:val="000000"/>
          <w:sz w:val="20"/>
        </w:rPr>
        <w:t>CONSOLIDATED STATEMENTS OF EARNINGS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(Millions, except per share data)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04"/>
        <w:gridCol w:w="146"/>
        <w:gridCol w:w="211"/>
        <w:gridCol w:w="571"/>
        <w:gridCol w:w="166"/>
        <w:gridCol w:w="146"/>
        <w:gridCol w:w="211"/>
        <w:gridCol w:w="571"/>
        <w:gridCol w:w="166"/>
        <w:gridCol w:w="146"/>
        <w:gridCol w:w="211"/>
        <w:gridCol w:w="571"/>
        <w:gridCol w:w="166"/>
        <w:gridCol w:w="146"/>
        <w:gridCol w:w="211"/>
        <w:gridCol w:w="571"/>
        <w:gridCol w:w="391"/>
      </w:tblGrid>
      <w:tr>
        <w:trPr/>
        <w:tc>
          <w:tcPr>
            <w:tcW w:w="5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Electric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Electric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Gas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Operation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Taxes Other Than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Applicable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unaudited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UNITIL CORPORATION AND SUBSIDIARY COMPANIES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1" w:name="consolidated_balance_sheets"/>
      <w:bookmarkEnd w:id="11"/>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(Millions)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3261"/>
        <w:gridCol w:w="146"/>
        <w:gridCol w:w="211"/>
        <w:gridCol w:w="721"/>
        <w:gridCol w:w="146"/>
        <w:gridCol w:w="146"/>
        <w:gridCol w:w="211"/>
        <w:gridCol w:w="721"/>
        <w:gridCol w:w="146"/>
        <w:gridCol w:w="146"/>
        <w:gridCol w:w="244"/>
        <w:gridCol w:w="836"/>
        <w:gridCol w:w="59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Exchange Gas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Gas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Prepayments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Utility Plant: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Electric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Construction 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Utility Plant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Utility Plant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Derivative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unaudited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UNITIL CORPORATION AND SUBSIDIARY COMPANIES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BALANCE SHEETS (Cont.)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(Millions, except number of shares)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671" w:type="dxa"/>
        <w:jc w:val="left"/>
        <w:tblInd w:w="0" w:type="dxa"/>
        <w:tblLayout w:type="fixed"/>
        <w:tblCellMar>
          <w:top w:w="28" w:type="dxa"/>
          <w:left w:w="28" w:type="dxa"/>
          <w:bottom w:w="28" w:type="dxa"/>
          <w:right w:w="28" w:type="dxa"/>
        </w:tblCellMar>
      </w:tblPr>
      <w:tblGrid>
        <w:gridCol w:w="5406"/>
        <w:gridCol w:w="146"/>
        <w:gridCol w:w="211"/>
        <w:gridCol w:w="721"/>
        <w:gridCol w:w="146"/>
        <w:gridCol w:w="146"/>
        <w:gridCol w:w="211"/>
        <w:gridCol w:w="721"/>
        <w:gridCol w:w="146"/>
        <w:gridCol w:w="146"/>
        <w:gridCol w:w="244"/>
        <w:gridCol w:w="836"/>
        <w:gridCol w:w="591"/>
      </w:tblGrid>
      <w:tr>
        <w:trPr/>
        <w:tc>
          <w:tcPr>
            <w:tcW w:w="5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Energy Supply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Environmental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Removal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Retirement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Environmental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Equity (No par value, Authorized 25,000,000 shares;</w:t>
              <w:br/>
              <w:t>   Outstanding 18,225,964, 16,291,395 and 17,919,191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Common Stock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(Notes 7 &amp;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bookmarkStart w:id="12" w:name="balance_sheets_end"/>
      <w:bookmarkEnd w:id="12"/>
      <w:r>
        <w:rPr>
          <w:rFonts w:ascii="Times New Roman" w:hAnsi="Times New Roman"/>
          <w:i/>
          <w:color w:val="000000"/>
          <w:sz w:val="20"/>
        </w:rPr>
        <w:t>(The accompanying notes are an integral part of these consolidated unaudited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UNITIL CORPORATION AND SUBSIDIARY COMPANIES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3" w:name="consolidated_statements_of_cash_flows"/>
      <w:bookmarkEnd w:id="13"/>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(Millions) (UNAUDITED)</w:t>
      </w:r>
      <w:r>
        <w:rPr>
          <w:rFonts w:ascii="Times New Roman" w:hAnsi="Times New Roman"/>
          <w:color w:val="000000"/>
          <w:sz w:val="20"/>
        </w:rPr>
        <w:t xml:space="preserve"> </w:t>
      </w:r>
    </w:p>
    <w:p>
      <w:pPr>
        <w:pStyle w:val="TextBody"/>
        <w:bidi w:val="0"/>
        <w:jc w:val="left"/>
        <w:rPr/>
      </w:pPr>
      <w:r>
        <w:rPr/>
        <w:t> </w:t>
      </w:r>
    </w:p>
    <w:tbl>
      <w:tblPr>
        <w:tblW w:w="9599" w:type="dxa"/>
        <w:jc w:val="left"/>
        <w:tblInd w:w="0" w:type="dxa"/>
        <w:tblLayout w:type="fixed"/>
        <w:tblCellMar>
          <w:top w:w="28" w:type="dxa"/>
          <w:left w:w="28" w:type="dxa"/>
          <w:bottom w:w="28" w:type="dxa"/>
          <w:right w:w="28" w:type="dxa"/>
        </w:tblCellMar>
      </w:tblPr>
      <w:tblGrid>
        <w:gridCol w:w="6846"/>
        <w:gridCol w:w="146"/>
        <w:gridCol w:w="211"/>
        <w:gridCol w:w="631"/>
        <w:gridCol w:w="166"/>
        <w:gridCol w:w="146"/>
        <w:gridCol w:w="211"/>
        <w:gridCol w:w="631"/>
        <w:gridCol w:w="611"/>
      </w:tblGrid>
      <w:tr>
        <w:trPr/>
        <w:tc>
          <w:tcPr>
            <w:tcW w:w="6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Income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Working Capital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color w:val="000000"/>
              </w:rPr>
            </w:pPr>
            <w:r>
              <w:rPr>
                <w:color w:val="000000"/>
              </w:rPr>
              <w:t> </w:t>
            </w:r>
            <w:r>
              <w:rPr>
                <w:rFonts w:ascii="Times New Roman" w:hAnsi="Times New Roman"/>
                <w:color w:val="000000"/>
                <w:sz w:val="20"/>
              </w:rPr>
              <w:t>Exchange Gas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Changes in Working Capital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Regulatory and Other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 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 of Businesses,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Proceeds from Short-Term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Repayment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Increase in Exchange Gas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Decrease in Capital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Construction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Capital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Investing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Capital Expenditures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consolidated unaudited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UNITIL CORPORATION AND SUBSIDIARY COMPANIES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4" w:name="consolidated_statements_of_changes_in_co"/>
      <w:bookmarkEnd w:id="14"/>
      <w:r>
        <w:rPr>
          <w:rFonts w:ascii="Times New Roman" w:hAnsi="Times New Roman"/>
          <w:b/>
          <w:color w:val="000000"/>
          <w:sz w:val="20"/>
        </w:rPr>
        <w:t>CONSOLIDATED STATEMENTS OF CHANGES IN COMMON STOCK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(Millions, except number of shares)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left"/>
        <w:rPr/>
      </w:pPr>
      <w:r>
        <w:rPr/>
        <w:t> </w:t>
      </w:r>
    </w:p>
    <w:tbl>
      <w:tblPr>
        <w:tblW w:w="6773" w:type="dxa"/>
        <w:jc w:val="left"/>
        <w:tblInd w:w="0" w:type="dxa"/>
        <w:tblLayout w:type="fixed"/>
        <w:tblCellMar>
          <w:top w:w="28" w:type="dxa"/>
          <w:left w:w="28" w:type="dxa"/>
          <w:bottom w:w="28" w:type="dxa"/>
          <w:right w:w="28" w:type="dxa"/>
        </w:tblCellMar>
      </w:tblPr>
      <w:tblGrid>
        <w:gridCol w:w="3286"/>
        <w:gridCol w:w="146"/>
        <w:gridCol w:w="211"/>
        <w:gridCol w:w="571"/>
        <w:gridCol w:w="146"/>
        <w:gridCol w:w="146"/>
        <w:gridCol w:w="211"/>
        <w:gridCol w:w="571"/>
        <w:gridCol w:w="166"/>
        <w:gridCol w:w="146"/>
        <w:gridCol w:w="211"/>
        <w:gridCol w:w="571"/>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at April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($0.475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Issuance of 217,576</w:t>
            </w:r>
            <w:r>
              <w:rPr>
                <w:rFonts w:ascii="Times New Roman" w:hAnsi="Times New Roman"/>
                <w:color w:val="000000"/>
                <w:sz w:val="20"/>
              </w:rPr>
              <w:t> </w:t>
            </w:r>
            <w:r>
              <w:rPr>
                <w:rFonts w:ascii="Times New Roman" w:hAnsi="Times New Roman"/>
                <w:color w:val="000000"/>
                <w:sz w:val="19"/>
              </w:rPr>
              <w:t>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at April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($0.45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Issuance of 32,838</w:t>
            </w:r>
            <w:r>
              <w:rPr>
                <w:rFonts w:ascii="Times New Roman" w:hAnsi="Times New Roman"/>
                <w:color w:val="000000"/>
                <w:sz w:val="20"/>
              </w:rPr>
              <w:t> </w:t>
            </w:r>
            <w:r>
              <w:rPr>
                <w:rFonts w:ascii="Times New Roman" w:hAnsi="Times New Roman"/>
                <w:color w:val="000000"/>
                <w:sz w:val="19"/>
              </w:rPr>
              <w:t>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68" w:type="dxa"/>
        <w:jc w:val="left"/>
        <w:tblInd w:w="0" w:type="dxa"/>
        <w:tblLayout w:type="fixed"/>
        <w:tblCellMar>
          <w:top w:w="28" w:type="dxa"/>
          <w:left w:w="28" w:type="dxa"/>
          <w:bottom w:w="28" w:type="dxa"/>
          <w:right w:w="28" w:type="dxa"/>
        </w:tblCellMar>
      </w:tblPr>
      <w:tblGrid>
        <w:gridCol w:w="3181"/>
        <w:gridCol w:w="146"/>
        <w:gridCol w:w="211"/>
        <w:gridCol w:w="571"/>
        <w:gridCol w:w="146"/>
        <w:gridCol w:w="146"/>
        <w:gridCol w:w="211"/>
        <w:gridCol w:w="571"/>
        <w:gridCol w:w="166"/>
        <w:gridCol w:w="146"/>
        <w:gridCol w:w="211"/>
        <w:gridCol w:w="57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w:t>
              <w:br/>
              <w:t>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($0.95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Issuance of 223,699</w:t>
            </w:r>
            <w:r>
              <w:rPr>
                <w:rFonts w:ascii="Times New Roman" w:hAnsi="Times New Roman"/>
                <w:color w:val="000000"/>
                <w:sz w:val="20"/>
              </w:rPr>
              <w:t> </w:t>
            </w:r>
            <w:r>
              <w:rPr>
                <w:rFonts w:ascii="Times New Roman" w:hAnsi="Times New Roman"/>
                <w:color w:val="000000"/>
                <w:sz w:val="19"/>
              </w:rPr>
              <w:t>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($0.90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Issuance of 38,311</w:t>
            </w:r>
            <w:r>
              <w:rPr>
                <w:rFonts w:ascii="Times New Roman" w:hAnsi="Times New Roman"/>
                <w:color w:val="000000"/>
                <w:sz w:val="20"/>
              </w:rPr>
              <w:t> </w:t>
            </w:r>
            <w:r>
              <w:rPr>
                <w:rFonts w:ascii="Times New Roman" w:hAnsi="Times New Roman"/>
                <w:color w:val="000000"/>
                <w:sz w:val="19"/>
              </w:rPr>
              <w:t>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bookmarkStart w:id="15" w:name="consolidated_statements_of_changes_end"/>
      <w:bookmarkEnd w:id="15"/>
      <w:r>
        <w:rPr>
          <w:rFonts w:ascii="Times New Roman" w:hAnsi="Times New Roman"/>
          <w:i/>
          <w:color w:val="000000"/>
          <w:sz w:val="20"/>
        </w:rPr>
        <w:t>(The accompanying notes are an integral part of these consolidated unaudited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UNITIL CORPORATION AND SUBSIDIARY COMPANIES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6" w:name="notes_to_consolidated_financial_statemen"/>
      <w:bookmarkEnd w:id="16"/>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spacing w:before="240" w:after="283"/>
        <w:jc w:val="left"/>
        <w:rPr>
          <w:rFonts w:ascii="Times New Roman" w:hAnsi="Times New Roman"/>
          <w:sz w:val="20"/>
        </w:rPr>
      </w:pPr>
      <w:r>
        <w:rPr>
          <w:rFonts w:ascii="Times New Roman" w:hAnsi="Times New Roman"/>
          <w:b/>
          <w:caps/>
          <w:color w:val="000000"/>
          <w:sz w:val="20"/>
        </w:rPr>
        <w:t>Note 1 - Summary of Significant Accounting Policies</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Nature of Operations</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Unitil Corporation (Unitil or the Company) is a public utility holding company. Unitil and its electric and natural gas subsidiaries are subject to regulation as a holding company system by the Federal Energy Regulatory Commission (FERC) under the Energy Policy Act of 2005. The following companies are wholly owned subsidiaries of Unitil: Unitil Energy Systems, Inc. (Unitil Energy), Fitchburg Gas and Electric Light Company (Fitchburg), Northern Utilities, Inc. (Northern Utilities), Bangor Natural Gas Company, (Bangor), Maine Natural Gas Corporation (Maine Natural), collectively the "energy distribution" utilities; Granite State Gas Transmission, Inc. (Granite State); Unitil Power Corp. (Unitil Power); Aquarion Water Company of New Hampshire, Inc. (AWC-NH), Abenaki Water Co., Inc. (Abenaki), collectively the "water distribution" utilities; Unitil Realty Corp. (Unitil Realty); Unitil Service Corp. (Unitil Service); Unitil Water Corp. (Unitil Water); and its non-regulated business unit Unitil Resources, Inc. (Unitil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earnings historically have been seasonal and typically higher in the first and fourth quarters when customers use natural gas for heating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Unitil’s principal business is the local distribution of electricity in the southeastern seacoast and capital city areas of New Hampshire and the greater Fitchburg area of north central Massachusetts, the local distribution of natural gas in southeastern New Hampshire, portions of southern Maine to the Lewiston-Auburn area, portions of central Maine including Augusta and the Bangor area, and in the greater Fitchburg area of north central Massachusetts, and the local distribution of water in New Hampshire. Unitil has five energy distribution utility subsidiaries: including Unitil Energy, which operates in New Hampshire; Fitchburg, which operates in Massachusetts; Northern Utilities, which operates in New Hampshire and Maine; Bangor, which operates in Maine; and Maine Natural, which operates in Maine. Unitil has two water distribution utility subsidiaries: including AWC-NH and Abenaki, which both operate in New Hampshire.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Granite State is an interstate gas transmission pipeline company, operating 85 miles of underground gas transmission pipeline primarily located in Maine and New Hampshire. Granite State provides Northern Utilities with interconnection to three major gas pipelines and access to domestic gas supplies in the south and Canadian gas supplies in the north. Granite State derives its revenues principally from transportation services provided to Northern Utilities and, to a lesser extent, third-party marketers.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seventh energy utility subsidiary, Unitil Power, formerly functioned as the full requirements wholesale power supply provider for Unitil Energy, but ceased being the wholesale supplier of Unitil Energy with the implementation of industry restructuring and divested its long-term power supply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Unitil also has four other wholly owned subsidiaries: Unitil Service, Unitil Resources, Unitil Realty and Unitil Water. Unitil Service provides, at cost, a variety of administrative and professional services, including regulatory, financial, accounting, human resources, engineering, operations, technology, energy management and management services on a centralized basis to its affiliated Unitil companies. Unitil Resources is the Company’s wholly owned non-regulated subsidiary, which currently does not have any activity. Unitil Realty owns and manages the Company’s corporate office in Hampton, New Hampshire and leases this facility to Unitil Service under a long-term lease arrangement. Unitil Realty also owns land in Kingston, New Hampshire, on which Unitil Energy’s solar facility is located. Unitil Water currently has no activity.</w:t>
      </w:r>
    </w:p>
    <w:p>
      <w:pPr>
        <w:pStyle w:val="TextBody"/>
        <w:bidi w:val="0"/>
        <w:spacing w:before="240" w:after="283"/>
        <w:jc w:val="left"/>
        <w:rPr>
          <w:rFonts w:ascii="Times New Roman" w:hAnsi="Times New Roman"/>
          <w:sz w:val="20"/>
        </w:rPr>
      </w:pPr>
      <w:r>
        <w:rPr>
          <w:rFonts w:ascii="Times New Roman" w:hAnsi="Times New Roman"/>
          <w:b/>
          <w:color w:val="000000"/>
          <w:sz w:val="20"/>
        </w:rPr>
        <w:t>Basis of Presentation -</w:t>
      </w:r>
      <w:r>
        <w:rPr>
          <w:rFonts w:ascii="Times New Roman" w:hAnsi="Times New Roman"/>
          <w:color w:val="000000"/>
          <w:sz w:val="20"/>
        </w:rPr>
        <w:t xml:space="preserve"> The accompanying unaudited consolidated financial statements of Unitil have been prepared in accordance with the instructions to Form 10-Q and include the information and footnotes required by generally accepted accounting principles. In the opinion of management, all adjustments considered necessary for a fair presentation have been included. The results of operations for the three and six months ended June 30, 2026 are not necessarily indicative of results to be expected for the year ending December 31, 2026. For additional information, refer to Note 1 of Part II to the Consolidated Financial Statements – “Summary of Significant Accounting Policies” of the Company’s Form 10-K for the year ended December 31, 2025, as filed with the Securities and Exchange Commission (SEC) on February 9, 2026, for a description of the Company’s Basis of Presentation.</w:t>
      </w:r>
    </w:p>
    <w:p>
      <w:pPr>
        <w:pStyle w:val="TextBody"/>
        <w:bidi w:val="0"/>
        <w:spacing w:before="240" w:after="283"/>
        <w:jc w:val="left"/>
        <w:rPr>
          <w:rFonts w:ascii="Times New Roman" w:hAnsi="Times New Roman"/>
          <w:sz w:val="20"/>
        </w:rPr>
      </w:pPr>
      <w:r>
        <w:rPr>
          <w:rFonts w:ascii="Times New Roman" w:hAnsi="Times New Roman"/>
          <w:b/>
          <w:color w:val="000000"/>
          <w:sz w:val="20"/>
        </w:rPr>
        <w:t>Utility Revenue Recognition -</w:t>
      </w:r>
      <w:r>
        <w:rPr>
          <w:rFonts w:ascii="Times New Roman" w:hAnsi="Times New Roman"/>
          <w:color w:val="000000"/>
          <w:sz w:val="20"/>
        </w:rPr>
        <w:t xml:space="preserve"> Electric, Gas and Water Operating Revenues consist of billed and unbilled revenue and revenue from rate adjustment mechanisms. Billed and unbilled revenue includes delivery revenue and pass-through revenue, recognized according to tariffs approved by federal and state regulatory commissions, which determine the amount of revenue the Company will record for these items. Revenue from rate adjustment mechanisms is accrued revenue, recognized in connection with rate adjustment mechanisms, and authorized by regulators for recognition in the current period for future cash recoveries from, or credits to,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is recorded when service is rendered to customers. However, the determination of sales to individual customers is based on the reading of their meters, which occurs on a systematic basis throughout the month. At the end of each calendar month, amounts delivered to customers since the date of the last meter reading are estimated and the corresponding unbilled revenues are calculated. These unbilled revenues are estimated each month based on estimated customer usage by class and applicable customer rates, taking into account current and historical weather data, assumptions pertaining to metering patterns, billing cycle statistics, and other estimates and assumptions, and are then reversed in the following month when billed to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majority of the Company’s revenue from contracts with customers continues to be recognized on a monthly basis based on applicable tariffs and customer monthly consumption. Such revenue is recognized using the invoice practical expedient, which allows an entity to recognize revenue in the amount that directly corresponds to the value transferred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billed and unbilled revenue meets the definition of “revenues from contracts with customers” as defined in Accounting Standards Codification (ASC) 606. Revenue recognized in connection with rate adjustment mechanisms is consistent with the definition of alternative revenue programs in ASC 980-605-25-3, as the Company has the ability to adjust rates in the future as a result of past activities or completed events. The rate adjustment mechanisms meet the criteria within ASC 980-605-25-4. In cases where allowable costs are greater than operating revenues billed in the current period for the individual rate adjustment mechanism, additional operating revenue is recognized. In cases where allowable costs are less than operating revenues billed in the current period for the individual rate adjustment mechanism, operating revenue is reduced. ASC 606 requires the Company to disclose separately the amount of revenues from contracts with customers and alternative revenue program revenues.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following tables, revenue is classified by the types of goods/services rendered and market/customer type. </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4196"/>
        <w:gridCol w:w="146"/>
        <w:gridCol w:w="211"/>
        <w:gridCol w:w="466"/>
        <w:gridCol w:w="146"/>
        <w:gridCol w:w="146"/>
        <w:gridCol w:w="211"/>
        <w:gridCol w:w="466"/>
        <w:gridCol w:w="166"/>
        <w:gridCol w:w="146"/>
        <w:gridCol w:w="211"/>
        <w:gridCol w:w="571"/>
        <w:gridCol w:w="791"/>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Electric and Gas Operating Revenues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Billed and Unbilled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Billed and Unbilled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Adjustment Mechanism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Electric and Gas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4196"/>
        <w:gridCol w:w="146"/>
        <w:gridCol w:w="211"/>
        <w:gridCol w:w="466"/>
        <w:gridCol w:w="146"/>
        <w:gridCol w:w="146"/>
        <w:gridCol w:w="211"/>
        <w:gridCol w:w="466"/>
        <w:gridCol w:w="166"/>
        <w:gridCol w:w="146"/>
        <w:gridCol w:w="211"/>
        <w:gridCol w:w="571"/>
        <w:gridCol w:w="791"/>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Electric and Gas Operating Revenues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Billed and Unbilled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Billed and Unbilled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Adjustment Mechanism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Electric and Gas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03" w:type="dxa"/>
        <w:jc w:val="left"/>
        <w:tblInd w:w="0" w:type="dxa"/>
        <w:tblLayout w:type="fixed"/>
        <w:tblCellMar>
          <w:top w:w="28" w:type="dxa"/>
          <w:left w:w="28" w:type="dxa"/>
          <w:bottom w:w="28" w:type="dxa"/>
          <w:right w:w="28" w:type="dxa"/>
        </w:tblCellMar>
      </w:tblPr>
      <w:tblGrid>
        <w:gridCol w:w="4196"/>
        <w:gridCol w:w="146"/>
        <w:gridCol w:w="211"/>
        <w:gridCol w:w="571"/>
        <w:gridCol w:w="166"/>
        <w:gridCol w:w="146"/>
        <w:gridCol w:w="211"/>
        <w:gridCol w:w="571"/>
        <w:gridCol w:w="166"/>
        <w:gridCol w:w="146"/>
        <w:gridCol w:w="211"/>
        <w:gridCol w:w="571"/>
        <w:gridCol w:w="791"/>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Electric and Gas Operating Revenues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Billed and Unbilled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Billed and Unbilled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Adjustment Mechanism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Electric and Gas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083" w:type="dxa"/>
        <w:jc w:val="left"/>
        <w:tblInd w:w="0" w:type="dxa"/>
        <w:tblLayout w:type="fixed"/>
        <w:tblCellMar>
          <w:top w:w="28" w:type="dxa"/>
          <w:left w:w="28" w:type="dxa"/>
          <w:bottom w:w="28" w:type="dxa"/>
          <w:right w:w="28" w:type="dxa"/>
        </w:tblCellMar>
      </w:tblPr>
      <w:tblGrid>
        <w:gridCol w:w="4196"/>
        <w:gridCol w:w="146"/>
        <w:gridCol w:w="211"/>
        <w:gridCol w:w="571"/>
        <w:gridCol w:w="146"/>
        <w:gridCol w:w="146"/>
        <w:gridCol w:w="211"/>
        <w:gridCol w:w="571"/>
        <w:gridCol w:w="166"/>
        <w:gridCol w:w="146"/>
        <w:gridCol w:w="211"/>
        <w:gridCol w:w="571"/>
        <w:gridCol w:w="791"/>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Electric and Gas Operating Revenues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Billed and Unbilled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Billed and Unbilled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Adjustment Mechanism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Electric and Gas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electric and gas sales in Massachusetts and New Hampshire are largely decoupled. Revenue decoupling is the term given to the elimination of the dependency of a utility’s distribution revenue on the volume of electricity or gas sales. The difference between distribution revenue amounts billed to customers and the targeted revenue decoupling amounts is recognized as an increase or a decrease in Accrued Revenue, which forms the basis for resetting rates for future cash recoveries from, or credits to, customers. These revenue decoupling targets may be adjusted as a result of rate cases and other authorized adjustments that the Company files with the Massachusetts Department of Public Utilities (MDPU) and the New Hampshire Public Utilities Commission (NHPUC).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water distribution revenues recognized for the three and six months ended June 30, 2026 and 2025 as the acquisitions of the AWC-NH and Abenaki closed on June 30, 2026. Please see Note 1 (Summary of Significant Accounting Policies: Acquisition of the Aquarion Water Companies) for additional details.</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Taxes -</w:t>
      </w:r>
      <w:r>
        <w:rPr>
          <w:rFonts w:ascii="Times New Roman" w:hAnsi="Times New Roman"/>
          <w:color w:val="000000"/>
          <w:sz w:val="20"/>
        </w:rPr>
        <w:t xml:space="preserve"> The Company is subject to Federal and State income taxes and various other business taxes. The Company’s process for determining income tax amounts involves estimating the Company’s current tax liabilities and assessing temporary and permanent differences resulting from the timing of the deductions of expenses and recognition of taxable income for tax and book accounting purposes. These temporary differences result in deferred tax assets and liabilities, which are included in the Company’s Consolidated Balance Sheets. The Company accounts for income tax assets, liabilities and expenses in accordance with the Financial Accounting Standards Board (FASB) Codification guidance on Income Taxes. The Company classifies penalties and interest expense related to income tax liabilities as income tax expense and interest expense, respectively, in the Consolidated Statements of Earnings.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Provisions for income taxes are calculated in each jurisdiction in which the Company operates, for each period for which a statement of earnings is presented. The Company accounts for income taxes in accordance with the FASB Codification guidance on Income Taxes, which requires an asset and liability approach for the financial accounting and reporting of income taxes. Significant judgments and estimates are required in determining the current and deferred tax assets and liabilities. The Company’s deferred tax assets and liabilities reflect its best assessment of estimated future taxes to be paid. In accordance with the FASB Codification, the Company periodically assesses the realization of its deferred tax assets and liabilities and adjusts the income tax provision, the current tax liability and deferred taxes in the period in which the facts and circumstances which gave rise to the revision become known. </w:t>
      </w:r>
    </w:p>
    <w:p>
      <w:pPr>
        <w:pStyle w:val="TextBody"/>
        <w:bidi w:val="0"/>
        <w:spacing w:before="240" w:after="283"/>
        <w:jc w:val="left"/>
        <w:rPr>
          <w:rFonts w:ascii="Times New Roman" w:hAnsi="Times New Roman"/>
          <w:sz w:val="20"/>
        </w:rPr>
      </w:pPr>
      <w:r>
        <w:rPr>
          <w:rFonts w:ascii="Times New Roman" w:hAnsi="Times New Roman"/>
          <w:b/>
          <w:color w:val="000000"/>
          <w:sz w:val="20"/>
        </w:rPr>
        <w:t>Cash and Cash Equivalents -</w:t>
      </w:r>
      <w:r>
        <w:rPr>
          <w:rFonts w:ascii="Times New Roman" w:hAnsi="Times New Roman"/>
          <w:color w:val="000000"/>
          <w:sz w:val="20"/>
        </w:rPr>
        <w:t xml:space="preserve"> Cash and Cash Equivalents includes all cash and cash equivalents to which the Company has legal title. Cash equivalents include short-term investments with original maturities of three months or less and interest bearing deposits. The Company’s cash and cash equivalents are held at financial institutions and at times may exceed federally insured limits. The Company has not experienced any losses in such accounts. Under the Independent System Operator—New England (ISO-NE) Financial Assurance Policy (Policy), Unitil’s subsidiaries Unitil Energy, Fitchburg and Unitil Power are required to provide assurance of their ability to satisfy their obligations to ISO-NE. Under this Policy, Unitil’s subsidiaries provide cash deposits covering approximately 2-1/2 months of outstanding obligations, less credit amounts that are based on the Company’s credit rating. As of June 30, 2026, June 30, 2025 and December 31, 2025, the Unitil subsidiaries had deposited $6.0 million, $6.0 million and $8.5 million, respectively, to satisfy their ISO-NE obligations. </w:t>
      </w:r>
    </w:p>
    <w:p>
      <w:pPr>
        <w:pStyle w:val="TextBody"/>
        <w:bidi w:val="0"/>
        <w:spacing w:before="240" w:after="283"/>
        <w:jc w:val="left"/>
        <w:rPr>
          <w:rFonts w:ascii="Times New Roman" w:hAnsi="Times New Roman"/>
          <w:sz w:val="20"/>
        </w:rPr>
      </w:pPr>
      <w:r>
        <w:rPr>
          <w:rFonts w:ascii="Times New Roman" w:hAnsi="Times New Roman"/>
          <w:b/>
          <w:color w:val="000000"/>
          <w:sz w:val="20"/>
        </w:rPr>
        <w:t>Allowance for Doubtful Accounts -</w:t>
      </w:r>
      <w:r>
        <w:rPr>
          <w:rFonts w:ascii="Times New Roman" w:hAnsi="Times New Roman"/>
          <w:color w:val="000000"/>
          <w:sz w:val="20"/>
        </w:rPr>
        <w:t xml:space="preserve"> The Company recognizes a provision for doubtful accounts that reflects the Company’s estimate of expected credit losses for electric, gas and water utility service accounts receivable. The allowance for doubtful accounts is calculated by applying a historical loss rate to customer account balances, and reflects management’s assessment of current and expected economic conditions, customer trends, or other factors such as the extent and duration of any shutoff or collection moratoriums. The Company also calculates the amount of written-off receivables that are recoverable through regulatory rate reconciling mechanisms. The Company’s energy distribution utilities which are under traditional cost of service regulation are authorized by regulators to recover the costs of the energy commodity portion of bad debts through rate mechanisms. Also, the electric and gas divisions of Fitchburg are authorized to recover through rates past due amounts associated with protected hardship accounts. Evaluating the adequacy of the allowance for doubtful accounts requires judgment about the assumptions used in the analysis.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Company’s experience has been that the assumptions used in evaluating the adequacy of the allowance for doubtful accounts have proven to be reasonably accurate.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Allowance for Doubtful Accounts as of June 30, 2026, June 30, 2025 and December 31, 2025, was as follows: </w:t>
      </w:r>
    </w:p>
    <w:p>
      <w:pPr>
        <w:pStyle w:val="TextBody"/>
        <w:bidi w:val="0"/>
        <w:jc w:val="left"/>
        <w:rPr/>
      </w:pPr>
      <w:r>
        <w:rPr/>
        <w:t> </w:t>
      </w:r>
    </w:p>
    <w:tbl>
      <w:tblPr>
        <w:tblW w:w="5996" w:type="dxa"/>
        <w:jc w:val="left"/>
        <w:tblInd w:w="0" w:type="dxa"/>
        <w:tblLayout w:type="fixed"/>
        <w:tblCellMar>
          <w:top w:w="28" w:type="dxa"/>
          <w:left w:w="28" w:type="dxa"/>
          <w:bottom w:w="28" w:type="dxa"/>
          <w:right w:w="28" w:type="dxa"/>
        </w:tblCellMar>
      </w:tblPr>
      <w:tblGrid>
        <w:gridCol w:w="2851"/>
        <w:gridCol w:w="146"/>
        <w:gridCol w:w="211"/>
        <w:gridCol w:w="361"/>
        <w:gridCol w:w="146"/>
        <w:gridCol w:w="146"/>
        <w:gridCol w:w="211"/>
        <w:gridCol w:w="361"/>
        <w:gridCol w:w="146"/>
        <w:gridCol w:w="146"/>
        <w:gridCol w:w="398"/>
        <w:gridCol w:w="682"/>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Accounts Receivable, Net includes $2.1 million, $1.9 million, and $2.1 million of the Allowance for Doubtful Accounts at June 30, 2026, June 30, 2025 and December 31, 2025, respectively. Unbilled Revenues, net (a component of Accrued Revenue) includes less than $0.1 million, less than $0.1 million and less than $0.1 million of the Allowance for Doubtful Accounts at June 30, 2026, June 30, 2025 and December 31, 2025, respectively. </w:t>
      </w:r>
    </w:p>
    <w:p>
      <w:pPr>
        <w:pStyle w:val="TextBody"/>
        <w:bidi w:val="0"/>
        <w:spacing w:before="240" w:after="283"/>
        <w:jc w:val="left"/>
        <w:rPr>
          <w:rFonts w:ascii="Times New Roman" w:hAnsi="Times New Roman"/>
          <w:sz w:val="20"/>
        </w:rPr>
      </w:pPr>
      <w:r>
        <w:rPr>
          <w:rFonts w:ascii="Times New Roman" w:hAnsi="Times New Roman"/>
          <w:b/>
          <w:color w:val="000000"/>
          <w:sz w:val="20"/>
        </w:rPr>
        <w:t>Accrued Revenue -</w:t>
      </w:r>
      <w:r>
        <w:rPr>
          <w:rFonts w:ascii="Times New Roman" w:hAnsi="Times New Roman"/>
          <w:color w:val="000000"/>
          <w:sz w:val="20"/>
        </w:rPr>
        <w:t xml:space="preserve"> Accrued Revenue includes the current portion of Regulatory Assets and unbilled revenues. The following table shows the components of Accrued Revenue as of June 30, 2026, June 30, 2025 and December 31, 2025. </w:t>
      </w:r>
    </w:p>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2401"/>
        <w:gridCol w:w="146"/>
        <w:gridCol w:w="211"/>
        <w:gridCol w:w="466"/>
        <w:gridCol w:w="146"/>
        <w:gridCol w:w="146"/>
        <w:gridCol w:w="211"/>
        <w:gridCol w:w="466"/>
        <w:gridCol w:w="146"/>
        <w:gridCol w:w="146"/>
        <w:gridCol w:w="335"/>
        <w:gridCol w:w="745"/>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Revenue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Assets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Accrued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Exchange Gas Receivable -</w:t>
      </w:r>
      <w:r>
        <w:rPr>
          <w:rFonts w:ascii="Times New Roman" w:hAnsi="Times New Roman"/>
          <w:color w:val="000000"/>
          <w:sz w:val="20"/>
        </w:rPr>
        <w:t xml:space="preserve"> Northern Utilities, Bangor and Fitchburg have gas exchange and storage agreements whereby gas purchases during the months of April through October are delivered to a third party. The third party delivers gas back to the Company during the months of November through March. The exchange and storage gas volumes are recorded at weighted average cost. The following table shows the components of Exchange Gas Receivable as of June 30, 2026, June 30, 2025 and December 31, 2025. </w:t>
      </w:r>
    </w:p>
    <w:p>
      <w:pPr>
        <w:pStyle w:val="TextBody"/>
        <w:bidi w:val="0"/>
        <w:jc w:val="left"/>
        <w:rPr/>
      </w:pPr>
      <w:r>
        <w:rPr/>
        <w:t> </w:t>
      </w:r>
    </w:p>
    <w:tbl>
      <w:tblPr>
        <w:tblW w:w="6366" w:type="dxa"/>
        <w:jc w:val="left"/>
        <w:tblInd w:w="0" w:type="dxa"/>
        <w:tblLayout w:type="fixed"/>
        <w:tblCellMar>
          <w:top w:w="28" w:type="dxa"/>
          <w:left w:w="28" w:type="dxa"/>
          <w:bottom w:w="28" w:type="dxa"/>
          <w:right w:w="28" w:type="dxa"/>
        </w:tblCellMar>
      </w:tblPr>
      <w:tblGrid>
        <w:gridCol w:w="3021"/>
        <w:gridCol w:w="146"/>
        <w:gridCol w:w="211"/>
        <w:gridCol w:w="361"/>
        <w:gridCol w:w="146"/>
        <w:gridCol w:w="146"/>
        <w:gridCol w:w="211"/>
        <w:gridCol w:w="361"/>
        <w:gridCol w:w="146"/>
        <w:gridCol w:w="146"/>
        <w:gridCol w:w="398"/>
        <w:gridCol w:w="682"/>
        <w:gridCol w:w="391"/>
      </w:tblGrid>
      <w:tr>
        <w:trPr/>
        <w:tc>
          <w:tcPr>
            <w:tcW w:w="3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Exchange Gas Receivable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Bangor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Fitchburg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Exchange Gas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Gas Inventory</w:t>
      </w:r>
      <w:r>
        <w:rPr>
          <w:rFonts w:ascii="Times New Roman" w:hAnsi="Times New Roman"/>
          <w:color w:val="000000"/>
          <w:sz w:val="20"/>
        </w:rPr>
        <w:t xml:space="preserve"> - The Company uses the weighted average cost methodology to value gas inventory. The following table shows the components of Gas Inventory as of June 30, 2026, June 30, 2025 and December 31, 2025. </w:t>
      </w:r>
    </w:p>
    <w:p>
      <w:pPr>
        <w:pStyle w:val="TextBody"/>
        <w:bidi w:val="0"/>
        <w:jc w:val="left"/>
        <w:rPr/>
      </w:pPr>
      <w:r>
        <w:rPr/>
        <w:t> </w:t>
      </w:r>
    </w:p>
    <w:tbl>
      <w:tblPr>
        <w:tblW w:w="5941" w:type="dxa"/>
        <w:jc w:val="left"/>
        <w:tblInd w:w="0" w:type="dxa"/>
        <w:tblLayout w:type="fixed"/>
        <w:tblCellMar>
          <w:top w:w="28" w:type="dxa"/>
          <w:left w:w="28" w:type="dxa"/>
          <w:bottom w:w="28" w:type="dxa"/>
          <w:right w:w="28" w:type="dxa"/>
        </w:tblCellMar>
      </w:tblPr>
      <w:tblGrid>
        <w:gridCol w:w="2596"/>
        <w:gridCol w:w="146"/>
        <w:gridCol w:w="211"/>
        <w:gridCol w:w="361"/>
        <w:gridCol w:w="146"/>
        <w:gridCol w:w="146"/>
        <w:gridCol w:w="211"/>
        <w:gridCol w:w="361"/>
        <w:gridCol w:w="146"/>
        <w:gridCol w:w="146"/>
        <w:gridCol w:w="398"/>
        <w:gridCol w:w="682"/>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Gas Inventory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Propane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Liquefied Natural Gas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Gas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Utility Plant - </w:t>
      </w:r>
      <w:r>
        <w:rPr>
          <w:rFonts w:ascii="Times New Roman" w:hAnsi="Times New Roman"/>
          <w:color w:val="000000"/>
          <w:sz w:val="20"/>
        </w:rPr>
        <w:t>The cost of additions to Utility Plant and the cost of renewals and betterments are capitalized. Cost of additions consists of labor, materials, services and certain indirect construction costs, including an allowance for funds used during construction (AFUDC). The costs of current repairs and minor replacements are charged to appropriate operating expense accounts. The original cost of utility plant retired or otherwise disposed of is charged to the accumulated provision for depreciation. The Company includes in its mass asset depreciation rates, which are periodically reviewed as part of its ratemaking proceedings, cost of removal amounts to provide for future negative salvage value. At June 30, 2026, June 30, 2025 and December 31, 2025, the cost of removal amounts, which are recorded on the Consolidated Balance Sheets in Cost of Removal Obligations, were estimated to be $160.6 million, $147.4 million, and $153.0 million,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Leases - </w:t>
      </w:r>
      <w:r>
        <w:rPr>
          <w:rFonts w:ascii="Times New Roman" w:hAnsi="Times New Roman"/>
          <w:color w:val="000000"/>
          <w:sz w:val="20"/>
        </w:rPr>
        <w:t xml:space="preserve">The Company records assets and liabilities on the balance sheet for all leases with terms longer than 12 months. Leases are classified as either finance or operating, with classification affecting the pattern of expense recognition in the income statement. The Company has elected the practical expedient to not separate non-lease components from lease components and instead to account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both as a single lease component. The Company’s accounting policy election for leases with a lease term of 12 months or less is to recognize the lease payments as lease expense in the Consolidated Statements of Earnings on a straight-line basis over the lease term. See additional discussion in the “Leases” section of Note 4 (Debt and Financing Arrangements). </w:t>
      </w:r>
    </w:p>
    <w:p>
      <w:pPr>
        <w:pStyle w:val="TextBody"/>
        <w:bidi w:val="0"/>
        <w:spacing w:before="240" w:after="283"/>
        <w:jc w:val="left"/>
        <w:rPr>
          <w:rFonts w:ascii="Times New Roman" w:hAnsi="Times New Roman"/>
          <w:sz w:val="20"/>
        </w:rPr>
      </w:pPr>
      <w:r>
        <w:rPr>
          <w:rFonts w:ascii="Times New Roman" w:hAnsi="Times New Roman"/>
          <w:b/>
          <w:color w:val="000000"/>
          <w:sz w:val="20"/>
        </w:rPr>
        <w:t>Regulatory Accounting -</w:t>
      </w:r>
      <w:r>
        <w:rPr>
          <w:rFonts w:ascii="Times New Roman" w:hAnsi="Times New Roman"/>
          <w:color w:val="000000"/>
          <w:sz w:val="20"/>
        </w:rPr>
        <w:t xml:space="preserve"> The Company’s principal business is the distribution of electricity, natural gas and water. Unitil Energy and Fitchburg are subject to regulation by the FERC. Fitchburg is also regulated by the MDPU, Unitil Energy is regulated by the NHPUC, Northern Utilities is regulated by the Maine Public Utility Commission (MPUC) and NHPUC, Bangor is regulated by the MPUC and Maine Natural is regulated by the MPUC. Granite State, the Company’s natural gas transmission pipeline, is regulated by the FERC. Unitil's water distribution utilities are subject to regulation by the NHPUC with regard to their rates, issuance of securities and other accounting and operational matters. Accordingly, the Company uses the Regulated Operations guidance as set forth in the FASB Codification. The Company has recorded Regulatory Assets and Regulatory Liabilities which will be recovered from customers, or applied for customer benefit, in accordance with rate provisions approved by the applicable public utility regulatory commission. The electric and gas divisions of Fitchburg are authorized to recover through rates past due amounts associated with hardship accounts that are protected from shut-off. As of June 30, 2026, June 30, 2025 and December 31, 2025, the Company has recorded $9.5 million, $8.3 million and $8.9 million, respectively, of hardship accounts in Regulatory Assets. These amounts are included in “Other Deferred Charges” in the following table. The Company currently receives recovery in rates or expects to receive recovery of these hardship accounts in future rate cases.</w:t>
      </w:r>
    </w:p>
    <w:p>
      <w:pPr>
        <w:pStyle w:val="TextBody"/>
        <w:bidi w:val="0"/>
        <w:jc w:val="left"/>
        <w:rPr/>
      </w:pPr>
      <w:r>
        <w:rPr/>
        <w:t> </w:t>
      </w:r>
    </w:p>
    <w:tbl>
      <w:tblPr>
        <w:tblW w:w="8311" w:type="dxa"/>
        <w:jc w:val="left"/>
        <w:tblInd w:w="0" w:type="dxa"/>
        <w:tblLayout w:type="fixed"/>
        <w:tblCellMar>
          <w:top w:w="28" w:type="dxa"/>
          <w:left w:w="28" w:type="dxa"/>
          <w:bottom w:w="28" w:type="dxa"/>
          <w:right w:w="28" w:type="dxa"/>
        </w:tblCellMar>
      </w:tblPr>
      <w:tblGrid>
        <w:gridCol w:w="4651"/>
        <w:gridCol w:w="146"/>
        <w:gridCol w:w="211"/>
        <w:gridCol w:w="571"/>
        <w:gridCol w:w="146"/>
        <w:gridCol w:w="146"/>
        <w:gridCol w:w="211"/>
        <w:gridCol w:w="466"/>
        <w:gridCol w:w="146"/>
        <w:gridCol w:w="146"/>
        <w:gridCol w:w="290"/>
        <w:gridCol w:w="790"/>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Regulatory Assets consist of the following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Supply and Other Rate Adjustment Mechanisms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Storm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Deferred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Less: Current Portion of Regulatory Assets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Regulatory Assets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Reflects amounts included in the Accrued Revenue on the Company’s Consolidated Balance Sheets.</w:t>
      </w:r>
      <w:r>
        <w:rPr>
          <w:color w:val="000000"/>
        </w:rPr>
        <w:t xml:space="preserve"> </w:t>
      </w:r>
    </w:p>
    <w:p>
      <w:pPr>
        <w:pStyle w:val="TextBody"/>
        <w:bidi w:val="0"/>
        <w:jc w:val="left"/>
        <w:rPr/>
      </w:pPr>
      <w:r>
        <w:rPr/>
        <w:t> </w:t>
      </w:r>
    </w:p>
    <w:tbl>
      <w:tblPr>
        <w:tblW w:w="7681" w:type="dxa"/>
        <w:jc w:val="left"/>
        <w:tblInd w:w="0" w:type="dxa"/>
        <w:tblLayout w:type="fixed"/>
        <w:tblCellMar>
          <w:top w:w="28" w:type="dxa"/>
          <w:left w:w="28" w:type="dxa"/>
          <w:bottom w:w="28" w:type="dxa"/>
          <w:right w:w="28" w:type="dxa"/>
        </w:tblCellMar>
      </w:tblPr>
      <w:tblGrid>
        <w:gridCol w:w="4126"/>
        <w:gridCol w:w="146"/>
        <w:gridCol w:w="211"/>
        <w:gridCol w:w="466"/>
        <w:gridCol w:w="146"/>
        <w:gridCol w:w="146"/>
        <w:gridCol w:w="211"/>
        <w:gridCol w:w="466"/>
        <w:gridCol w:w="146"/>
        <w:gridCol w:w="146"/>
        <w:gridCol w:w="335"/>
        <w:gridCol w:w="745"/>
        <w:gridCol w:w="3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Regulatory Liabilities consist of the following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Adjustment Mechanisms &amp;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Regulatory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Regulatory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Generally, the Company receives a return on investment on its regulatory assets for which a cash outflow has been made. Included in Regulatory Assets as of June 30, 2026 are $8.3 million of environmental costs, rate case costs and other expenditures to be recovered over varying periods in the next seven years. Regulators have authorized recovery of these expenditures, but without a return. Regulatory commissions can reach different conclusions about the recovery of costs, which can have a material effect on the Company’s Consolidated Financial Statements. The Company believes it is probable that its regulated distribution and transmission utilities will recover their investments in long-lived assets, including regulatory assets. If the Company, or a portion of its assets or operations, were to cease meeting the criteria for application of these accounting rules, accounting standards for businesses in general would become applicable and immediate recognition of any previously deferred costs, or a portion of deferred costs, would be required in the year in which the criteria are no longer met, if such deferred costs were not recoverable in the portion of the business that continues to meet the criteria for application of the FASB Codification topic on Regulated Operations. If unable to continue to apply the FASB Codification provisions for Regulated Operations, the Company would be required to apply the provisions for the Discontinuation of Rate-Regulated Accounting included in the FASB Codification. In the Company’s opinion, its regulated operations will be subject to the FASB Codification provisions for Regulated Operations for the foreseeable future.</w:t>
      </w:r>
    </w:p>
    <w:p>
      <w:pPr>
        <w:pStyle w:val="TextBody"/>
        <w:bidi w:val="0"/>
        <w:spacing w:before="240" w:after="283"/>
        <w:jc w:val="left"/>
        <w:rPr>
          <w:rFonts w:ascii="Times New Roman" w:hAnsi="Times New Roman"/>
          <w:sz w:val="20"/>
        </w:rPr>
      </w:pPr>
      <w:r>
        <w:rPr>
          <w:rFonts w:ascii="Times New Roman" w:hAnsi="Times New Roman"/>
          <w:b/>
          <w:color w:val="000000"/>
          <w:sz w:val="20"/>
        </w:rPr>
        <w:t>Derivatives -</w:t>
      </w:r>
      <w:r>
        <w:rPr>
          <w:rFonts w:ascii="Times New Roman" w:hAnsi="Times New Roman"/>
          <w:color w:val="000000"/>
          <w:sz w:val="20"/>
        </w:rPr>
        <w:t xml:space="preserve"> The Company’s regulated energy subsidiaries enter into energy supply contracts to serve their electric and gas customers. The Company follows a procedure for determining whether each contract qualifies as a derivative instrument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guidance provided by the FASB Codification on Derivatives and Hedging. For each contract, the Company reviews and documents the key terms of the contract. Based on those terms and any additional relevant components of the contract, the Company determines and documents whether the contract qualifies as a derivative instrument as defined in the FASB Codification. The Company has determined that its energy supply contracts either do not qualify as a derivative instrument under the guidance set forth in the FASB Codification, have been elected as normal purchase, or have contingencies that have not yet been met in order to establish a notional amount.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contracts that meet the definition of derivatives (see Note 6 Derivatives). Derivatives are recognized on the balance sheet at fair value as either assets or liabilities. The Company considers the amount of the derivative expected to be settled within the next twelve months as current and the remainder as long-term. Derivative instruments are presented on a gross basis in the consolidated balance sheets. Cash flows related to derivative settlements are classified as operating activities in the consolidated statements of cash flows. Regulatory assets or liabilities are recorded to offset the fair value of derivatives, as contract settlement amounts are tracked and reconciled as a pass-through to customers. Costs associated with the Purchase Power Agreement (PPA) are approved by the MDPU to be passed through to customers through the Company’s Long-Term Renewable Contract Adjustment Clause tariff and accounted for per FASB Accounting Standard Codification 980, Regulated Operations. Unrealized gains or losses resulting from the change in fair value are not recognized in the income statement. Instead, they are deferred and recorded as a regulatory asset for losses or a regulatory liability for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an environmental attribute asset at the allocated contract cost upon receipt of the associated certificates in the applicable registry and derecognizes the asset upon retirement, at which time the related cost is recognized in Cost of Electric Sales, which are tracked and reconciled costs as pass-through to customers. Please see Note 6 (Derivatives) for additional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Investments in Marketable Securities</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The Company maintains a trust through which it invests in a money market fund and fixed income fund. This fund is intended to satisfy obligations under the Company’s Supplemental Executive Retirement Plan (SERP) (See additional discussion of the SERP in Note 10).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June 30, 2026, June 30, 2025 and December 31, 2025, the fair value of the Company’s investments in these trading securities, which are recorded on the Consolidated Balance Sheets in Other Assets, was $6.4 million, $6.1 million and $6.7 million, respectively, as shown in the following table. These investments are valued based on quoted prices from active markets and are categorized in Level 1 as they are actively traded and no valuation adjustments have been applied. Changes in the fair value of these investments are recorded in Other Expense, Net.</w:t>
      </w:r>
    </w:p>
    <w:p>
      <w:pPr>
        <w:pStyle w:val="TextBody"/>
        <w:bidi w:val="0"/>
        <w:jc w:val="left"/>
        <w:rPr/>
      </w:pPr>
      <w:r>
        <w:rPr/>
        <w:t> </w:t>
      </w:r>
    </w:p>
    <w:tbl>
      <w:tblPr>
        <w:tblW w:w="6781" w:type="dxa"/>
        <w:jc w:val="left"/>
        <w:tblInd w:w="0" w:type="dxa"/>
        <w:tblLayout w:type="fixed"/>
        <w:tblCellMar>
          <w:top w:w="28" w:type="dxa"/>
          <w:left w:w="28" w:type="dxa"/>
          <w:bottom w:w="28" w:type="dxa"/>
          <w:right w:w="28" w:type="dxa"/>
        </w:tblCellMar>
      </w:tblPr>
      <w:tblGrid>
        <w:gridCol w:w="3436"/>
        <w:gridCol w:w="146"/>
        <w:gridCol w:w="211"/>
        <w:gridCol w:w="361"/>
        <w:gridCol w:w="146"/>
        <w:gridCol w:w="146"/>
        <w:gridCol w:w="211"/>
        <w:gridCol w:w="361"/>
        <w:gridCol w:w="146"/>
        <w:gridCol w:w="146"/>
        <w:gridCol w:w="398"/>
        <w:gridCol w:w="682"/>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Fair Value of Marketable Securities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also sponsors the Unitil Corporation Deferred Compensation Plan (the “DC Plan”). The DC Plan is a non-qualified deferred compensation plan that provides a vehicle for participants to accumulate tax-deferred savings to supplement retirement income. The DC Plan, which was effective January 1, 2019, is open to senior management or other highly compensated employees as determined by the Company’s Board of Directors, and may also be used for recruitment and retention purposes for newly hired senior executives. The DC Plan design mirrors the Company’s Tax Deferred Savings and Investment Plan formula, but provides for contributions on compensation above the IRS limit, which will allow participants to defer up to 85% of base salary, and up to 85% of any cash incentive for retirement. The Company may also elect to make discretionary contributions on behalf of any participant in an amount determined by the Company’s Board of Directors. A trust has been established to invest the funds associated with the DC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June 30, 2026, June 30, 2025 and December 31, 2025, the fair value of the Company’s investments in these trading securities related to the DC Plan, which are recorded on the Consolidated Balance Sheets in Other Assets, were $4.5 million, $2.9 million and $3.5 million, respectively, as shown in the following table. These investments are valued based on quoted prices from active markets and are categorized in Level 1 as they are actively traded and no valuation adjustments have been applied. Changes in the fair value of these investments are recorded in Other Expense,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6781" w:type="dxa"/>
        <w:jc w:val="left"/>
        <w:tblInd w:w="0" w:type="dxa"/>
        <w:tblLayout w:type="fixed"/>
        <w:tblCellMar>
          <w:top w:w="28" w:type="dxa"/>
          <w:left w:w="28" w:type="dxa"/>
          <w:bottom w:w="28" w:type="dxa"/>
          <w:right w:w="28" w:type="dxa"/>
        </w:tblCellMar>
      </w:tblPr>
      <w:tblGrid>
        <w:gridCol w:w="3436"/>
        <w:gridCol w:w="146"/>
        <w:gridCol w:w="211"/>
        <w:gridCol w:w="361"/>
        <w:gridCol w:w="146"/>
        <w:gridCol w:w="146"/>
        <w:gridCol w:w="211"/>
        <w:gridCol w:w="361"/>
        <w:gridCol w:w="146"/>
        <w:gridCol w:w="146"/>
        <w:gridCol w:w="398"/>
        <w:gridCol w:w="682"/>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Fair Value of Marketable Securities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xml:space="preserve"> - As of June 30, 2026, the Company had recorded goodwill of $1.6 million for Bangor and $4.0 million for Maine Natural as a result of their acquisitions in 2025. On June 30 2026, the Company completed the acquisition of AWC-NH and Abenaki resulting in the recognition of $1.2 million of goodwill. Goodwill is tested for impairment at least annually, or more frequently if an event occurs or circumstances change that would more likely than not reduce the fair value of a reporting unit below its carrying value. The Company performs the annual impairment assessment of goodwill on November 1 for the gas and water reporting units. The Company generally uses a qualitative analysis assessment to determine if it was more likely than not that the fair value of the reporting unit exceeded its carrying value, including goodwill. The qualitative assessment did not identify any triggering events that would indicate potential impairment of the reporting unit. Therefore, it was determined that the fair value of the reporting unit exceeded its carrying value and no goodwill impairments were recognized during the six months ended June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Energy Supply Obligations - </w:t>
      </w:r>
      <w:r>
        <w:rPr>
          <w:rFonts w:ascii="Times New Roman" w:hAnsi="Times New Roman"/>
          <w:color w:val="000000"/>
          <w:sz w:val="20"/>
        </w:rPr>
        <w:t xml:space="preserve">The following discussion and table summarize the nature and amounts of the items recorded as Energy Supply Obligations (current portion) and Other Noncurrent Liabilities (noncurrent portion) on the Company’s Consolidated Balance Sheets. </w:t>
      </w:r>
    </w:p>
    <w:p>
      <w:pPr>
        <w:pStyle w:val="TextBody"/>
        <w:bidi w:val="0"/>
        <w:jc w:val="left"/>
        <w:rPr/>
      </w:pPr>
      <w:r>
        <w:rPr/>
        <w:t> </w:t>
      </w:r>
    </w:p>
    <w:tbl>
      <w:tblPr>
        <w:tblW w:w="7211" w:type="dxa"/>
        <w:jc w:val="left"/>
        <w:tblInd w:w="0" w:type="dxa"/>
        <w:tblLayout w:type="fixed"/>
        <w:tblCellMar>
          <w:top w:w="28" w:type="dxa"/>
          <w:left w:w="28" w:type="dxa"/>
          <w:bottom w:w="28" w:type="dxa"/>
          <w:right w:w="28" w:type="dxa"/>
        </w:tblCellMar>
      </w:tblPr>
      <w:tblGrid>
        <w:gridCol w:w="3456"/>
        <w:gridCol w:w="146"/>
        <w:gridCol w:w="211"/>
        <w:gridCol w:w="466"/>
        <w:gridCol w:w="146"/>
        <w:gridCol w:w="146"/>
        <w:gridCol w:w="211"/>
        <w:gridCol w:w="466"/>
        <w:gridCol w:w="146"/>
        <w:gridCol w:w="146"/>
        <w:gridCol w:w="335"/>
        <w:gridCol w:w="745"/>
        <w:gridCol w:w="5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Energy Supply Obligations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Exchange Gas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Renewable Energy Portfolio Standards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Energy Supply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Exchange Gas Obligation</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Northern Utilities and Bangor enter into gas exchange agreements under which Northern Utilities and Bangor release certain gas pipeline and storage assets, resell the gas storage inventory to an asset manager and subsequently repurchase the inventory over the course of the natural gas heating season at the same price at which they sold the gas inventory to the asset manager. The gas inventory related to these agreements is recorded in Exchange Gas Receivable on the Company’s Consolidated Balance Sheets while the corresponding obligations are recorded in Energy Supply Obligations.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Renewable Energy Portfolio Standards - </w:t>
      </w:r>
      <w:r>
        <w:rPr>
          <w:rFonts w:ascii="Times New Roman" w:hAnsi="Times New Roman"/>
          <w:color w:val="000000"/>
          <w:sz w:val="20"/>
        </w:rPr>
        <w:t xml:space="preserve">Renewable Energy Portfolio Standards (RPS) require retail electricity suppliers, including public utilities, to demonstrate that required percentages of their sales are met with power generated from certain types of resources or technologies. Compliance is demonstrated by purchasing and retiring Renewable Energy Certificates (REC) generated by facilities approved by the state as qualifying for REC treatment. Unitil Energy and Fitchburg purchase RECs in compliance with RPS legislation in New Hampshire and Massachusetts for supply provided to default service customers. RPS compliance costs are a supply cost that is recovered in customer default service rates. Unitil Energy and Fitchburg collect RPS compliance costs from customers throughout the year and demonstrate compliance for each calendar year on the following July 1. Due to timing differences between collection of revenue from customers and payment of REC costs to suppliers, Unitil Energy and Fitchburg typically defer costs for RPS compliance which are recorded within Accrued Revenue with a corresponding liability in Energy Supply Obligations on the Company’s Consolidated Balance Sheets. </w:t>
      </w:r>
    </w:p>
    <w:p>
      <w:pPr>
        <w:pStyle w:val="TextBody"/>
        <w:bidi w:val="0"/>
        <w:jc w:val="left"/>
        <w:rPr>
          <w:rFonts w:cs="Tahoma;sans-serif"/>
          <w:color w:val="000000"/>
          <w:szCs w:val="20"/>
        </w:rPr>
      </w:pPr>
      <w:r>
        <w:rPr>
          <w:rFonts w:cs="Tahoma;sans-serif"/>
          <w:color w:val="000000"/>
          <w:szCs w:val="20"/>
        </w:rPr>
        <w:t>﻿</w:t>
      </w:r>
    </w:p>
    <w:p>
      <w:pPr>
        <w:pStyle w:val="TextBody"/>
        <w:bidi w:val="0"/>
        <w:jc w:val="left"/>
        <w:rPr>
          <w:rFonts w:ascii="Times New Roman" w:hAnsi="Times New Roman"/>
          <w:color w:val="000000"/>
          <w:sz w:val="20"/>
        </w:rPr>
      </w:pPr>
      <w:r>
        <w:rPr>
          <w:rFonts w:ascii="Times New Roman" w:hAnsi="Times New Roman"/>
          <w:color w:val="000000"/>
          <w:sz w:val="20"/>
        </w:rPr>
        <w:t>Fitchburg has entered into long-term renewable contracts for the purchase of its pro rata share of clean energy and/or RECs under statewide procurement processes pursuant to Massachusetts legislation. The generating facilities associated with some of these contracts have been constructed and are now operating. Please see Note 7 (Regulatory Matters: Fitchburg - Massachusetts Request for Proposals) for additional details.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Recently Issued Pronouncements </w:t>
      </w:r>
      <w:r>
        <w:rPr>
          <w:rFonts w:ascii="Times New Roman" w:hAnsi="Times New Roman"/>
          <w:color w:val="000000"/>
          <w:sz w:val="20"/>
        </w:rPr>
        <w:t xml:space="preserve">- In November 2024, the FASB issued ASU 2024-03, Income Statement - Reporting Comprehensive Income - Expense Disaggregation Disclosures, and in January 2025, the FASB issued ASU 2025-01, Income Statement - Reporting Comprehensive Income - Expense Disaggregation Disclosures: Clarifying the Effective Date. ASU 2024-03 requires public entities to disclose, in the notes to financial statements, certain costs and expenses, such as purchases of inventory, employee compensation, and costs related to depreciation and amortization. ASU 2024-03, as clarified by ASU 2025-01, is effective for the Company's Annual Report on Form 10-K for the fiscal year ended December 31, 2027, and subsequent interim periods,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early adoption permitted. The Company is currently evaluating the impact of these standards on its Consolidated Financial Statement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Acquisition of Bangor Natural Gas Company</w:t>
      </w:r>
      <w:r>
        <w:rPr>
          <w:rFonts w:ascii="Times New Roman" w:hAnsi="Times New Roman"/>
          <w:color w:val="000000"/>
          <w:sz w:val="20"/>
        </w:rPr>
        <w:t xml:space="preserve"> - On January 31, 2025, the Company acquired all issued and outstanding shares of Bangor Natural Gas Company for $71.4 million. Through this acquisition, the Company expanded its service territory to include approximately 8,500 customers in the greater Bangor area of central Maine.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this acquisition, the Company recorded $66.7 million of net utility plant, $3.8 million working capital, $1.6 million goodwill, $0.2 million noncurrent assets and $0.9 million noncurrent regulatory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Goodwill represents the amount by which the purchase price exceeds the estimated fair value of the net assets acquired. The goodwill related to Bangor is partially tax-deductible. The tax-deductible portion of goodwill is $0.4 million and will be amortized over 15 years.</w:t>
      </w:r>
    </w:p>
    <w:p>
      <w:pPr>
        <w:pStyle w:val="TextBody"/>
        <w:bidi w:val="0"/>
        <w:spacing w:before="240" w:after="283"/>
        <w:jc w:val="left"/>
        <w:rPr>
          <w:rFonts w:ascii="Times New Roman" w:hAnsi="Times New Roman"/>
          <w:sz w:val="20"/>
        </w:rPr>
      </w:pPr>
      <w:r>
        <w:rPr>
          <w:rFonts w:ascii="Times New Roman" w:hAnsi="Times New Roman"/>
          <w:b/>
          <w:color w:val="000000"/>
          <w:sz w:val="20"/>
        </w:rPr>
        <w:t>Acquisition of Maine Natural Gas Corporation</w:t>
      </w:r>
      <w:r>
        <w:rPr>
          <w:rFonts w:ascii="Times New Roman" w:hAnsi="Times New Roman"/>
          <w:color w:val="000000"/>
          <w:sz w:val="20"/>
        </w:rPr>
        <w:t xml:space="preserve"> - On October 31, 2025, the Company acquired all issued and outstanding shares of Maine Natural for $91.1 million. Through this acquisition, the Company expanded its service territory to include approximately 6,300 customers in the Portland area of central Maine, as well as the capital city of Augusta.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recorded a $1.3 million net increase in goodwill resulting primarily from adjustments to regulatory liabilities during the measurement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this acquisition, the Company recorded $81.9 million of net utility plant, $8.4 million working capital, $4.0 million goodwill, $1.4 million noncurrent assets and $4.6 million noncurrent regulatory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represents the amount by which the purchase price exceeds the estimated fair value of the net assets acquired. The goodwill related to Maine Natural is partially tax-deductible. The tax-deductible portion of goodwill is $1.9 million and will be amortized over 15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Unitil’s acquisition of Maine Natural, the Company entered into a Transition Service Agreement (TSA) dated October 31, 2025 between Maine Natural and Avangrid Service Company (Avangrid). Pursuant to the TSA, Avangrid will provide Maine Natural with certain services at cost, for up to 12 months, in order to continue the operations and maintenance of Maine Natural substantially consistent with past practices until Unitil has completed the successful transition. The Company has recorded $0.6 million of TSA costs for the six months ended June 30, 2026.</w:t>
      </w:r>
    </w:p>
    <w:p>
      <w:pPr>
        <w:pStyle w:val="TextBody"/>
        <w:bidi w:val="0"/>
        <w:spacing w:before="240" w:after="283"/>
        <w:jc w:val="left"/>
        <w:rPr>
          <w:rFonts w:ascii="Times New Roman" w:hAnsi="Times New Roman"/>
          <w:sz w:val="20"/>
        </w:rPr>
      </w:pPr>
      <w:r>
        <w:rPr>
          <w:rFonts w:ascii="Times New Roman" w:hAnsi="Times New Roman"/>
          <w:b/>
          <w:color w:val="000000"/>
          <w:sz w:val="20"/>
        </w:rPr>
        <w:t>Acquisition of the Aquarion Water Companies</w:t>
      </w:r>
      <w:r>
        <w:rPr>
          <w:rFonts w:ascii="Times New Roman" w:hAnsi="Times New Roman"/>
          <w:color w:val="000000"/>
          <w:sz w:val="20"/>
        </w:rPr>
        <w:t xml:space="preserve"> - On May 6, 2025, Unitil entered into a definitive agreement to acquire Aquarion Water Company of Massachusetts, Inc., Aquarion Water Company of New Hampshire, Inc., and Abenaki Water Co., Inc. (the Aquarion Companies) from the Aquarion Water Authority (AWA), a quasi-public corporation and political subdivision of the State of Connecticut and a standalone, newly created water authority alongside the South Central Connecticut Regional Water Authority subject to certain closing adjustments. The aggregate enterprise value of the sale is approximately $100.0 million, which includes approximately $70.0 million in cash and the assumption of approximately $30.0 million of debt. The transaction has been approved, subject to certain conditions, by the MDPU, the NHPUC and the MPUC.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2026, Unitil entered into an Amendment No. 4 to Purchase and Sale Agreement (Amendment No. 4) by and between the Company, AWA and South Central Connecticut Regional Water Authority. Amendment No. 4, among other things, further amended the Purchase Agreement by limiting the entities that the Company would purchase from AWA under the Purchase Agreement to AWC-NH and Abenaki. Except as specifically modified and amended by Amendment No. 4, the Purchase Agreement remained unchanged.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2026, the Company acquired all issued and outstanding shares of AWC-NH and Abenaki for $42.6 million. Through this acquisition, the Company expanded into a complementary regulated utility service to provide water service to approximately 10,700 customers in eight communities in New Hampshire.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this acquisition, the Company recorded $62.0 million of net utility plant, $0.4 million working capital, $1.2 million goodwill, $1.8 million noncurrent assets, $13.5 million long-term debt, and $9.3 million noncurrent liabilities. Goodwill represents the amount by which the purchase price exceeds the estimated fair value of the net assets acquired.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Unitil’s acquisition of AWC-NH and Abenaki, the Company entered into an Operating and Transition Services Agreement (OTSA) dated June 30, 2026 between AWC-NH and Abenaki, and AWA. Pursuant to the OTSA, AWA and certain of its affiliates will provide AWC-NH and Abenaki with certain services, for up to 60 months, in order to continue the operation and maintenance of AWC-NH and Abenaki substantially consistent with past practices until AWA and Unitil have accomplished the transition of functions that were performed by AWA (or its affiliates) prior to the closing of Unitil’s acquisition of AWC-NH and Abenaki. Unitil will pay AWA a monthly payment to reimburse AWA (or its affiliates) for the actual cost of services plus a margin of 5%, subject to limitation.</w:t>
      </w:r>
    </w:p>
    <w:p>
      <w:pPr>
        <w:pStyle w:val="TextBody"/>
        <w:bidi w:val="0"/>
        <w:spacing w:before="240" w:after="283"/>
        <w:jc w:val="left"/>
        <w:rPr>
          <w:rFonts w:ascii="Times New Roman" w:hAnsi="Times New Roman"/>
          <w:sz w:val="20"/>
        </w:rPr>
      </w:pPr>
      <w:r>
        <w:rPr>
          <w:rFonts w:ascii="Times New Roman" w:hAnsi="Times New Roman"/>
          <w:b/>
          <w:color w:val="000000"/>
          <w:sz w:val="20"/>
        </w:rPr>
        <w:t>Subsequent Events -</w:t>
      </w:r>
      <w:r>
        <w:rPr>
          <w:rFonts w:ascii="Times New Roman" w:hAnsi="Times New Roman"/>
          <w:color w:val="000000"/>
          <w:sz w:val="20"/>
        </w:rPr>
        <w:t xml:space="preserve"> The Company evaluates all events or transactions through the date of the related filing. During the period through the date of this filing, the Company did not have any material subsequent events that would result in adjustment to or disclosure in its Consolidated Financial Statements.</w:t>
      </w:r>
    </w:p>
    <w:p>
      <w:pPr>
        <w:pStyle w:val="TextBody"/>
        <w:bidi w:val="0"/>
        <w:spacing w:before="360" w:after="283"/>
        <w:jc w:val="left"/>
        <w:rPr>
          <w:rFonts w:ascii="Times New Roman" w:hAnsi="Times New Roman"/>
          <w:sz w:val="20"/>
        </w:rPr>
      </w:pPr>
      <w:r>
        <w:rPr>
          <w:rFonts w:ascii="Times New Roman" w:hAnsi="Times New Roman"/>
          <w:b/>
          <w:caps/>
          <w:color w:val="000000"/>
          <w:sz w:val="20"/>
        </w:rPr>
        <w:t xml:space="preserve">Note 2 </w:t>
      </w:r>
      <w:r>
        <w:rPr>
          <w:rFonts w:ascii="Times New Roman" w:hAnsi="Times New Roman"/>
          <w:b/>
          <w:color w:val="000000"/>
          <w:sz w:val="20"/>
        </w:rPr>
        <w:t>-</w:t>
      </w:r>
      <w:r>
        <w:rPr>
          <w:rFonts w:ascii="Times New Roman" w:hAnsi="Times New Roman"/>
          <w:caps/>
          <w:color w:val="000000"/>
          <w:sz w:val="20"/>
        </w:rPr>
        <w:t xml:space="preserve"> </w:t>
      </w:r>
      <w:r>
        <w:rPr>
          <w:rFonts w:ascii="Times New Roman" w:hAnsi="Times New Roman"/>
          <w:b/>
          <w:caps/>
          <w:color w:val="000000"/>
          <w:sz w:val="20"/>
        </w:rPr>
        <w:t>Dividends Declared Per Share</w:t>
      </w:r>
      <w:r>
        <w:rPr>
          <w:rFonts w:ascii="Times New Roman" w:hAnsi="Times New Roman"/>
          <w:caps/>
          <w:color w:val="000000"/>
          <w:sz w:val="20"/>
        </w:rPr>
        <w:t xml:space="preserve"> </w:t>
      </w:r>
    </w:p>
    <w:p>
      <w:pPr>
        <w:pStyle w:val="TextBody"/>
        <w:bidi w:val="0"/>
        <w:jc w:val="left"/>
        <w:rPr/>
      </w:pPr>
      <w:r>
        <w:rPr/>
        <w:t> </w:t>
      </w:r>
    </w:p>
    <w:tbl>
      <w:tblPr>
        <w:tblW w:w="4579" w:type="dxa"/>
        <w:jc w:val="left"/>
        <w:tblInd w:w="0" w:type="dxa"/>
        <w:tblLayout w:type="fixed"/>
        <w:tblCellMar>
          <w:top w:w="28" w:type="dxa"/>
          <w:left w:w="28" w:type="dxa"/>
          <w:bottom w:w="28" w:type="dxa"/>
          <w:right w:w="28" w:type="dxa"/>
        </w:tblCellMar>
      </w:tblPr>
      <w:tblGrid>
        <w:gridCol w:w="916"/>
        <w:gridCol w:w="146"/>
        <w:gridCol w:w="1111"/>
        <w:gridCol w:w="146"/>
        <w:gridCol w:w="1141"/>
        <w:gridCol w:w="146"/>
        <w:gridCol w:w="211"/>
        <w:gridCol w:w="57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Declaration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Date</w:t>
              <w:br/>
              <w:t>Paid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Shareholder of</w:t>
              <w:b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Dividend</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08/31/26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04/29/26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01/28/26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07/29/25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04/30/25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05/30/25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05/15/25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note 3 - Segment Information</w:t>
      </w:r>
      <w:r>
        <w:rPr>
          <w:rFonts w:ascii="Times New Roman" w:hAnsi="Times New Roman"/>
          <w:caps/>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Chief Operating Decision Maker (CODM), consists of the Company’s Chairman and Chief Executive Officer, President and Chief Administrative Officer, Chief Financial Officer, and Chief Accounting Officer. These individuals assess financial performance and make decisions, including the allocation of resources to the various operating segments, based on meeting with the managers of each segment and through their review of reports and analyses that are regularly provided to the CODM. The CODM uses Net Income Applicable to Common Shares for each segment predominantly in the annual budget and forecasting process. The CODM considers budget-to-actual variances on a quarterly basis when making decisions about the allocation of operating and capital resources to each segment. Unitil reports three operating units: utility electric operations, utility gas operations and utility water operations; and two reportable segments: utility electric operations and utility gas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Unitil’s principal business is the local distribution of electricity in the southeastern seacoast and state capital regions of New Hampshire and the greater Fitchburg area of north central Massachusetts and the local distribution of natural gas in southeastern New Hampshire, portions of southern Maine to the Lewiston-Auburn area, portions of central Maine including Augusta and the Bangor area, and in the greater Fitchburg area of north central Massachusetts. Unitil has five energy distribution utility subsidiaries: Unitil Energy, which operates in New Hampshire; Fitchburg, which operates in Massachusetts; Northern Utilities, which operates in New Hampshire and Maine; Bangor, which operates in Maine; and Maine Natural, which operates in Maine. Unitil Energy and the electric division of Fitchburg are included in the electric segment. Northern Utilities, Bangor, Maine Natural and the gas division of Fitchburg are included in the gas segment. Unitil Energy, Fitchburg, Northern Utilities, Bangor and Maine Natural have a well-diversified customer mix and are not dependent on a single customer, or a few customers, for their electric and natural gas sales. Granite State is an interstate natural gas transmission pipeline company, operating 85 miles of underground gas transmission pipeline primarily located in Maine and New Hampshire. Granite State provides Northern Utilities with interconnection to three major natural gas pipelines and access to domestic natural gas supplies in the south and Canadian natural gas supplies in the north. Granite State derives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its revenues principally from the transmission services provided to Northern Utilities and, to a lesser extent, third-party marketers. Granite State is included in the utility gas operations segment. Unitil has two water distribution utility subsidiaries: including AWC-NH and Abenaki, which both operate in New Hampshire. The Company acquired AWC-NH and Abenaki on June 30, 2026, which was considered to be a new operating segment. Financial statement results were not considered material as a result of the acquisition of AWC-NH and Abenaki by Unitil and were not reported separately. Therefore, the results of the utility water operations segment will be included in Other for the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Unitil (the holding company) and Unitil Resources are included in the “Other” category (ASC 280-10-50-15). The holding company has no operating income of its own. The earnings of the holding company are principally derived from income earned on short-term investments. Unitil Resources is the Company’s wholly owned non-regulated subsidiary and currently does not have any activity. Unitil Service provides centralized management and administrative services, including information systems management and financial record keeping, to support the affiliated Unitil companies. Unitil Realty owns certain real estate, principally the Company’s corporate headquarters in Hampton, New Hampshire and land in Kingston, New Hampshire, which holds Unitil Energy's solar facility. Unitil Service’s and Unitil Realty’s costs are allocated to the Electric and Gas segments based on cost allocation factors. Unitil Water does not have any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segments follow the same accounting policies as described in the Summary of Significant Accounting Policies. Intrasegment sales take place at cost and the effects of all intrasegment and/or intercompany transactions are eliminated in the consolidated financial statements. Segment profit or loss is based on Net Income Applicable to Common Shares. Expenses used to determine operating income before taxes are charged directly to each segment or are allocated based on cost allocation factors included in rate applications approved by the FERC, NHPUC, MDPU, and MPUC. Assets allocated to each segment are based upon specific identification of such assets provided by Company records.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provide significant segment financial data for the three and six months ended June 30, 2026 and June 30, 2025.</w:t>
      </w:r>
    </w:p>
    <w:p>
      <w:pPr>
        <w:pStyle w:val="TextBody"/>
        <w:bidi w:val="0"/>
        <w:jc w:val="left"/>
        <w:rPr/>
      </w:pPr>
      <w:r>
        <w:rPr/>
        <w:t> </w:t>
      </w:r>
    </w:p>
    <w:tbl>
      <w:tblPr>
        <w:tblW w:w="10104" w:type="dxa"/>
        <w:jc w:val="left"/>
        <w:tblInd w:w="0" w:type="dxa"/>
        <w:tblLayout w:type="fixed"/>
        <w:tblCellMar>
          <w:top w:w="28" w:type="dxa"/>
          <w:left w:w="28" w:type="dxa"/>
          <w:bottom w:w="28" w:type="dxa"/>
          <w:right w:w="28" w:type="dxa"/>
        </w:tblCellMar>
      </w:tblPr>
      <w:tblGrid>
        <w:gridCol w:w="3661"/>
        <w:gridCol w:w="146"/>
        <w:gridCol w:w="211"/>
        <w:gridCol w:w="466"/>
        <w:gridCol w:w="166"/>
        <w:gridCol w:w="146"/>
        <w:gridCol w:w="211"/>
        <w:gridCol w:w="466"/>
        <w:gridCol w:w="166"/>
        <w:gridCol w:w="146"/>
        <w:gridCol w:w="558"/>
        <w:gridCol w:w="1512"/>
        <w:gridCol w:w="166"/>
        <w:gridCol w:w="146"/>
        <w:gridCol w:w="211"/>
        <w:gridCol w:w="421"/>
        <w:gridCol w:w="166"/>
        <w:gridCol w:w="146"/>
        <w:gridCol w:w="211"/>
        <w:gridCol w:w="571"/>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Reportable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Supply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04" w:type="dxa"/>
        <w:jc w:val="left"/>
        <w:tblInd w:w="0" w:type="dxa"/>
        <w:tblLayout w:type="fixed"/>
        <w:tblCellMar>
          <w:top w:w="28" w:type="dxa"/>
          <w:left w:w="28" w:type="dxa"/>
          <w:bottom w:w="28" w:type="dxa"/>
          <w:right w:w="28" w:type="dxa"/>
        </w:tblCellMar>
      </w:tblPr>
      <w:tblGrid>
        <w:gridCol w:w="3661"/>
        <w:gridCol w:w="146"/>
        <w:gridCol w:w="211"/>
        <w:gridCol w:w="466"/>
        <w:gridCol w:w="166"/>
        <w:gridCol w:w="146"/>
        <w:gridCol w:w="211"/>
        <w:gridCol w:w="466"/>
        <w:gridCol w:w="166"/>
        <w:gridCol w:w="146"/>
        <w:gridCol w:w="558"/>
        <w:gridCol w:w="1512"/>
        <w:gridCol w:w="166"/>
        <w:gridCol w:w="146"/>
        <w:gridCol w:w="211"/>
        <w:gridCol w:w="421"/>
        <w:gridCol w:w="166"/>
        <w:gridCol w:w="146"/>
        <w:gridCol w:w="211"/>
        <w:gridCol w:w="571"/>
        <w:gridCol w:w="2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Reportable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Supply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0"/>
        <w:gridCol w:w="146"/>
        <w:gridCol w:w="211"/>
        <w:gridCol w:w="571"/>
        <w:gridCol w:w="166"/>
        <w:gridCol w:w="146"/>
        <w:gridCol w:w="211"/>
        <w:gridCol w:w="721"/>
        <w:gridCol w:w="166"/>
        <w:gridCol w:w="146"/>
        <w:gridCol w:w="435"/>
        <w:gridCol w:w="1490"/>
        <w:gridCol w:w="166"/>
        <w:gridCol w:w="146"/>
        <w:gridCol w:w="211"/>
        <w:gridCol w:w="466"/>
        <w:gridCol w:w="166"/>
        <w:gridCol w:w="146"/>
        <w:gridCol w:w="211"/>
        <w:gridCol w:w="721"/>
        <w:gridCol w:w="213"/>
      </w:tblGrid>
      <w:tr>
        <w:trPr/>
        <w:tc>
          <w:tcPr>
            <w:tcW w:w="3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Reportable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Supply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0"/>
        <w:gridCol w:w="146"/>
        <w:gridCol w:w="211"/>
        <w:gridCol w:w="571"/>
        <w:gridCol w:w="166"/>
        <w:gridCol w:w="146"/>
        <w:gridCol w:w="211"/>
        <w:gridCol w:w="721"/>
        <w:gridCol w:w="166"/>
        <w:gridCol w:w="146"/>
        <w:gridCol w:w="435"/>
        <w:gridCol w:w="1490"/>
        <w:gridCol w:w="166"/>
        <w:gridCol w:w="146"/>
        <w:gridCol w:w="211"/>
        <w:gridCol w:w="466"/>
        <w:gridCol w:w="166"/>
        <w:gridCol w:w="146"/>
        <w:gridCol w:w="211"/>
        <w:gridCol w:w="721"/>
        <w:gridCol w:w="213"/>
      </w:tblGrid>
      <w:tr>
        <w:trPr/>
        <w:tc>
          <w:tcPr>
            <w:tcW w:w="3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Reportable Segments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Supply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aps/>
          <w:color w:val="000000"/>
          <w:sz w:val="20"/>
        </w:rPr>
        <w:t>Note 4 - Debt AND FINANCING ARRANGEMENTS</w:t>
      </w:r>
      <w:r>
        <w:rPr>
          <w:rFonts w:ascii="Times New Roman" w:hAnsi="Times New Roman"/>
          <w:caps/>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Details on long-term debt at June 30, 2026, June 30, 2025 and December 31, 2025 are shown below. </w:t>
      </w:r>
    </w:p>
    <w:p>
      <w:pPr>
        <w:pStyle w:val="TextBody"/>
        <w:bidi w:val="0"/>
        <w:jc w:val="left"/>
        <w:rPr/>
      </w:pPr>
      <w:r>
        <w:rPr/>
        <w:t> </w:t>
      </w:r>
    </w:p>
    <w:tbl>
      <w:tblPr>
        <w:tblW w:w="9326" w:type="dxa"/>
        <w:jc w:val="left"/>
        <w:tblInd w:w="0" w:type="dxa"/>
        <w:tblLayout w:type="fixed"/>
        <w:tblCellMar>
          <w:top w:w="28" w:type="dxa"/>
          <w:left w:w="28" w:type="dxa"/>
          <w:bottom w:w="28" w:type="dxa"/>
          <w:right w:w="28" w:type="dxa"/>
        </w:tblCellMar>
      </w:tblPr>
      <w:tblGrid>
        <w:gridCol w:w="5761"/>
        <w:gridCol w:w="146"/>
        <w:gridCol w:w="211"/>
        <w:gridCol w:w="571"/>
        <w:gridCol w:w="146"/>
        <w:gridCol w:w="146"/>
        <w:gridCol w:w="211"/>
        <w:gridCol w:w="571"/>
        <w:gridCol w:w="146"/>
        <w:gridCol w:w="146"/>
        <w:gridCol w:w="290"/>
        <w:gridCol w:w="790"/>
        <w:gridCol w:w="191"/>
      </w:tblGrid>
      <w:tr>
        <w:trPr/>
        <w:tc>
          <w:tcPr>
            <w:tcW w:w="5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Long-Term Debt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Unitil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3.70% Senior Notes, Due 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3.43% Senior Notes, Due December 18,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5.99% Senior Notes, Due August 21, 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Unitil Energy First Mortgage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6.96% Senior Secured Notes, Due September 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8.00% Senior Secured Notes, Due May 1,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6.32% Senior Secured Notes, Due September 15, 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3.58% Senior Secured Notes, Due September 15,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4.18% Senior Secured Notes, Due November 30, 2048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5.69% Senior Secured Notes, Due August 21, 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Fitchburg: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3.52% Senior Notes, Due November 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7.37% Senior Notes, Due January 15,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5.90% Senior Notes, Due December 15,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7.98% Senior Notes, Due June 1,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5.70% Senior Notes, Due July 2,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5.54% Senior Notes, Due August 21, 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5.62% Senior Notes, Due April 30, 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3.78% Senior Notes, Due September 15, 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5.87% Senior Notes, Due April 30, 2041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5.99% Senior Notes, Due August 21, 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4.32% Senior Notes, Due November 1, 2047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5.96% Senior Notes, Due July 2, 2053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Northern Utilities: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3.52% Senior Notes, Due November 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5.54% Senior Notes, Due August 21,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7.72% Senior Notes, Due December 3, 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5.74% Senior Notes, Due August 21, 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3.78% Senior Notes, Due September 15, 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4.42% Senior Notes, Due October 15, 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4.32% Senior Notes, Due November 1, 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4.04% Senior Notes, Due September 12, 2049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Bangor: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5.70% Senior Notes, Due July 8,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6.31% Senior Notes, Due July 8, 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Granite 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3.72% Senior Notes, Due November 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5.74% Senior Notes, Due August 21, 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AWC-NH: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5.72% Senior Secured Notes, Due June 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Abenaki: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3.17% Senior Notes, Due June 1, 2051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9"/>
              </w:rPr>
              <w:t>1.296% - 2.864% Senior Notes, Due October 1, 2031</w:t>
            </w:r>
            <w:r>
              <w:rPr>
                <w:rFonts w:ascii="Times New Roman" w:hAnsi="Times New Roman"/>
                <w:color w:val="000000"/>
                <w:sz w:val="20"/>
              </w:rPr>
              <w:t> </w:t>
            </w:r>
            <w:r>
              <w:rPr>
                <w:rFonts w:ascii="Times New Roman" w:hAnsi="Times New Roman"/>
                <w:color w:val="000000"/>
                <w:sz w:val="19"/>
              </w:rPr>
              <w:t>- May 1, 2045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Unitil Realty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2.64% Senior Secured Notes, Due December 18,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Less: Fair Market Value Adjustment for Debt Acquired in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680.4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Fair Value of Long-Term Debt</w:t>
      </w:r>
      <w:r>
        <w:rPr>
          <w:rFonts w:ascii="Times New Roman" w:hAnsi="Times New Roman"/>
          <w:color w:val="000000"/>
          <w:sz w:val="20"/>
        </w:rPr>
        <w:t xml:space="preserve"> </w:t>
      </w:r>
      <w:r>
        <w:rPr>
          <w:rFonts w:ascii="Times New Roman" w:hAnsi="Times New Roman"/>
          <w:b/>
          <w:color w:val="000000"/>
          <w:sz w:val="20"/>
        </w:rPr>
        <w:t>-</w:t>
      </w:r>
      <w:r>
        <w:rPr>
          <w:rFonts w:ascii="Times New Roman" w:hAnsi="Times New Roman"/>
          <w:color w:val="000000"/>
          <w:sz w:val="20"/>
        </w:rPr>
        <w:t xml:space="preserve"> Currently, the Company believes there is no active market in the Company’s debt securities, which have all been sold through private placements. If there were an active market for the Company’s debt securities, the fair value of the Company’s long-term debt would be estimated based on the quoted market prices for the same or similar issues, or on the current rates offered to the Company for debt of the same remaining maturities. The fair value of the Company’s long-term debt is estimated using Level 2 inputs (valuations based on quoted prices available in active markets for similar assets or liabilities, quoted prices for identical or similar assets or liabilities in inactive markets, inputs other than quoted prices that are directly observable, and inputs derived principally from market data). In estimating the fair value of the Company’s long-term debt, the assumed market yield reflects the Moody’s Baa Utility Bond Average Yield. Costs, including prepayment costs, associated with the early settlement of long-term debt are not taken into consideration in determining fair value. </w:t>
      </w:r>
    </w:p>
    <w:p>
      <w:pPr>
        <w:pStyle w:val="TextBody"/>
        <w:bidi w:val="0"/>
        <w:jc w:val="left"/>
        <w:rPr/>
      </w:pPr>
      <w:r>
        <w:rPr/>
        <w:t> </w:t>
      </w:r>
    </w:p>
    <w:tbl>
      <w:tblPr>
        <w:tblW w:w="7406" w:type="dxa"/>
        <w:jc w:val="left"/>
        <w:tblInd w:w="0" w:type="dxa"/>
        <w:tblLayout w:type="fixed"/>
        <w:tblCellMar>
          <w:top w:w="28" w:type="dxa"/>
          <w:left w:w="28" w:type="dxa"/>
          <w:bottom w:w="28" w:type="dxa"/>
          <w:right w:w="28" w:type="dxa"/>
        </w:tblCellMar>
      </w:tblPr>
      <w:tblGrid>
        <w:gridCol w:w="3841"/>
        <w:gridCol w:w="146"/>
        <w:gridCol w:w="211"/>
        <w:gridCol w:w="571"/>
        <w:gridCol w:w="146"/>
        <w:gridCol w:w="146"/>
        <w:gridCol w:w="211"/>
        <w:gridCol w:w="571"/>
        <w:gridCol w:w="146"/>
        <w:gridCol w:w="146"/>
        <w:gridCol w:w="290"/>
        <w:gridCol w:w="790"/>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Estimated Fair Value of Long-Term Debt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Fair Value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30, 2026, Fitchburg issued $23.0 million of Notes due 2036 at 5.62% and $17.0 million of Notes due 2041 at 5.87%. Fitchburg used the net proceeds to refinance existing debt and for general corporate purposes. Approximately $0.3 million of costs associated with this issuance will be recorded as a reduction of Long-Term Debt on the Consolidated Balance Sheet in the second quarter of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8, 2025, Bangor issued $14.0 million of Notes due 2030 at 5.70% and $18.0 million of Notes due 2035 at 6.31%. Bangor used the net proceeds to refinance existing debt and for general corporate purposes. Approximately $0.2 million of costs associated with this issuance were recorded as a reduction of Long-Term Debt on the Consolidated Balance Sheet in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29, 2022, the Company entered into a Third Amended and Restated Credit Agreement with a syndicate of lenders (collectively, the Credit Facility), which amended and restated the prior facility in full and on January 29, 2025, the Company executed an amendment that increased the borrowing limit under the Credit Facility from $200 million to $275 million and extended the maturity date from September 29, 2027 to September 29, 2028. Unitil may borrow under the Credit Facility through September 29, 2028, with the option for two additional one-year extensions under certain circumstances. The Credit Facility provides for a $275 million borrowing limit, including a $25 million sublimit for standby letters of credit and permits Unitil to increase the borrowing limit by up to an additional $75 million under certain circumstances. Borrowings under the Credit Facility may bear interest at various options, including a daily fluctuating rate equal to the forward-looking one-month secured overnight financing rate (SOFR) term rate (as administered by the Federal Reserve Bank of New York), plus 0.1000%, plus a margin ranging from 1.125% to 1.375% based on Unitil’s credit rating.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accesses the Credit Facility for cash management purposes related to its short-term operating activities. Total gross borrowings were $174.5 million for the six months ended June 30, 2026. Total gross repayments were $238.0 million for the six months ended June 30, 2026. The following table details the borrowing limits, amounts outstanding and amounts available under the Credit Facility as of June 30, 2026, June 30, 2025 and December 31, 2025:</w:t>
      </w:r>
    </w:p>
    <w:p>
      <w:pPr>
        <w:pStyle w:val="TextBody"/>
        <w:bidi w:val="0"/>
        <w:jc w:val="left"/>
        <w:rPr/>
      </w:pPr>
      <w:r>
        <w:rPr/>
        <w:t> </w:t>
      </w:r>
    </w:p>
    <w:tbl>
      <w:tblPr>
        <w:tblW w:w="6641"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11"/>
        <w:gridCol w:w="571"/>
        <w:gridCol w:w="146"/>
        <w:gridCol w:w="146"/>
        <w:gridCol w:w="290"/>
        <w:gridCol w:w="790"/>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Revolving Credit Facility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Facility contains customary terms and conditions for credit facilities of this type, including affirmative and negative covenants. There are restrictions on, among other things, Unitil’s and its subsidiaries’ ability to incur liens or incur indebtedness, and restrictions on Unitil’s ability to merge or consolidate with another entity or change its line of business. The affirmative and negative covenants under the Credit Facility shall apply to Unitil until the Credit Facility terminates and all amounts borrowed under the Credit Facility are paid in full (or, with respect to letters of credit, they are cash-collateralized). The only financial covenant in the Credit Facility provides that Unitil’s Funded Debt to Capitalization (as each term is defined in the Credit Facility) cannot exceed 65%, tested on a quarterly basis. At June 30, 2026, June 30, 2025 and December 31, 2025, the Company was in compliance with the covenants contained in the Credit Facility in effect on those dates.</w:t>
      </w:r>
    </w:p>
    <w:p>
      <w:pPr>
        <w:pStyle w:val="TextBody"/>
        <w:bidi w:val="0"/>
        <w:jc w:val="left"/>
        <w:rPr>
          <w:rFonts w:ascii="Times New Roman" w:hAnsi="Times New Roman"/>
          <w:color w:val="000000"/>
          <w:sz w:val="20"/>
        </w:rPr>
      </w:pPr>
      <w:r>
        <w:rPr>
          <w:rFonts w:ascii="Times New Roman" w:hAnsi="Times New Roman"/>
          <w:color w:val="000000"/>
          <w:sz w:val="20"/>
        </w:rPr>
        <w:t>The average interest rates on all short-term borrowings and intercompany money pool transactions were 4.9% and 5.6% for the six months ended June 30, 2026 and June 30, 2025, respectively. The average interest rate on all short-term borrowings for the twelve months ended December 31, 2025 was 5.4%.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30, 2026, the Company entered into an Amended and Restated senior unsecured delayed-draw term loan facility with the Bank of Nova Scotia, which amended and restated the previous facility entered into on October 31, 2025. Tranche A in the agreement equals the aggregate commitment of $86.0 million used to fund the acquisition of Maine Natural on October 31, 2025 and has a maturity date of October 31, 2026. As of June 30, 2026, the Company’s Tranche A borrowings outstanding were $86.0 million. Tranche B in the agreement equals the aggregate commitment of $50.0 million used to fund the acquisition of the Aquarion Water companies on June 30, 2026 and has a maturity date of June 30, 2027. As of June 30, 2026, the Company’s Tranche B borrowings outstanding were $42.6 million. The facility provides that the Company has an option for determining whether interest on loans under the facility will bear interest based on a Base Rate plus an applicable margin of 0.25% or based on a one-month Term SOFR plus a SOFR adjustment of 0.10% plus an applicable margin of 1.25%. The Base Rate is equal to the highest of the (a) Federal Funds Rate plus 0.50%, (b) the rate of interest in effect for such day as publicly announced from time to time by The Bank of Nova Scotia as its "prime rate", or (c) one-month Term SOFR plus a SOFR adjustment of 0.10% plus 1.00%. The facility has a maturity date of October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Northern Utilities and Bangor enter into asset management agreements under which Northern Utilities and Bangor release certain gas pipeline and storage assets, sell to an asset manager and subsequently repurchase the gas over the course of the gas heating season at the same price at which they sold the gas to the asset manager. There was $8.3 million of natural gas storage inventory and corresponding obligations at June 30, 2026 related to these asset management agreements.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Guarantees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provides limited guarantees on certain energy and gas storage management contracts entered into by the energy distribution utilities. The Company’s policy is to limit the duration of these guarantees. As of June 30, 2026, there were $50.3 million of guarantees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guarantees the payment of principal, interest and other amounts payable on the notes issued by Abenaki. As of June 30, 2026, the total principal amount outstanding for the Abenaki notes was $2.7 million.</w:t>
      </w:r>
    </w:p>
    <w:p>
      <w:pPr>
        <w:pStyle w:val="TextBody"/>
        <w:bidi w:val="0"/>
        <w:spacing w:before="360" w:after="283"/>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Unitil’s subsidiaries lease some of their vehicles, machinery and office equipment under both capital and operating lease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rental expense under operating leases charged to operations for the three months ended June 30, 2026 and June 30, 2025 amounted to $0.5 million and $0.6 million, respectively. Total rental expense under operating leases charged to operations for the six months ended June 30, 2026 and June 30, 2025 amounted to $1.1 million and $1.1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balance sheet classification of the Company’s lease obligations was as follows: </w:t>
      </w:r>
    </w:p>
    <w:p>
      <w:pPr>
        <w:pStyle w:val="TextBody"/>
        <w:bidi w:val="0"/>
        <w:jc w:val="left"/>
        <w:rPr/>
      </w:pPr>
      <w:r>
        <w:rPr/>
        <w:t> </w:t>
      </w:r>
    </w:p>
    <w:tbl>
      <w:tblPr>
        <w:tblW w:w="7996" w:type="dxa"/>
        <w:jc w:val="left"/>
        <w:tblInd w:w="0" w:type="dxa"/>
        <w:tblLayout w:type="fixed"/>
        <w:tblCellMar>
          <w:top w:w="28" w:type="dxa"/>
          <w:left w:w="28" w:type="dxa"/>
          <w:bottom w:w="28" w:type="dxa"/>
          <w:right w:w="28" w:type="dxa"/>
        </w:tblCellMar>
      </w:tblPr>
      <w:tblGrid>
        <w:gridCol w:w="4251"/>
        <w:gridCol w:w="146"/>
        <w:gridCol w:w="211"/>
        <w:gridCol w:w="361"/>
        <w:gridCol w:w="146"/>
        <w:gridCol w:w="146"/>
        <w:gridCol w:w="211"/>
        <w:gridCol w:w="361"/>
        <w:gridCol w:w="146"/>
        <w:gridCol w:w="146"/>
        <w:gridCol w:w="398"/>
        <w:gridCol w:w="682"/>
        <w:gridCol w:w="791"/>
      </w:tblGrid>
      <w:tr>
        <w:trPr/>
        <w:tc>
          <w:tcPr>
            <w:tcW w:w="4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Obligations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Obligations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Obligations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Noncurrent Liabilities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Capital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paid for amounts included in the measurement of operating lease obligations for the six months ended June 30, 2026 and June 30, 2025 was $1.1 million and $1.1 million and was included in Cash Provided by Operating Activities on the Consolidated Statements of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under capital leases amounted to approximately $0.9 million, $0.6 million and $0.9 million as of June 30, 2026, June 30, 2025 and December 31, 2025, respectively, less accumulated amortization of $0.4 million, $0.2 million and $0.3 million, respectively, and are included in Net Utility Plant on the Company’s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is a schedule of future operating lease payment obligations and future minimum lease payments under capital leases as of June 30, 2026. The payments for operating leases consist of $2.1 million of current Operating Lease Obligations and $4.3 million of noncurrent Operating Lease Obligations on the Company’s Consolidated Balance Sheets as of June 30, 2026. The payments for capital leases consist of $0.2 million of current capital lease obligations, which are included in Other Current Liabilities and $0.3 million of noncurrent capital lease obligations, which are included in Other Noncurrent Liabilities, on the Company’s Consolidated Balance Sheets as of June 30, 2026.</w:t>
      </w:r>
    </w:p>
    <w:p>
      <w:pPr>
        <w:pStyle w:val="TextBody"/>
        <w:bidi w:val="0"/>
        <w:jc w:val="left"/>
        <w:rPr/>
      </w:pPr>
      <w:r>
        <w:rPr/>
        <w:t> </w:t>
      </w:r>
    </w:p>
    <w:tbl>
      <w:tblPr>
        <w:tblW w:w="7177" w:type="dxa"/>
        <w:jc w:val="left"/>
        <w:tblInd w:w="0" w:type="dxa"/>
        <w:tblLayout w:type="fixed"/>
        <w:tblCellMar>
          <w:top w:w="28" w:type="dxa"/>
          <w:left w:w="28" w:type="dxa"/>
          <w:bottom w:w="28" w:type="dxa"/>
          <w:right w:w="28" w:type="dxa"/>
        </w:tblCellMar>
      </w:tblPr>
      <w:tblGrid>
        <w:gridCol w:w="4846"/>
        <w:gridCol w:w="146"/>
        <w:gridCol w:w="230"/>
        <w:gridCol w:w="626"/>
        <w:gridCol w:w="146"/>
        <w:gridCol w:w="146"/>
        <w:gridCol w:w="215"/>
        <w:gridCol w:w="431"/>
        <w:gridCol w:w="3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Payments ($000’s)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2031 - 2035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 of Lease Obligations Recorded on Consolidated</w:t>
              <w:br/>
              <w:t>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obligations are based on the net present value of the remaining lease payments over the remaining lease term. In determining the present value of lease payments, the Company used the interest rate stated in each lease agreement. As of June 30, 2026, the weighted average remaining lease term is 3.4 years and the weighted average operating discount rate used to determine the operating lease obligations was 5.40%. As of June 30, 2025, the weighted average remaining lease term was 3.8 years and the weighted average operating discount rate used to determine the operating lease obligations was 5.0%.</w:t>
      </w:r>
    </w:p>
    <w:p>
      <w:pPr>
        <w:pStyle w:val="TextBody"/>
        <w:bidi w:val="0"/>
        <w:spacing w:before="360" w:after="283"/>
        <w:jc w:val="left"/>
        <w:rPr>
          <w:rFonts w:ascii="Times New Roman" w:hAnsi="Times New Roman"/>
          <w:sz w:val="20"/>
        </w:rPr>
      </w:pPr>
      <w:r>
        <w:rPr>
          <w:rFonts w:ascii="Times New Roman" w:hAnsi="Times New Roman"/>
          <w:b/>
          <w:caps/>
          <w:color w:val="000000"/>
          <w:sz w:val="20"/>
        </w:rPr>
        <w:t xml:space="preserve">Note 5 </w:t>
      </w:r>
      <w:r>
        <w:rPr>
          <w:rFonts w:ascii="Times New Roman" w:hAnsi="Times New Roman"/>
          <w:color w:val="000000"/>
          <w:sz w:val="20"/>
        </w:rPr>
        <w:t>–</w:t>
      </w:r>
      <w:r>
        <w:rPr>
          <w:rFonts w:ascii="Times New Roman" w:hAnsi="Times New Roman"/>
          <w:caps/>
          <w:color w:val="000000"/>
          <w:sz w:val="20"/>
        </w:rPr>
        <w:t xml:space="preserve"> </w:t>
      </w:r>
      <w:r>
        <w:rPr>
          <w:rFonts w:ascii="Times New Roman" w:hAnsi="Times New Roman"/>
          <w:b/>
          <w:caps/>
          <w:color w:val="000000"/>
          <w:sz w:val="20"/>
        </w:rPr>
        <w:t>equity</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common stock trades on the New York Stock Exchange under the symbol, “UTL.”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18,225,964, 16,291,395 and 17,919,191 shares of common stock outstanding at June 30, 2026, June 30, 2025 and December 31,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common shares activity for the six months ended June 30, 2026:</w:t>
      </w:r>
    </w:p>
    <w:p>
      <w:pPr>
        <w:pStyle w:val="TextBody"/>
        <w:bidi w:val="0"/>
        <w:jc w:val="left"/>
        <w:rPr/>
      </w:pPr>
      <w:r>
        <w:rPr/>
        <w:t> </w:t>
      </w:r>
    </w:p>
    <w:tbl>
      <w:tblPr>
        <w:tblW w:w="4990" w:type="dxa"/>
        <w:jc w:val="left"/>
        <w:tblInd w:w="0" w:type="dxa"/>
        <w:tblLayout w:type="fixed"/>
        <w:tblCellMar>
          <w:top w:w="28" w:type="dxa"/>
          <w:left w:w="28" w:type="dxa"/>
          <w:bottom w:w="28" w:type="dxa"/>
          <w:right w:w="28" w:type="dxa"/>
        </w:tblCellMar>
      </w:tblPr>
      <w:tblGrid>
        <w:gridCol w:w="3451"/>
        <w:gridCol w:w="146"/>
        <w:gridCol w:w="146"/>
        <w:gridCol w:w="1036"/>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17,919,191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 DRP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 ATM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 RSU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 Time Restricted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 Performance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Shares - Time Restricted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Shares - Performance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18,225,964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Unitil Corporation Common Stock Offering - </w:t>
      </w:r>
      <w:r>
        <w:rPr>
          <w:rFonts w:ascii="Times New Roman" w:hAnsi="Times New Roman"/>
          <w:color w:val="000000"/>
          <w:sz w:val="20"/>
        </w:rPr>
        <w:t>On August 18, 2025, the Company issued and sold 1,602,358 shares of its common stock at a price of $46.65 per share in a registered public offering (Offering). The Company’s net increase to Common Equity and Cash proceeds from the Offering was approximately $71.8 million. The proceeds will be used to make equity capital contributions to the Company’s regulated utility subsidiaries, to repay debt and for other general corporate purposes. Overall, the results of operations and earnings reflect the higher number of average shares outstanding period over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At-the-Market Equity Offering Program - </w:t>
      </w:r>
      <w:r>
        <w:rPr>
          <w:rFonts w:ascii="Times New Roman" w:hAnsi="Times New Roman"/>
          <w:color w:val="000000"/>
          <w:sz w:val="20"/>
        </w:rPr>
        <w:t>On June 3, 2025, the Company entered into an at-the-market (ATM) equity offering program with sales agents under which the Company may, from time to time, offer and sell shares of its common stock having an aggregate offering price of up to $50 million. Sales of common stock under the ATM program are made pursuant to a shelf registration statement on Form S-3 (File No. 333-287753) and a related prospectus supplement filed with the Securities and Exchange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sold 212,042 shares of common stock under the ATM program at an average price of $52.14 per share, resulting in gross proceeds of $10.8 million after deducting commissions and offering expenses. During the year ended December 31, 2025, the Company sold 27,620 shares of common stock under the ATM program at an average price of $53.00 per share, resulting in gross proceeds of $1.5 million and net proceeds of $1.4 million after deducting commissions and offering expenses. As of June 30, 2026, $37.5 million remains available for future sales under the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intends to use the net proceeds from the ATM program for general corporate purposes, including capital contributions to the Company's utility subsidiaries, repayment of debt, acquisitions, capital expenditures and working capital, as described in the prospectus supplement relating to the ATM program.</w:t>
      </w:r>
    </w:p>
    <w:p>
      <w:pPr>
        <w:pStyle w:val="TextBody"/>
        <w:bidi w:val="0"/>
        <w:spacing w:before="240" w:after="283"/>
        <w:jc w:val="left"/>
        <w:rPr>
          <w:rFonts w:ascii="Times New Roman" w:hAnsi="Times New Roman"/>
          <w:sz w:val="20"/>
        </w:rPr>
      </w:pPr>
      <w:r>
        <w:rPr>
          <w:rFonts w:ascii="Times New Roman" w:hAnsi="Times New Roman"/>
          <w:b/>
          <w:color w:val="000000"/>
          <w:sz w:val="20"/>
        </w:rPr>
        <w:t>Dividend Reinvestment and Stock Purchase Plan -</w:t>
      </w:r>
      <w:r>
        <w:rPr>
          <w:rFonts w:ascii="Times New Roman" w:hAnsi="Times New Roman"/>
          <w:color w:val="000000"/>
          <w:sz w:val="20"/>
        </w:rPr>
        <w:t xml:space="preserve"> During the first six months of 2026, the Company sold 11,657 shares of its common stock, at an average price of $51.67 per share, in connection with its Dividend Reinvestment and Stock Purchase Plan (DRP) and its 401(k) plans resulting in net proceeds of approximately $602,300. The DRP provides participants in the plan a method for investing cash dividends on the Company’s common stock and cash payments in additional shares of the Company’s common stock. </w:t>
      </w:r>
    </w:p>
    <w:p>
      <w:pPr>
        <w:pStyle w:val="TextBody"/>
        <w:bidi w:val="0"/>
        <w:spacing w:before="240" w:after="283"/>
        <w:jc w:val="left"/>
        <w:rPr>
          <w:rFonts w:ascii="Times New Roman" w:hAnsi="Times New Roman"/>
          <w:sz w:val="20"/>
        </w:rPr>
      </w:pPr>
      <w:r>
        <w:rPr>
          <w:rFonts w:ascii="Times New Roman" w:hAnsi="Times New Roman"/>
          <w:b/>
          <w:color w:val="000000"/>
          <w:sz w:val="20"/>
        </w:rPr>
        <w:t>Stock Plan -</w:t>
      </w:r>
      <w:r>
        <w:rPr>
          <w:rFonts w:ascii="Times New Roman" w:hAnsi="Times New Roman"/>
          <w:color w:val="000000"/>
          <w:sz w:val="20"/>
        </w:rPr>
        <w:t xml:space="preserve"> The Company maintains the Unitil Corporation Third Amended and Restated 2003 Stock Plan (the Stock Plan). Participants in the Stock Plan are selected by the Compensation Committee of the Board of Directors to receive awards under the Stock Plan, including: (i) awards of restricted shares that vest based on time (Time Restricted Shares); (ii) awards of restricted shares that vest based on performance (Performance Restricted Shares); or (iii) awards of restricted stock units (Restricted Stock Units). The Compensation Committee has the authority to determine the sizes of awards; determine the terms and conditions of awards in a manner consistent with the Stock Plan; construe and interpret the Stock Plan and any agreement or instrument entered into under the Stock Plan as they apply to participants; establish, amend, or waive rules and regulations for the Stock Plan’s administration as they apply to participants; and, subject to the provisions of the Stock Plan, amend the terms and conditions of any outstanding award to the extent such terms and conditions are within the discretion of the Compensation Committee as provided for in the Stock Plan. On May 1, 2024, the Company’s shareholders approved an amendment to the Stock Plan to, among other things, increase the maximum number of shares of common stock available for awards to plan participants.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maximum number of shares available for awards to participants under the Stock Plan was 1,027,500 as of June 30, 2026. The maximum number of shares that may be awarded in any one calendar year to any one participant is 20,000. In the event of certain changes in capitalization of the Company, the Compensation Committee is authorized to make an equitable adjustment to the number and kind of shares of common stock that may be delivered under the Stock Plan and, in addition, may authorize and make an equitable adjustment to the Stock Plan’s annual individual award limit.</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Time Restricted Shares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Outstanding awards of Time Restricted Shares fully vest over a period of four years at a rate of 25% each year. During the vesting period, dividends on Time Restricted Shares underlying the award may be credited to a participant’s account. The Company may deduct or withhold, or require a participant to remit to the Company, an amount sufficient to satisfy any taxes required by federal, state, or local law or regulation to be withheld with respect to any taxable event arising in connection with an award. Prior to the end of the vesting period, the Time Restricted Shares are subject to forfeiture if the participant ceases to be employed by the Company other than due to the participant’s death, disability or retirement.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27, 2026, there were 32,330 Time Restricted Shares issued in conjunction with the Stock Plan with an aggregate market value at the date of issuance of approximately $1.6 million. There were 24,703 and 25,170 non-vested Time Restricted Shares under the Stock Plan as of June 30, 2026 and 2025, respectively. The weighted average grant date fair value of these shares was $50.71 and $50.85 per share, respectively. The compensation expense associated with the issuance of Time Restricted Shares under the Stock Plan is recognized over the vesting period and was $1.6 million and $1.3 million for the six months ended June 30, 2026 and 2025, respectively. At June 30, 2026, there was approximately $1.4 million of total unrecognized compensation cost for Time Restricted Shares under the Stock Plan which is expected to be recognized over approximately 3.0 years. During the six months ended June 30, 2026 there were zero Time Restricted Shares forfeited and zero Time Restricted Shares cancelled under the Stock Plan.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Performance Restricted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Outstanding awards of Performance Restricted Shares vest after a performance period of three years based on the attainment of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goals set by the Compensation Committee at the beginning of the performance period. If goals are met, awards of Performance Restricted Shares may vest fully; if goals are exceeded, awards of Performance Restricted Shares may vest fully and additional shares of common stock may be awarded; if goals are not met, a portion of the Performance Restricted Shares may vest and/or all or a portion of the Performance Restricted Shares may be forfeited. During the performance period, dividends on Performance Restricted Shares underlying the award may be credited to a participant’s account. The Company may deduct or withhold, or require a participant to remit to the Company, an amount sufficient to satisfy any taxes required by federal, state, or local law or regulation to be withheld with respect to any taxable event arising in connection with an award. Prior to the end of the performance period, the Performance Restricted Shares are subject to forfeiture if the participant ceases to be employed by the Company other than due to the participant’s death, disability or retirement.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Performance Restricted Shares issued in January 2023 were fully vested as of December 31, 2025. During the first quarter, an additional 820 shares were awarded due to exceeding certain goals and 931 shares were forfeited due to retirements. The compensation expense associated with the additional shares was less than $0.1 million and recorded in the first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26, 2026, there were 32,330 Performance Restricted Shares issued under the Stock Plan with an aggregate market value of $1.6 million. There were 81,180 and 67,380 non-vested Performance Restricted Shares under the Stock Plan as of June 30, 2026 and 2025, respectively. The weighted average grant date fair value of these shares was $50.58 and $51.21 per share, respectively. The compensation expense associated with the issuance of Performance Restricted Shares under the Stock Plan is recognized over the vesting period and was $1.0 million and $0.8 million for the six months ended June 30, 2026 and June 30, 2025, respectively. At June 30, 2026, there was approximately $2.9 million of total unrecognized compensation cost for Performance Restricted Shares under the Stock Plan which is expected to be recognized over approximately 2.0 years. During the six months ended June 30, 2026, there were zero Performance Restricted Shares forfeited, other than those disclosed above for the vested shares, and zero Performance Restricted Shares cancelled under the Stock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Time Restricted Shares and Performance Restricted Shares unvested activity during the six months ended June 30, 2026 in conjunction with the Stock Plan is presented in the following tables: </w:t>
      </w:r>
    </w:p>
    <w:p>
      <w:pPr>
        <w:pStyle w:val="TextBody"/>
        <w:bidi w:val="0"/>
        <w:jc w:val="left"/>
        <w:rPr/>
      </w:pPr>
      <w:r>
        <w:rPr/>
        <w:t> </w:t>
      </w:r>
    </w:p>
    <w:tbl>
      <w:tblPr>
        <w:tblW w:w="8454" w:type="dxa"/>
        <w:jc w:val="left"/>
        <w:tblInd w:w="0" w:type="dxa"/>
        <w:tblLayout w:type="fixed"/>
        <w:tblCellMar>
          <w:top w:w="28" w:type="dxa"/>
          <w:left w:w="28" w:type="dxa"/>
          <w:bottom w:w="28" w:type="dxa"/>
          <w:right w:w="28" w:type="dxa"/>
        </w:tblCellMar>
      </w:tblPr>
      <w:tblGrid>
        <w:gridCol w:w="3556"/>
        <w:gridCol w:w="146"/>
        <w:gridCol w:w="146"/>
        <w:gridCol w:w="676"/>
        <w:gridCol w:w="166"/>
        <w:gridCol w:w="146"/>
        <w:gridCol w:w="211"/>
        <w:gridCol w:w="571"/>
        <w:gridCol w:w="146"/>
        <w:gridCol w:w="146"/>
        <w:gridCol w:w="174"/>
        <w:gridCol w:w="877"/>
        <w:gridCol w:w="197"/>
        <w:gridCol w:w="174"/>
        <w:gridCol w:w="251"/>
        <w:gridCol w:w="680"/>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Time 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Restricted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Participating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Stock</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Units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Stock</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48,850</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3556"/>
        <w:gridCol w:w="146"/>
        <w:gridCol w:w="146"/>
        <w:gridCol w:w="736"/>
        <w:gridCol w:w="166"/>
        <w:gridCol w:w="146"/>
        <w:gridCol w:w="211"/>
        <w:gridCol w:w="571"/>
        <w:gridCol w:w="146"/>
        <w:gridCol w:w="146"/>
        <w:gridCol w:w="181"/>
        <w:gridCol w:w="840"/>
        <w:gridCol w:w="181"/>
        <w:gridCol w:w="181"/>
        <w:gridCol w:w="262"/>
        <w:gridCol w:w="709"/>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Time 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 Restricted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Non-Participating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Stock</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Stock</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Non-management members of the Company’s Board of Directors (Directors) may elect to receive the equity portion of their annual retainer in the form of Restricted Stock Units (RSU). Restricted Stock Units earn dividend equivalents and will generally be settled by payment to each Director as soon as practicable following the Director’s separation from service to the Company. The Restricted Stock Units will be paid such that the Director will receive (i) 70% of the shares of the Company’s common stock underlying the restricted stock units and (ii) cash in an amount equal to the fair market value of 30% of the shares of the Company’s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underlying the Restricted Stock Units. The equity and liability portions of Restricted Stock Units activity during the six months ended June 30, 2026 in conjunction with the Stock Plan is presented in the following table: </w:t>
      </w:r>
    </w:p>
    <w:p>
      <w:pPr>
        <w:pStyle w:val="TextBody"/>
        <w:bidi w:val="0"/>
        <w:jc w:val="left"/>
        <w:rPr/>
      </w:pPr>
      <w:r>
        <w:rPr/>
        <w:t> </w:t>
      </w:r>
    </w:p>
    <w:tbl>
      <w:tblPr>
        <w:tblW w:w="8497" w:type="dxa"/>
        <w:jc w:val="left"/>
        <w:tblInd w:w="0" w:type="dxa"/>
        <w:tblLayout w:type="fixed"/>
        <w:tblCellMar>
          <w:top w:w="28" w:type="dxa"/>
          <w:left w:w="28" w:type="dxa"/>
          <w:bottom w:w="28" w:type="dxa"/>
          <w:right w:w="28" w:type="dxa"/>
        </w:tblCellMar>
      </w:tblPr>
      <w:tblGrid>
        <w:gridCol w:w="3976"/>
        <w:gridCol w:w="146"/>
        <w:gridCol w:w="146"/>
        <w:gridCol w:w="736"/>
        <w:gridCol w:w="166"/>
        <w:gridCol w:w="146"/>
        <w:gridCol w:w="211"/>
        <w:gridCol w:w="571"/>
        <w:gridCol w:w="146"/>
        <w:gridCol w:w="146"/>
        <w:gridCol w:w="146"/>
        <w:gridCol w:w="676"/>
        <w:gridCol w:w="166"/>
        <w:gridCol w:w="146"/>
        <w:gridCol w:w="211"/>
        <w:gridCol w:w="571"/>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Portion)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Portion)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Stock</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Stock</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Equivalents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Settled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28,638 Restricted Stock Units outstanding as of June 30, 2025 with a weighted average stock price of $44.61. Included in Other Noncurrent Liabilities on the Company’s Consolidated Balance Sheets as of June 30, 2026, June 30, 2025 and December 31, 2025 is $0.4 million, $0.6 million and $0.7 million, respectively, representing the fair value of liabilities associated with the portion of fully vested RSUs that will be settled in cash.</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$0.2 million, or 1,727 shares, of Unitil Energy’s 6.00% Series Preferred Stock outstanding as of June 30, 2026, June 30, 2025 and December 31, 2025. There were less than $0.1 million of total dividends declared on Preferred Stock in each of the three and six months ended June 30, 2026 and June 30,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Unitil has granted restricted stock awards prior to December 31, 2025 and restricted stock units with non-forfeitable dividend rights, which are considered participating securities. Restricted stock awards granted after January 1, 2026 have forfeitable dividend rights and are considered non-participating securities. Accordingly, earnings per share are computed using the two-class method as required by FASB ASC 260-10-45. Basic earnings per common share are calculated by dividing net income allocated to common shareholders by the weighted average number of common shares outstanding during the period, which excludes the participating securities. Diluted earnings per common share are adjusted for the dilutive effects of restricted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reconciles basic and diluted earnings per share:</w:t>
      </w:r>
    </w:p>
    <w:tbl>
      <w:tblPr>
        <w:tblW w:w="10205" w:type="dxa"/>
        <w:jc w:val="left"/>
        <w:tblInd w:w="0" w:type="dxa"/>
        <w:tblLayout w:type="fixed"/>
        <w:tblCellMar>
          <w:top w:w="28" w:type="dxa"/>
          <w:left w:w="28" w:type="dxa"/>
          <w:bottom w:w="28" w:type="dxa"/>
          <w:right w:w="28" w:type="dxa"/>
        </w:tblCellMar>
      </w:tblPr>
      <w:tblGrid>
        <w:gridCol w:w="6682"/>
        <w:gridCol w:w="146"/>
        <w:gridCol w:w="211"/>
        <w:gridCol w:w="1036"/>
        <w:gridCol w:w="146"/>
        <w:gridCol w:w="146"/>
        <w:gridCol w:w="227"/>
        <w:gridCol w:w="1118"/>
        <w:gridCol w:w="493"/>
      </w:tblGrid>
      <w:tr>
        <w:trPr/>
        <w:tc>
          <w:tcPr>
            <w:tcW w:w="6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Earnings Per Share (millions, except shares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allocation of earnings and dividends to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income allocated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37.7</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17,974,544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17,970,238</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average participating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81,799</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Weighted average number of shares outstanding used in the calculation of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17,902,639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17,888,439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dilutive effect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2,397</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Adjusted weighted average number of shares outstanding used in the calculation of 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17,904,007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17,890,836</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6: DERIVATIVES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2018, Fitchburg entered into a long-term power purchase agreement (PPA) with H.Q. Energy Services (U.S.) Inc. (HQUS) to procure bundled clean energy and associated environmental attributes pursuant to Section 83D of “An Act to Promote Energy Diversity” (2016). The PPA requires Fitchburg to purchase specified quantities of electric energy over the 20-year contract term and provides for the transfer of associated environmental attributes. (See Note 7 Regulatory Matters: Fitchburg - Massachusetts Request for Proposals.)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based on the status of the NECEC Transmission Line and the Company’s assessment that the contingency related to the commencement of deliveries was substantially resolved as of December 31, 2025, the Company concluded that the PPA met the definition of a derivative. The Company evaluated the PPA under ASC 815 and concluded that (i) the host contract includes environmental attributes that do not meet the definition of a derivative and (ii) the PPA contains an embedded derivative related to the energy component that requires bifurcation.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not designated the derivative as a hedging instrument. Additionally, the derivative does not qualify for the normal purchase normal sale scope exception. Accordingly, the Company accounts for the embedded energy derivative at fair value, with subsequent changes in fair value recognized as a regulatory offset. Please see Note 1 (Summary of Significant Accounting Policies - Derivatives) for a discussion of the Company’s regulatory accounting treatment of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PPA provides a bundled price for energy and environmental attributes. In connection with bifurcation and fair value measurement of the embedded energy derivative, the Company applied an allocation approach to separate the embedded energy derivative from the non-derivative environmental attribute component. The fair value of the embedded energy derivative is estimated using a discounted cash flow model that compares forward market prices to the adjusted fixed price for the energy component of the PPA, multiplied by expected delivery volumes, and discounted using a rate that reflects the relevant counterparty’s credit risk. Observable inputs include on-peak and off-peak forward electricity prices and the Company incorporates an adjustment to estimate the pricing through the term of the PPA. The Company has classified the embedded derivative within Level 3 of the fair value hierarchy due to the use of significant unobservable inputs in estimating the value of the embedded derivative. Please also see Note 1 (Summary of Significant Accounting Policies) for a discussion of the Company’s fair value accounting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derivative was $26.1 million and $17.7 million as of June 30, 2026 and December 31, 2025, respectively, with $4.2 million and $2.8 million recorded in Prepayments and Other related to the current portion as of June 30, 2026 and December 31, 2025, respectively, and $21.9 million and $14.9 million in Other Assets related to the noncurrent portion as of June 30, 2026 and December 31, 2025, respectively. The Company has recorded corresponding Current and Noncurrent Regulatory Liabilities related to the fair value of the derivative. No derivative assets or liabilities were recognized as of June 30, 2025. The Company does not offset derivative assets and liabilities on the Company’s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entered into a long-term energy procurement arrangement primarily to comply with regulatory clean energy requirements. The Company does not enter into such arrangements for trading or speculative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exposed to credit risk related to possible nonperformance by its counterparty. The Company manages this risk through ongoing credit monitoring and, as applicable, the use of collateral or other credit enhancements.</w:t>
      </w:r>
    </w:p>
    <w:p>
      <w:pPr>
        <w:pStyle w:val="TextBody"/>
        <w:bidi w:val="0"/>
        <w:spacing w:before="360" w:after="283"/>
        <w:jc w:val="left"/>
        <w:rPr>
          <w:rFonts w:ascii="Times New Roman" w:hAnsi="Times New Roman"/>
          <w:sz w:val="20"/>
        </w:rPr>
      </w:pPr>
      <w:r>
        <w:rPr>
          <w:rFonts w:ascii="Times New Roman" w:hAnsi="Times New Roman"/>
          <w:b/>
          <w:caps/>
          <w:color w:val="000000"/>
          <w:sz w:val="20"/>
        </w:rPr>
        <w:t>note 7 – REgulatory Matters</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aps/>
          <w:color w:val="000000"/>
          <w:sz w:val="20"/>
        </w:rPr>
        <w:t>Unitil’s Regulatory matters are described in Note 8 to the Financial Statements in Item 8 of Part II of Unitil Corporation’s Form 10-K for December 31, 2025 as filed with the Securities and Exchange Commission on February 9, 2026.</w:t>
      </w:r>
      <w:r>
        <w:rPr>
          <w:rFonts w:ascii="Times New Roman" w:hAnsi="Times New Roman"/>
          <w:caps/>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Rate Case Activity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Northern Utilities - Base Rates - Maine </w:t>
      </w:r>
      <w:r>
        <w:rPr>
          <w:rFonts w:ascii="Times New Roman" w:hAnsi="Times New Roman"/>
          <w:color w:val="000000"/>
          <w:sz w:val="20"/>
        </w:rPr>
        <w:t>- On June 1, 2026, Northern Utilities’ Maine Division filed for an increase in distribution base rates with the MPUC. The Company is seeking an increase in base rates of approximately $10.4 million, or 7.4% above total annual revenue at present rates. The Company requested an effective date of June 1, 2027. This matter remains pending</w:t>
      </w:r>
    </w:p>
    <w:p>
      <w:pPr>
        <w:pStyle w:val="TextBody"/>
        <w:bidi w:val="0"/>
        <w:jc w:val="left"/>
        <w:rPr>
          <w:rFonts w:ascii="Times New Roman" w:hAnsi="Times New Roman"/>
          <w:sz w:val="20"/>
        </w:rPr>
      </w:pPr>
      <w:r>
        <w:rPr>
          <w:rFonts w:ascii="Times New Roman" w:hAnsi="Times New Roman"/>
          <w:b/>
          <w:color w:val="000000"/>
          <w:sz w:val="20"/>
        </w:rPr>
        <w:t xml:space="preserve">Northern Utilities - Base Rates - New Hampshire </w:t>
      </w:r>
      <w:r>
        <w:rPr>
          <w:rFonts w:ascii="Times New Roman" w:hAnsi="Times New Roman"/>
          <w:color w:val="000000"/>
          <w:sz w:val="20"/>
        </w:rPr>
        <w:t xml:space="preserve">- On April 1, 2026, Northern Utilities’ New Hampshire Division filed for an increase in distribution base rates with the NHPUC. The Company is seeking an increase in base rates of approximately $9.8 million or 9.6% above total annual revenue at present rates. The filing includes a proposed multi-year rate plan, continuation of a revenue decoupling mechanism, and other tariff and rate changes. Northern Utilities also requested implementation of temporary rates for service rendered on and after June 1, 2026, and until a final order on permanent rates is issued. As provided by statute, once a final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order on permanent rates is issued, the permanent rate level is reconciled back to the effective date of the temporary rates. The Company requested a temporary rate increase in annual revenues of $6.1 million, or a 5.9% increase above total annual revenue at present rates. On May 1, 2026, a settlement agreement between the Company, the New Hampshire Department of Energy (NH DOE) and the Office of the Consumer Advocate reflecting a temporary rate level of $5.5 million, or 5.4% increase above total annual revenue at present rates was filed with the NHPUC. On May 29, 2026 the NHPUC approved the settlement agreement.</w:t>
      </w:r>
    </w:p>
    <w:p>
      <w:pPr>
        <w:pStyle w:val="TextBody"/>
        <w:bidi w:val="0"/>
        <w:jc w:val="left"/>
        <w:rPr>
          <w:rFonts w:ascii="Times New Roman" w:hAnsi="Times New Roman"/>
          <w:sz w:val="20"/>
        </w:rPr>
      </w:pPr>
      <w:r>
        <w:rPr>
          <w:rFonts w:ascii="Times New Roman" w:hAnsi="Times New Roman"/>
          <w:b/>
          <w:color w:val="000000"/>
          <w:sz w:val="20"/>
        </w:rPr>
        <w:t xml:space="preserve">Unitil Energy - Base Rates </w:t>
      </w:r>
      <w:r>
        <w:rPr>
          <w:rFonts w:ascii="Times New Roman" w:hAnsi="Times New Roman"/>
          <w:color w:val="000000"/>
          <w:sz w:val="20"/>
        </w:rPr>
        <w:t xml:space="preserve">- On April 27, 2026, the NHPUC issued a procedural Order and issued its full Order on May 28, 2026 in the distribution base rate case filed with the NHPUC on May 1, 2025 by Unitil Energy. The Orders approve the settlement agreement filed on February 24, 2026 between the Company, the NH DOE and the Community Power Coalition of New Hampshire in its entirety.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authorizing an increase to permanent distribution rates of approximately $13.0 million effective May 1, 2026, the settlement agreement included: (1) a proposed multi-year rate plan, including two annual Step Adjustments to rates on September 1, 2026 and September 1, 2027, to recover total prudent investments completed and placed into service in 2025 and 2026 respectively, subject to a cap 2.50 percent of the Company’s prior year total revenue; (2) a continuation of its revenue decoupling mechanism; (3) an update to the previously approved suite of proposed time of use rates including rates for electric vehicles; (4) resiliency programs to further the Company’s commitment to reliability; (5) an Arrearage Management Program for financial hardship customers; and (6) other rate design and tariff changes. This distribution base rate case reflects the Company’s operating costs and investments in utility plant for a test year ended December 31, 2024 as adjusted for known and measurable changes. The Order provides for an overall cost of capital of 9.32% including a 9.45% return on equity. The increase in permanent rates will be reconciled back to July 1, 2025, the effective date of temporary rates previously approved in this docket, which will begin to be recovered effective August 1, 2026. Unitil Energy recorded a net increase to pretax income of $1.7 million in the second quarter of 2026 reflecting the difference between the temporary and permanent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27, 2026, Unitil Energy filed a petition for its step adjustment effective September 1, 2026 requesting a revenue requirement increase of $3.2 million. This matter remains pending.</w:t>
      </w:r>
    </w:p>
    <w:p>
      <w:pPr>
        <w:pStyle w:val="TextBody"/>
        <w:bidi w:val="0"/>
        <w:jc w:val="left"/>
        <w:rPr>
          <w:rFonts w:ascii="Times New Roman" w:hAnsi="Times New Roman"/>
          <w:sz w:val="20"/>
        </w:rPr>
      </w:pPr>
      <w:r>
        <w:rPr>
          <w:rFonts w:ascii="Times New Roman" w:hAnsi="Times New Roman"/>
          <w:b/>
          <w:color w:val="000000"/>
          <w:sz w:val="20"/>
        </w:rPr>
        <w:t xml:space="preserve">Fitchburg - Base Rates - Electric </w:t>
      </w:r>
      <w:r>
        <w:rPr>
          <w:rFonts w:ascii="Times New Roman" w:hAnsi="Times New Roman"/>
          <w:color w:val="000000"/>
          <w:sz w:val="20"/>
        </w:rPr>
        <w:t xml:space="preserve">- Fitchburg’s base rates are decoupled and subject to an annual revenue decoupling adjustment mechanism, which includes a cap on the amount that rates may be increased in any year. </w:t>
      </w:r>
    </w:p>
    <w:p>
      <w:pPr>
        <w:pStyle w:val="TextBody"/>
        <w:bidi w:val="0"/>
        <w:jc w:val="left"/>
        <w:rPr>
          <w:rFonts w:ascii="Times New Roman" w:hAnsi="Times New Roman"/>
          <w:color w:val="000000"/>
          <w:sz w:val="20"/>
        </w:rPr>
      </w:pPr>
      <w:r>
        <w:rPr>
          <w:rFonts w:ascii="Times New Roman" w:hAnsi="Times New Roman"/>
          <w:color w:val="000000"/>
          <w:sz w:val="20"/>
        </w:rPr>
        <w:t>On August 17, 2023, Fitchburg filed a petition with the MDPU seeking approval for a $6.8 million increase to base distribution rates, with new rates to be effective July 1, 2024. On June 28, 2024, the MDPU issued an Order providing for a $4.7 million increase to base rates, effective July 1, 2024, approving a performance-based ratemaking (PBR) plan for up to a five-year term and continuing the Company’s revenue decoupling mechanism. The Order also provided for a return on equity of 9.4% and a capital structure reflecting 52% equity and 48% long-term debt. Additionally, the MDPU found that allowing the Company to recover pension and PBOP expense through its Pension/PBOP Adjustment mechanism is no longer warranted and that these expenses should be recovered in base distribution rates. On July 18, 2024, the Company filed a Motion for Reconsideration and Recalculation requesting that the MDPU reconsider its decision to require the Company to absorb $1.4 million in negative excess accumulated deferred income taxes (ADIT) because the effect of the Order was to inappropriately claw back amounts that were previously approved by the MDPU for recovery from customers. The amount of $1.4 million is disaggregated between the Company’s gas division ($0.6 million) and the electric division ($0.8 million). The MDPU denied the motion, and on December 9, 2024, the Company filed an appeal with Massachusetts Supreme Judicial Court. This appeal is pending.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Fitchburg - Performance Base Rate Adjustment - Electric</w:t>
      </w:r>
      <w:r>
        <w:rPr>
          <w:rFonts w:ascii="Times New Roman" w:hAnsi="Times New Roman"/>
          <w:color w:val="000000"/>
          <w:sz w:val="20"/>
        </w:rPr>
        <w:t xml:space="preserve"> - On February 27, 2026, Fitchburg filed its second Performance Based Revenue Adjustment (PBRA) for rates effective July 1, 2026. The calculated PBRA adjustment resulted in a distribution revenue increase of $1.1 million. The filing was approved by the MDPU on June 30, 2026.</w:t>
      </w:r>
    </w:p>
    <w:p>
      <w:pPr>
        <w:pStyle w:val="TextBody"/>
        <w:bidi w:val="0"/>
        <w:jc w:val="left"/>
        <w:rPr>
          <w:rFonts w:ascii="Times New Roman" w:hAnsi="Times New Roman"/>
          <w:sz w:val="20"/>
        </w:rPr>
      </w:pPr>
      <w:r>
        <w:rPr>
          <w:rFonts w:ascii="Times New Roman" w:hAnsi="Times New Roman"/>
          <w:b/>
          <w:color w:val="000000"/>
          <w:sz w:val="20"/>
        </w:rPr>
        <w:t>Fitchburg - Base Rates - Gas -</w:t>
      </w:r>
      <w:r>
        <w:rPr>
          <w:rFonts w:ascii="Times New Roman" w:hAnsi="Times New Roman"/>
          <w:color w:val="000000"/>
          <w:sz w:val="20"/>
        </w:rPr>
        <w:t xml:space="preserve"> On August 17, 2023, Fitchburg filed a petition with the MDPU seeking approval for a $10.9 million increase to base distribution rates, with new rates anticipated to be effective July 1, 2024. On June 28, 2024, the MDPU issued an Order providing for a $10.1 million increase to base rates, effective July 1, 2024 approving a PBR plan for up to a five-year term and approving a continuation of the Company’s revenue decoupling mechanism subject to certain changes. The Order also provided for a return on equity of 9.4% and a capital structure reflecting 52% equity and 48% long-term debt. Additionally, the MDPU found that allowing the Company to recover pension and PBOP expense through its Pension/PBOP Adjustment mechanism is no longer warranted and that these expenses should be recovered in base distribution rates. On July 18, 2024, the Company filed a Motion for Reconsideration and Recalculation. The MDPU denied the motion and on December 9, 2024, the Company filed an appeal with Massachusetts Supreme Judicial Court. This appeal is pending.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Fitchburg - Performance Base Rate Adjustment - Gas</w:t>
      </w:r>
      <w:r>
        <w:rPr>
          <w:rFonts w:ascii="Times New Roman" w:hAnsi="Times New Roman"/>
          <w:color w:val="000000"/>
          <w:sz w:val="20"/>
        </w:rPr>
        <w:t xml:space="preserve"> - On February 27, 2026, Fitchburg filed its second PBRA for rates effective July 1, 2026. The calculated PBRA adjustment resulted in a distribution revenue increase of $1.7 million. The filing was approved by the MDPU on June 30, 2026.</w:t>
      </w:r>
    </w:p>
    <w:p>
      <w:pPr>
        <w:pStyle w:val="TextBody"/>
        <w:bidi w:val="0"/>
        <w:jc w:val="left"/>
        <w:rPr>
          <w:rFonts w:ascii="Times New Roman" w:hAnsi="Times New Roman"/>
          <w:sz w:val="20"/>
        </w:rPr>
      </w:pPr>
      <w:r>
        <w:rPr>
          <w:rFonts w:ascii="Times New Roman" w:hAnsi="Times New Roman"/>
          <w:b/>
          <w:color w:val="000000"/>
          <w:sz w:val="20"/>
        </w:rPr>
        <w:t xml:space="preserve">Fitchburg - Gas System Enhancement Program </w:t>
      </w:r>
      <w:r>
        <w:rPr>
          <w:rFonts w:ascii="Times New Roman" w:hAnsi="Times New Roman"/>
          <w:color w:val="000000"/>
          <w:sz w:val="20"/>
        </w:rPr>
        <w:t>- Pursuant to statute and MDPU order, Fitchburg has an approved Gas System Enhancement Plan (GSEP) tariff through which it may recover certain gas infrastructure replacement and safety related investment costs, subject to an annual cap. Under the plan, the Company is required to make two annual filings with the MDPU: a forward-looking filing for the subsequent construction year, to be filed on or before October 31; and a filing, submitted on or before May 1, of final project documentation for projects completed during the prior year, demonstrating substantial compliance with its plan in effect for that year and showing that project costs were reasonably and prudently incurred. The Company filed its most recent forward-looking cumulative revenue requirement filing on October 31, 2025, requesting recovery of approximately $5.4 million with an additional $1.0 million in prior deferrals for a total of approximately $6.4 million to be recovered. On April 30, 2026, the MDPU issued an order approving the filing, in part for rates effective May 1, 2026. The MDPU reduced the revenue cap from 2.5 percent to 2.0 percent, which reduced the Company’s requested recovery of prior deferrals from $1.0 million to $0.7 million. On May 1, 2026, the Company submitted its final project documentation for projects completed in 2025 and requested recovery of the remaining deferral effective November 1, 2026. These matters remain pending.</w:t>
      </w:r>
    </w:p>
    <w:p>
      <w:pPr>
        <w:pStyle w:val="TextBody"/>
        <w:bidi w:val="0"/>
        <w:jc w:val="left"/>
        <w:rPr>
          <w:rFonts w:ascii="Times New Roman" w:hAnsi="Times New Roman"/>
          <w:sz w:val="20"/>
        </w:rPr>
      </w:pPr>
      <w:r>
        <w:rPr>
          <w:rFonts w:ascii="Times New Roman" w:hAnsi="Times New Roman"/>
          <w:b/>
          <w:color w:val="000000"/>
          <w:sz w:val="20"/>
        </w:rPr>
        <w:t xml:space="preserve">Granite State - Base Rates </w:t>
      </w:r>
      <w:r>
        <w:rPr>
          <w:rFonts w:ascii="Times New Roman" w:hAnsi="Times New Roman"/>
          <w:color w:val="000000"/>
          <w:sz w:val="20"/>
        </w:rPr>
        <w:t>- On October 4, 2024, Granite State filed an uncontested rate settlement with the FERC which provides for an increase in annual revenues of $3.0 million, effective November 1, 2024. The Settlement Agreement permits the filing of limited Section 4 rate adjustments for capital cost projects eligible for cost recovery in 2025, 2026, and 2027, and sets forth an overall cap of $29.9 million on the capital costs recoverable under such filings. Under the Settlement Agreement, Granite State may not file a new general rate case earlier than April 30, 2028 with rates to be effective no earlier than September 1, 2028 based on a test year ending no earlier than December 31, 2027. On November 25, 2024, the FERC approved Granite State’s filing. As authorized by the Settlement Agreement, on July 29, 2025, Granite State filed a limited Section 4 rate adjustment for an annual revenue increase of $1.2 million, effective September 1, 2025. On August 13, 2025, the FERC approved this filing. Granite State filed its second limited Section 4 rate adjustment on July 30, 2026 for an annual revenue increase of $1.3 million, effective September 1, 2026. This matter remains pending.</w:t>
      </w:r>
    </w:p>
    <w:p>
      <w:pPr>
        <w:pStyle w:val="TextBody"/>
        <w:bidi w:val="0"/>
        <w:jc w:val="left"/>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Massachusetts Inquiry into Gas and Electric Delivery Charge and Bill Redesign</w:t>
      </w:r>
      <w:r>
        <w:rPr>
          <w:rFonts w:ascii="Times New Roman" w:hAnsi="Times New Roman"/>
          <w:color w:val="000000"/>
          <w:sz w:val="20"/>
        </w:rPr>
        <w:t xml:space="preserve"> - On December 15, 2025, the MDPU opened an investigation to conduct a comprehensive review of gas and electric delivery rates and charges with the aims of containing customer costs, reducing utility bill volatility, and increasing utility bill transparency and accessibility. As directed, on February 13, 2026, each Distribution Company submitted a report including certain requested information regarding delivery related reconciling mechanisms and costs. Written comments from the Distribution Companies and other interested stakeholders responding to a list of questions regarding delivery related reconciling charges were filed on April 14, 2026. Public comments were filed on April 30, 2026. Reply comments were filed on May 14, 2026. On June 26, 2026, a hearing officer memorandum was issued providing an update on the status of the MDPU’s review in this investigation, setting forth procedural next steps, and requesting further input from parties regarding changes to existing processes to enable a more transparent and holistic understanding of each utility’s annual reconciling rate changes. The gas and electric utilities filed a reporting template for cost and rate information on July 31, 2026. Stakeholder comments are due August 14, 2026.</w:t>
      </w:r>
    </w:p>
    <w:p>
      <w:pPr>
        <w:pStyle w:val="TextBody"/>
        <w:bidi w:val="0"/>
        <w:jc w:val="left"/>
        <w:rPr>
          <w:rFonts w:ascii="Times New Roman" w:hAnsi="Times New Roman"/>
          <w:sz w:val="20"/>
        </w:rPr>
      </w:pPr>
      <w:r>
        <w:rPr>
          <w:rFonts w:ascii="Times New Roman" w:hAnsi="Times New Roman"/>
          <w:b/>
          <w:color w:val="000000"/>
          <w:sz w:val="20"/>
        </w:rPr>
        <w:t>Massachusetts Solar Massachusetts Renewable Target Program (SMART) 3.0</w:t>
      </w:r>
      <w:r>
        <w:rPr>
          <w:rFonts w:ascii="Times New Roman" w:hAnsi="Times New Roman"/>
          <w:color w:val="000000"/>
          <w:sz w:val="20"/>
        </w:rPr>
        <w:t xml:space="preserve"> - On November 21, 2025, the EDCs jointly filed a new tariff (the SMART 3.0 Tariff) with the MDPU to implement the SMART 3.0 Program regulations 225 C.M.R. 28.00, which were filed with the Secretary of State on September 12, 2025 (SMART Regulations). The SMART Program, which was first implemented in 2017, establishes a voluntary statewide solar incentive program under the direction of the Massachusetts Department of Energy Resources (DOER). In 2020, the DOER revised its SMART Program regulations, 225 C.M.R. 20.00 -- an update commonly referred to as SMART 2.0. The SMART Program relies on the EDCs to issue incentive payments and alternative on-bill credits to participating customers. Accordingly, the EDCs are seeking approval of revised SMART Tariffs. SMART 3.0 replaces the structure of the initial SMART Program, a declining block incentive program, with a program that contains capacity targets and incentive rates adjusted annually by the DOER. SMART 3.0 Program incentives will be paid over a 20-year term and will vary based on a project’s category and capacity. On January 9, 2026, the EDCs supplemented their filing to provide updated program costs estimates reflecting SMART 3.0 applications received in program year 2025 and assuming full enrollment of all available capacity in program year 2026. Because program year 2025 application levels were significantly lower than the maximum capacity quantities across the EDCs, this resulted in a decrease in estimated maximum statewide costs from $6.7 billion to $4.5 billion over 20 years. Fitchburg’s estimated maximum cost is $191 million over 20 years. The cost projections are illustrative and intended to give the MDPU a sense of scale of the potential long-term costs of the SMART 3.0 Program. The EDCs are not seeking approval of specific costs at this time. The EDCs recover SMART Program costs from all distribution customers through the SMART factor, which is set forth in its current SMART tariff and is updated annually. At the MDPU’s direction, on March 13, 2026, the EDCs filed a revised proposed SMART 3.0 Tariff. On May 19,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2026, the MDPU issued a Phase I Order approving the EDCs’ model SMART 3.0 Tariff and directed the EDCs to file company-specific tariffs. On July 8, 2026, the MDPU approved Fitchburg’s tariff.</w:t>
      </w:r>
    </w:p>
    <w:p>
      <w:pPr>
        <w:pStyle w:val="TextBody"/>
        <w:bidi w:val="0"/>
        <w:jc w:val="left"/>
        <w:rPr>
          <w:rFonts w:ascii="Times New Roman" w:hAnsi="Times New Roman"/>
          <w:sz w:val="20"/>
        </w:rPr>
      </w:pPr>
      <w:r>
        <w:rPr>
          <w:rFonts w:ascii="Times New Roman" w:hAnsi="Times New Roman"/>
          <w:b/>
          <w:color w:val="000000"/>
          <w:sz w:val="20"/>
        </w:rPr>
        <w:t>Fitchburg - Grid Modernization</w:t>
      </w:r>
      <w:r>
        <w:rPr>
          <w:rFonts w:ascii="Times New Roman" w:hAnsi="Times New Roman"/>
          <w:color w:val="000000"/>
          <w:sz w:val="20"/>
        </w:rPr>
        <w:t xml:space="preserve"> - On November 20, 2024, the MA Legislature enacted the 2024 Climate Act that requires, among other things, the EDCs to jointly establish a centralized data repository in a cost-effective manner as approved by the MDPU, to allow customers and third parties, including competitive suppliers, access to detailed Advanced Metering Infrastructure (AMI) customer data in near-real time, subject to customer approval and protections. The EDCs jointly proposed an AMI data access protocol implementation plan on February 18, 2026. The Company also submitted a proposal supporting cost recovery of prudent and necessary expenses for the implementation of the repository. This matter is ongoing. On March 12, 2026, the MDPU opened an investigation into the use of AMI interval data to settle load with ISO-NE. On April 23, 2026, parties filed initial comments. This matter also remains pending.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Fitchburg - Grid Modernization Cost Recovery Factor</w:t>
      </w:r>
      <w:r>
        <w:rPr>
          <w:rFonts w:ascii="Times New Roman" w:hAnsi="Times New Roman"/>
          <w:color w:val="000000"/>
          <w:sz w:val="20"/>
        </w:rPr>
        <w:t xml:space="preserve"> - On April 15, 2025, Fitchburg filed its Grid Modernization Factor (GMF) rate adjustment and reconciliation filing for recovery of the costs incurred as a result of implementing the Company’s 2022-2025 GMP and continued recovery of meter-related costs. This filing seeks recovery of $1.4 million associated with its 2024 GMP revenue requirement as well as $1.5 million associated with its 2024 meter-related costs, effective June 1, 2025. On May 30, 2025, the MDPU issued an order approving the Company’s proposed rate changes effective June 1, 2025 subject to further investigation and reconciliation. On April 15, 2026, Fitchburg filed its GMF rate adjustment and reconciliation filing for recovery of the costs incurred as a result of implementing the Company’s 2022-2025 GMP and continued recovery of meter-related costs. This filing seeks recovery of $1.9 million associated with its 2025 GMP revenue requirement as well as $2.0 million associated with its 2025 meter-related costs, effective June 1, 2026. On May 29, 2026, the MDPU issued an order approving the Company’s proposed rate changes effective June 1, 2026 subject to further investigation and reconciliation. This matter remains pending.</w:t>
      </w:r>
    </w:p>
    <w:p>
      <w:pPr>
        <w:pStyle w:val="TextBody"/>
        <w:bidi w:val="0"/>
        <w:jc w:val="left"/>
        <w:rPr>
          <w:rFonts w:ascii="Times New Roman" w:hAnsi="Times New Roman"/>
          <w:sz w:val="20"/>
        </w:rPr>
      </w:pPr>
      <w:r>
        <w:rPr>
          <w:rFonts w:ascii="Times New Roman" w:hAnsi="Times New Roman"/>
          <w:b/>
          <w:color w:val="000000"/>
          <w:sz w:val="20"/>
        </w:rPr>
        <w:t xml:space="preserve">Fitchburg - Investigation into the role of gas LDCs to achieve Commonwealth 2050 climate goals </w:t>
      </w:r>
      <w:r>
        <w:rPr>
          <w:rFonts w:ascii="Times New Roman" w:hAnsi="Times New Roman"/>
          <w:color w:val="000000"/>
          <w:sz w:val="20"/>
        </w:rPr>
        <w:t>- On December 6, 2023, the MDPU issued an Order announcing a regulatory framework intended to set forth its role and that of the LDCs in helping the Commonwealth achieve its target of net-zero GHG emissions by 2050. The MDPU emphasized that the Order is not intended to jeopardize the rate recovery of existing investments in natural gas infrastructure by Fitchburg. The MDPU ordered the LDCs to submit individual Climate Compliance Plans (CCP) every five years beginning in 2025, and to propose climate compliance performance metrics in upcoming performance-based regulation filings, ensuring a proactive approach to achieving climate targets.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5, 2025, the MDPU issued a memorandum setting a draft line extension policy that would require customers seeking new gas service to pay the entire cost of connecting to the distribution system. On August 8, 2025, the MDPU issued an Interlocutory Order setting forth a revised Straw Proposal that would require customers seeking new gas service to pay the entire cost of connecting to the distribution system, subject to certain exceptions and requiring the LDCs to submit model tariffs incorporating the revised policy. On September 5, 2025, the MDPU clarified that the Interlocutory Order is not a final decision, and that the LDCs and line extension allowance issues would be litigated in the CCP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 2025, Fitchburg filed its first CCP. The Company’s plan presents a portfolio of initiatives that will help the Commonwealth meet its decarbonization goals over the next five-to-ten years, while maintaining a focus on customers’ long-term interests in safety, reliability, affordability, and equity. Fitchburg also filed a model CCP Tariff to establish a cost recovery mechanism for the development and implementation of the CCP, including costs associated with assessing and implementing NPAs. This matter remains pending. Hearings occurred in early March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its D.P.U. 20-80-B Order, the MDPU directed each LDC to work with the relevant EDC to study the feasibility of piloting a targeted electrification project in its service territory, and to propose at least one demonstration project for decommissioning an area of its system through targeted electrification. On March 16, 2026, Fitchburg filed its proposed Targeted Electrification Pilot Project and Targeted Electrification Pilot Provision in compliance with the Order. The Company proposed implementing its pilot on Maryland Avenue in Fitchburg, MA on a segment of main serving eight customers. The identified segment is scheduled for replacement in 2029. This matter remains pending.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Fitchburg - Electric Sector Modernization Plan </w:t>
      </w:r>
      <w:r>
        <w:rPr>
          <w:rFonts w:ascii="Times New Roman" w:hAnsi="Times New Roman"/>
          <w:color w:val="000000"/>
          <w:sz w:val="20"/>
        </w:rPr>
        <w:t>- Pursuant to M.G.L. c. 164 § 92B, Fitchburg submitted a draft Electric Sector Modernization Plan (ESMP) to the statutorily created Massachusetts Grid Modernization Advisory Council (Council) for the Council’s review, input, and recommendations. The ESMP is a plan intended to upgrade the Company’s distribution system to enable and accommodate increased distributed energy resources (DERs) and electrification technologies, improve grid reliability and resiliency, and assist the Commonwealth in achieving climate goals, among other objectives. On August 29, 2024, the MDPU issued a final order approving the Company’s ESMP. On March 31, 2026, the Company submitted its Biannual Report summarizing its progress on ESMP investments in the preceding year.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a stakeholder process related to long term system planning, Fitchburg and other EDCs submitted a draft Long-Term System Planning Proposal (LTSPP) for MDPU review and approval. On December 16, 2025, the MDPU issued an Order establishing a phased approach to investigate the LTSPP jointly proposed by the electric distribution companies and stakeholders. The MDPU intends to establish a uniform LTSPP for the Distribution Companies to proactively upgrade their respective electric power systems to enable increased, timely interconnection of new distributed generation (DG), which will support the Commonwealth’s energy and climate policies. To expedite the cost-effective deployment and interconnection of DG, Phase I will focus on the establishment of a framework for the LTSPP and other necessary elements for the Distribution Companies to make the first LTSPP filings. The MDPU will investigate additional topics in Phase II, in parallel with Phase I, to ensure effective LTSPP implementation following the MDPU’s review of proposed LTSPP investments. Fitchburg and the other Massachusetts EDCs submitted joint Phase I initial testimony in support of their LTSPP proposal on April 10, 2026. Discovery and additional testimonies were filed in May and June, and the EDCs filed a revised LTSPP Framework and Model Tariff on July 22, 2026. This matter remains pending.</w:t>
      </w:r>
    </w:p>
    <w:p>
      <w:pPr>
        <w:pStyle w:val="TextBody"/>
        <w:bidi w:val="0"/>
        <w:jc w:val="left"/>
        <w:rPr>
          <w:rFonts w:ascii="Times New Roman" w:hAnsi="Times New Roman"/>
          <w:sz w:val="20"/>
        </w:rPr>
      </w:pPr>
      <w:r>
        <w:rPr>
          <w:rFonts w:ascii="Times New Roman" w:hAnsi="Times New Roman"/>
          <w:b/>
          <w:color w:val="000000"/>
          <w:sz w:val="20"/>
        </w:rPr>
        <w:t xml:space="preserve">Fitchburg - Electric Vehicle (EV) Proceedings - </w:t>
      </w:r>
      <w:r>
        <w:rPr>
          <w:rFonts w:ascii="Times New Roman" w:hAnsi="Times New Roman"/>
          <w:color w:val="000000"/>
          <w:sz w:val="20"/>
        </w:rPr>
        <w:t>On December 31, 2025, Fitchburg submitted to the MDPU a petition for approval of a right-of-way and pole-mounted electric vehicle supply equipment (EVSE) proposal as required by the 2024 Climate Act (Chapter 239, Section 134 of the Acts of 2024). The Company proposes to leverage the program modifications approved on October 17, 2025 to continue to promote public EVSE through its currently approved EV program, which will extend through 2027. This matter remains pending.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Maine Natural – Cost Recovery Associated with IRS Normalization - </w:t>
      </w:r>
      <w:r>
        <w:rPr>
          <w:rFonts w:ascii="Times New Roman" w:hAnsi="Times New Roman"/>
          <w:color w:val="000000"/>
          <w:sz w:val="20"/>
        </w:rPr>
        <w:t xml:space="preserve">On June 4, 2026, Maine Natural requested recovery of the deferred costs agreed to in the May 19, 2025 Stipulation in Docket No. 2025-00060. The Stipulation permitted Maine Natural to defer and recover over a three-year period the cost of the tax benefit that the customers received but did not fund totaling $2.8 million, including carrying costs. Maine Natural has proposed that the annual recovery of $0.9 million become effective September 1, 2026. This matter remains pending.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Unitil Corporation – Merger of Aquarion Water Companies</w:t>
      </w:r>
      <w:r>
        <w:rPr>
          <w:rFonts w:ascii="Times New Roman" w:hAnsi="Times New Roman"/>
          <w:color w:val="000000"/>
          <w:sz w:val="20"/>
        </w:rPr>
        <w:t xml:space="preserve"> - On May 6, 2025, Unitil announced that it had entered into a definitive agreement to acquire Aquarion Water Company of Massachusetts Inc., Aquarion Water Company of New Hampshire, Inc., and Abenaki Water Co., Inc. from the Aquarion Water Authority (AWA), a quasi-public corporation chartered by the Connecticut General Assembly in 2024 to acquire Aquarion and to operate as a water authority. Unitil’s acquisition of the Aquarion Companies is contingent upon the initial sale of Aquarion by Eversource Energy (Eversource) to the AWA (Initial Transaction), which will then simultaneously convey the Aquarion Companies to Unitil. On March 25, 2026, PURA issued a Final Decision approving the application.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8, 2025, Eversource, the AWA, and Unitil submitted an amended and restated petition to the MDPU for approval of a change of control of Aquarion Water Company of Massachusetts, Inc. (AWC-MA). On December 12, 2025, the MDPU issued an Order approving the stock sale of Aquarion by Eversource to AWA, and, in turn, AWA’s simultaneous sale of AWC-MA to Unitil. The approval is subject to certain conditions, including a two-year rate case filing moratorium. The MDPU also declined to rule on the issue raised by the MA Attorney General's Office, of ratemaking treatment of the gain on sale of certain assets that occurred under Eversource ownership. On January 2, 2026, Unitil, Eversource, and AWA filed a motion for reconsideration and clarification of the MDPU’s Order with respect to the rate case moratorium and ratemaking treatment of the gain on sale. The MDPU denied the motion for reconsideration on March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8, 2025, Unitil, Eversource, AWC-NH, Abenaki and AWA filed a motion to amend the petition originally filed on April 10, 2025 by Eversource. AWC-NH, Abenaki and AWA, requesting that the NHPUC approve the acquisition of AWC-NH and Abenaki by Unitil. On August 28, 2025, the Joint Petitioners and the NH DOE submitted a settlement agreement to the NHPUC recommending approval of the proposed acquisition subject to certain conditions, including a rate case stay-out through June 1, 2026. On October 7, 2025, the NHPUC issued an Order approving the settlement agreement.</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June 30, 2026, Unitil closed on the acquisition of AWC-NH and Abenaki, which are now wholly owned subsidiaries of Unitil.</w:t>
      </w:r>
    </w:p>
    <w:p>
      <w:pPr>
        <w:pStyle w:val="TextBody"/>
        <w:bidi w:val="0"/>
        <w:jc w:val="left"/>
        <w:rPr>
          <w:rFonts w:ascii="Times New Roman" w:hAnsi="Times New Roman"/>
          <w:sz w:val="20"/>
        </w:rPr>
      </w:pPr>
      <w:r>
        <w:rPr>
          <w:rFonts w:ascii="Times New Roman" w:hAnsi="Times New Roman"/>
          <w:b/>
          <w:color w:val="000000"/>
          <w:sz w:val="20"/>
        </w:rPr>
        <w:t>Maine Inquiry Into the Future of Gas -</w:t>
      </w:r>
      <w:r>
        <w:rPr>
          <w:rFonts w:ascii="Times New Roman" w:hAnsi="Times New Roman"/>
          <w:color w:val="000000"/>
          <w:sz w:val="20"/>
        </w:rPr>
        <w:t xml:space="preserve"> On May 13, 2025, the MPUC initiated an inquiry to explore the implications of Maine’s decarbonization goals for natural gas utilities and their customers and solicit information from stakeholders. Specifically, the MPUC opened the inquiry with the goal of: 1) developing a consistent methodology or framework to incorporate and evaluate the GHG emissions impact in the MPUC’s decision-making around gas infrastructure investments and contractual commitments for supply or capacity needed to serve customers; 2) evaluating the consistency of these investments with state goals; and 3) assisting in evaluation of a broader path for the future of natural gas in Maine. Initial comments on the scope of the inquiry were submitted on June 17, 2025. On December 18, 2025, the MPUC issued a Procedural Order scheduling a workshop on January 21, 2026 to explore issues raised in comments. The Company submitted a second round of comments on March 20, 2026. This matter remains pending.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Reconciliation Filings </w:t>
      </w:r>
      <w:r>
        <w:rPr>
          <w:rFonts w:ascii="Times New Roman" w:hAnsi="Times New Roman"/>
          <w:color w:val="000000"/>
          <w:sz w:val="20"/>
        </w:rPr>
        <w:t xml:space="preserve">- Fitchburg, Unitil Energy, Northern Utilities, Bangor and Maine Natural each have a number of regulatory reconciling accounts that require annual or semi-annual filings with the MDPU, NHPUC and MPUC, respectively, to reconcile revenues and costs, and to seek approval of any rate changes. These filings include: annual electric reconciliation filings by Fitchburg and Unitil Energy for a number of items, including default service, stranded cost changes and transmission charges; costs associated with energy efficiency programs in New Hampshire and Massachusetts, as directed by the NHPUC and MDPU; recovery of the ongoing costs of storm repairs incurred by Unitil Energy and Fitchburg; and the actual wholesale energy costs for electric power and gas incurred by each of the five companies. Fitchburg, Unitil Energy, Northern Utilities, Bangor and Maine Natural have been, and remain in full compliance with all directives and orders regarding these filings. The Company considers these to be routine regulatory proceedings, and there are no material issues outstanding. </w:t>
      </w:r>
    </w:p>
    <w:p>
      <w:pPr>
        <w:pStyle w:val="TextBody"/>
        <w:bidi w:val="0"/>
        <w:jc w:val="left"/>
        <w:rPr>
          <w:rFonts w:ascii="Times New Roman" w:hAnsi="Times New Roman"/>
          <w:sz w:val="20"/>
        </w:rPr>
      </w:pPr>
      <w:r>
        <w:rPr>
          <w:rFonts w:ascii="Times New Roman" w:hAnsi="Times New Roman"/>
          <w:b/>
          <w:color w:val="000000"/>
          <w:sz w:val="20"/>
        </w:rPr>
        <w:t xml:space="preserve">Fitchburg - Massachusetts Request for Proposals (RFPs) </w:t>
      </w:r>
      <w:r>
        <w:rPr>
          <w:rFonts w:ascii="Times New Roman" w:hAnsi="Times New Roman"/>
          <w:color w:val="000000"/>
          <w:sz w:val="20"/>
        </w:rPr>
        <w:t>- Pursuant to Section 83 of “An Act Relative to Green Communities,” St. 2008, c. 169, as amended, the Massachusetts EDCs, including Fitchburg, have conducted numerous procurements of long-term renewable energy and environmental attributes. “An Act to Promote Energy Diversity” (2016) (the Act) added Section 83C, which required the joint procurement of 1,600 MW of offshore wind by June 30, 2027 (this target has since been increased as explained below) and Section 83D, which required the joint procurement of cost-effective long-term contracts for an annual total of 9,450,000 megawatt-hours (MWh) of clean energy (hydroelectric, solar and land-based wind) by December 31, 2022. Fitchburg’s pro rata share of the contracts resulting from these procurements is approximately one percent.</w:t>
      </w:r>
    </w:p>
    <w:p>
      <w:pPr>
        <w:pStyle w:val="TextBody"/>
        <w:bidi w:val="0"/>
        <w:jc w:val="left"/>
        <w:rPr>
          <w:rFonts w:ascii="Times New Roman" w:hAnsi="Times New Roman"/>
          <w:color w:val="000000"/>
          <w:sz w:val="20"/>
        </w:rPr>
      </w:pPr>
      <w:r>
        <w:rPr>
          <w:rFonts w:ascii="Times New Roman" w:hAnsi="Times New Roman"/>
          <w:color w:val="000000"/>
          <w:sz w:val="20"/>
        </w:rPr>
        <w:t>The EDCs issued the RFP for Section 83D Long-Term Contracts in March 2017, and transmission service agreements with NECEC Transmission LLC and power purchase agreements (PPAs) for 9,554,940 MWh annually of hydroelectric generation and associated environmental attributes with Hydro-Quebec Energy Services (U.S.), Inc. (together, the NECEC project) over a 20-year period, were filed for approval by the MDPU in July 2018. The MDPU approved the agreements in June 2019, including the EDCs’ proposal to sell the energy procured under the contract into the ISO-NE wholesale market and to credit or charge the difference between the contract costs and the ISO-NE market revenue to customers. The MDPU also approved the EDCs’ request for remuneration equal to 2.75% of the contract payments, as well as the EDCs’ proposal to recover costs associated with the contracts. The NECEC project achieved commercial operation on January 16, 2026.</w:t>
      </w:r>
    </w:p>
    <w:p>
      <w:pPr>
        <w:pStyle w:val="TextBody"/>
        <w:bidi w:val="0"/>
        <w:jc w:val="left"/>
        <w:rPr>
          <w:rFonts w:ascii="Times New Roman" w:hAnsi="Times New Roman"/>
          <w:color w:val="000000"/>
          <w:sz w:val="20"/>
        </w:rPr>
      </w:pPr>
      <w:r>
        <w:rPr>
          <w:rFonts w:ascii="Times New Roman" w:hAnsi="Times New Roman"/>
          <w:color w:val="000000"/>
          <w:sz w:val="20"/>
        </w:rPr>
        <w:t xml:space="preserve">The EDCs issued the first RFP for offshore wind energy generation pursuant to Section 83C in June 2017. In July 2018, the EDCs filed two long-term PPAs with Vineyard Wind, each for 400 MW for approval by the MDPU. In April 2019, the MDPU approved the offshore wind PPAs, including similar requirements for the EDCs to sell the energy procured and credit or charge net costs to customers including EDC remuneration of 2.75%. Vineyard Wind achieved commercial operation for both Facilities on April 24, 2026, at less than 100 percent of the project's full 800MW capacity. The developer expects to achieve full capacity in the third quarter of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EDCs issued additional RFPs pursuant to Section 83C to procure additional offshore wind energy generation in May 2019 and in May 2021. These two procurements led to four additional PPAs for a total of 2400 MW that were approved by MDPU but were later terminated in September 2023. </w:t>
      </w:r>
    </w:p>
    <w:p>
      <w:pPr>
        <w:pStyle w:val="TextBody"/>
        <w:bidi w:val="0"/>
        <w:jc w:val="left"/>
        <w:rPr>
          <w:rFonts w:ascii="Times New Roman" w:hAnsi="Times New Roman"/>
          <w:color w:val="000000"/>
          <w:sz w:val="20"/>
        </w:rPr>
      </w:pPr>
      <w:r>
        <w:rPr>
          <w:rFonts w:ascii="Times New Roman" w:hAnsi="Times New Roman"/>
          <w:color w:val="000000"/>
          <w:sz w:val="20"/>
        </w:rPr>
        <w:t>The EDCs issued a fourth offshore wind RFP in August 2023 seeking to procure at least 400 MW and up to the maximum amount remaining of the statutory requirement under Section 83C of 5,600 MW of Offshore Wind Energy Generation, pursuant to “An Act Driving Clean Energy and Offshore Wind” (2022), which increased the total solicitation target (including future solicitations) for offshore wind energy generation to 5,600 MW by June 30, 2027. The EDCs received bids for offshore wind energy generation from three developers as part of a multi-state solicitation with Rhode Island and Connecticut. In September 2024, the DOER selected a portfolio of projects totaling 2,678 MW from the three projects, one of which was dependent on commitments from Connecticut. In December 2024, Connecticut withdrew from contract negotiations resulting in the termination of the conditional project. Contract negotiations with the remaining two developers have been extended to January 29, 2027.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2024, the Massachusetts Legislature approved “An Act promoting a clean energy grid, advancing equity, and protecting ratepayers” which among other provisions, extends the period for long-term renewable contracts up to 30 years and directs the EDCs, under a new Section 83E, to “jointly and competitively solicit proposals for energy storage systems and enter into cost-effective long-term contracts equal to, in the aggregate, approximately 5,000 megawatts of energy storage systems not later than July 31, 2030.” Pursuant to Section 83E, the EDCs jointly issued the first RFP for energy storage systems (ESS) in July 2025 seeking environmental attributes associated with approximately 1,500 megawatts of mid-duration energy storage systems. In December 2025, the DOER selected a portfolio of battery energy storage projects that total 1,268 MW. On July 2, 2026, the EDCs filed long-term contracts for three of the four selected storage projects with the MDPU for approval. One project paused negotiations with the EDCs in order to assess the cost impacts of the most recent ISO-NE Cluster Study results. A second solicitation under Section 83E is currently being developed for release in July 2026. Fitchburg’s pro rata share of the contracts resulting from these procurements is approximately one percent.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Section 82 of Chapter 179 of the Acts of 2022 (An Act driving clean energy and offshore wind), the DOER is authorized to coordinate with other New England states issuing competitive solicitations for long-term clean energy generation, including nuclear power generation, associated environmental attributes, transmission or capacity for the benefit of residents of the Commonwealth and the region. If the DOER, in consultation with the EDCs and the office of the Attorney General, determines not later than December 31, 2027, that a project would satisfy the benefits listed in Section 82, the DOER may direct the EDCs to enter into cost-effective long-term contracts. The DOER and the EDCs are currently engaging with Maine and other New England states to consider participating in procurements issued by Maine and Connecticut to potentially procure environmental attributes, energy, or transmission. On September 10, 2025, Connecticut issued an Expedited Zero Carbon RRP for advanced stage solar, wind, and co-located storage projects with bids due on October 10, 2025. DOER, in consultation with the EDCs, evaluated the bids under the Section 82 beneficial determination criteria and they selected two projects for Massachusetts to enter into long-term contracts for up to 100% of the energy and RECs. The EDCs are presently in negotiations with the developers. Fitchburg’s pro rata share of the contracts resulting from the Section 82 procurements is approximately one percent.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DOER and the EDCs are currently assessing transmission and renewable generation bids received through the Northern Maine Renewable Energy Development RFP issued on December 19, 2025. DOER and the EDCs are also evaluating bids received in the Connecticut 2026 Zero Carbon RFP for nuclear, hydropower, solar, onshore wind, and paired/co-located storage that was issued on January 30, 2026. Project selection for both procurements is expected to occur during Q3 2026. The EDCs would then initiate contract negotiations with the selected developers.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FERC Transmission Formula Rate Proceedings</w:t>
      </w:r>
      <w:r>
        <w:rPr>
          <w:rFonts w:ascii="Times New Roman" w:hAnsi="Times New Roman"/>
          <w:color w:val="000000"/>
          <w:sz w:val="20"/>
        </w:rPr>
        <w:t>- Pursuant to Section 206 of the Federal Power Act, there are several pending proceedings before the FERC concerning the justness and reasonableness of the Return on Equity (ROE) component of the ISO-New England, Inc. Participating Transmission Owners’ (PTOs) Regional Network Service and Local Network Service formula rates. In August 2013, FERC had found that the Transmission Owners' existing ROE was unlawful, and set a new ROE. On April 14, 2017, the U.S. Court of Appeals for the D.C. Circuit issued an opinion vacating and remanding FERC’s decision, finding that FERC had failed to articulate a satisfactory explanation for its orders. The ROE set in the vacated order was to remain in place until FERC took further action. On November 21, 2019, the FERC issued an order in EL14-12, Midcontinent Independent System Operator ROE, in which FERC outlined a new methodology for calculating the ROE. The New England Transmission Owners (NETOs) thereafter filed a motion to reopen the record in their pending ROE dockets, which was granted. On March 19, 2026, the FERC issued Opinion No. 594 in Docket No. EL 11-66 reducing the ROE from 10.57% to 9.57% effective October 1, 2011 and established refund periods of October 1, 2011 to December 31, 2012 and October 16, 2014 to March 19, 2026. Fitchburg recorded a charge of $0.9 million in the three months ended March 31, 2026 related to the refund periods. A ROE of 9.57% will be used to calculate transmission revenue requirements effective for the remainder of 2026 and going forward.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NETOs were directed to file refund reports by April 18, 2026. On April 2, 2026, the NETOs filed a motion to extend the refund deadline and requested an expedited comment period. The motion was granted on April 14, 2026 and set a refund date of May 20, 2027. Refund reports are due June 4, 2027. On April 20, 2026, the NETOs timely sought rehearing of Opinion No. 594, which FERC denied on May 21, 2026. The NETOs appealed FERC Opinion No. 594 to the U.S. Court of Appeals, DC Circuit on June 17, 2026. This appeal remains pending.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30, 2026, the NETOs submitted a 205 filing at FERC requesting an ROE of 11.39% based on recalculating March 19, 2026 Order results with current data. This matter remains pending. The Company does not believe these proceedings will have a material effect on its financial condition or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involved in legal and administrative proceedings and claims of various types, including those which arise in the ordinary course of business. The Company believes, based upon information furnished by counsel and others, that the ultimate resolution of these claims will not have a material effect on its financial position, operating results or cash flows. </w:t>
      </w:r>
    </w:p>
    <w:p>
      <w:pPr>
        <w:pStyle w:val="TextBody"/>
        <w:bidi w:val="0"/>
        <w:spacing w:before="360" w:after="283"/>
        <w:jc w:val="left"/>
        <w:rPr>
          <w:rFonts w:ascii="Times New Roman" w:hAnsi="Times New Roman"/>
          <w:sz w:val="20"/>
        </w:rPr>
      </w:pPr>
      <w:r>
        <w:rPr>
          <w:rFonts w:ascii="Times New Roman" w:hAnsi="Times New Roman"/>
          <w:b/>
          <w:caps/>
          <w:color w:val="000000"/>
          <w:sz w:val="20"/>
        </w:rPr>
        <w:t>Note 8 – eNVIRONMENTAL MATTERS</w:t>
      </w:r>
      <w:r>
        <w:rPr>
          <w:rFonts w:ascii="Times New Roman" w:hAnsi="Times New Roman"/>
          <w:caps/>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aps/>
          <w:color w:val="000000"/>
          <w:sz w:val="20"/>
        </w:rPr>
        <w:t>Unitil’s Environmental matters are described in Note 8 to the Financial Statements in Item 8 of Part II of Unitil Corporation’s Form 10-K for December 31, 2025 as filed with the Securities and Exchange Commission on February 9, 2026.</w:t>
      </w:r>
      <w:r>
        <w:rPr>
          <w:rFonts w:ascii="Times New Roman" w:hAnsi="Times New Roman"/>
          <w:caps/>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Environmental Matters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past and present operations include activities that are generally subject to extensive and complex federal and state environmental laws and regulations. The Company is in material compliance with applicable environmental and safety laws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regulations and, as of June 30, 2026, has not identified any material losses reasonably likely to be incurred in excess of recorded amounts. However, the Company cannot assure that significant costs and liabilities will not be incurred in the future. It is possible that other developments, such as increasingly stringent federal, state or local environmental laws and regulations could result in increased environmental compliance costs. Based on its current assessment of its environmental responsibilities, existing legal requirements and regulatory policies, the Company does not believe that these environmental costs will have a material effect on the Company’s consolidated financial position or results of operations. </w:t>
      </w:r>
    </w:p>
    <w:p>
      <w:pPr>
        <w:pStyle w:val="TextBody"/>
        <w:bidi w:val="0"/>
        <w:jc w:val="left"/>
        <w:rPr>
          <w:rFonts w:ascii="Times New Roman" w:hAnsi="Times New Roman"/>
          <w:sz w:val="20"/>
        </w:rPr>
      </w:pPr>
      <w:r>
        <w:rPr>
          <w:rFonts w:ascii="Times New Roman" w:hAnsi="Times New Roman"/>
          <w:b/>
          <w:color w:val="000000"/>
          <w:sz w:val="20"/>
        </w:rPr>
        <w:t xml:space="preserve">Northern Utilities Manufactured Gas Plant Sites </w:t>
      </w:r>
      <w:r>
        <w:rPr>
          <w:rFonts w:ascii="Times New Roman" w:hAnsi="Times New Roman"/>
          <w:color w:val="000000"/>
          <w:sz w:val="20"/>
        </w:rPr>
        <w:t>- Northern Utilities has an extensive program to identify, investigate and remediate former manufactured gas plant (MGP) sites, which were operated from the mid-1800s through the mid-1900s. In New Hampshire, MGP sites were identified in Dover, Exeter, Portsmouth, Rochester and Somersworth. In Maine, Northern Utilities has documented the presence of MGP sites in Lewiston and Portland, and a former MGP disposal site in Scarborough.</w:t>
      </w:r>
    </w:p>
    <w:p>
      <w:pPr>
        <w:pStyle w:val="TextBody"/>
        <w:bidi w:val="0"/>
        <w:jc w:val="left"/>
        <w:rPr>
          <w:rFonts w:ascii="Times New Roman" w:hAnsi="Times New Roman"/>
          <w:color w:val="000000"/>
          <w:sz w:val="20"/>
        </w:rPr>
      </w:pPr>
      <w:r>
        <w:rPr>
          <w:rFonts w:ascii="Times New Roman" w:hAnsi="Times New Roman"/>
          <w:color w:val="000000"/>
          <w:sz w:val="20"/>
        </w:rPr>
        <w:t>Northern Utilities has worked with the New Hampshire Department of Environmental Services (NH DES) and Maine Department of Environmental Protection to address environmental concerns with these sites. Northern Utilities or others have completed remediation activities at all sites; however, on site monitoring continues at several sites which may result in future remedial actions as directed by the applicable regulatory agency.</w:t>
      </w:r>
    </w:p>
    <w:p>
      <w:pPr>
        <w:pStyle w:val="TextBody"/>
        <w:bidi w:val="0"/>
        <w:jc w:val="left"/>
        <w:rPr>
          <w:rFonts w:ascii="Times New Roman" w:hAnsi="Times New Roman"/>
          <w:color w:val="000000"/>
          <w:sz w:val="20"/>
        </w:rPr>
      </w:pPr>
      <w:r>
        <w:rPr>
          <w:rFonts w:ascii="Times New Roman" w:hAnsi="Times New Roman"/>
          <w:color w:val="000000"/>
          <w:sz w:val="20"/>
        </w:rPr>
        <w:t>In May 2024, NH DES requested additional information in connection with the Company’s December 2022 remedial action plan (RAP), regarding groundwater contaminants at the Rochester site. In anticipation of the NH DES approval of one of the RAP alternatives and subsequent request for project design, the Company has accrued $5.9 million for estimated costs to complete the remediation at the Rochester site, which is included in Environmental Obligations on the Company’s Consolidated Balance Sheets. Due to extended regulatory review time periods, Northern Utilities anticipates the commencement of remediation activities in 2027.</w:t>
      </w:r>
    </w:p>
    <w:p>
      <w:pPr>
        <w:pStyle w:val="TextBody"/>
        <w:bidi w:val="0"/>
        <w:jc w:val="left"/>
        <w:rPr>
          <w:rFonts w:ascii="Times New Roman" w:hAnsi="Times New Roman"/>
          <w:color w:val="000000"/>
          <w:sz w:val="20"/>
        </w:rPr>
      </w:pPr>
      <w:r>
        <w:rPr>
          <w:rFonts w:ascii="Times New Roman" w:hAnsi="Times New Roman"/>
          <w:color w:val="000000"/>
          <w:sz w:val="20"/>
        </w:rPr>
        <w:t>The NHPUC and MPUC have approved regulatory mechanisms for the recovery of MGP environmental costs. For Northern Utilities’ New Hampshire division, the NHPUC has approved the recovery of MGP environmental costs over succeeding seven-year periods. For Northern Utilities’ Maine division, the MPUC has authorized the recovery of environmental remediation costs over succeeding five-year periods.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Environmental Obligations table includes amounts accrued for Northern Utilities related to estimated future cleanup costs associated with Northern Utilities’ environmental remediation obligations for former MGP sites. Corresponding Regulatory Assets were recorded to reflect that the future recovery of these environmental remediation costs is expected based on regulatory precedent and established practices.</w:t>
      </w:r>
    </w:p>
    <w:p>
      <w:pPr>
        <w:pStyle w:val="TextBody"/>
        <w:bidi w:val="0"/>
        <w:jc w:val="left"/>
        <w:rPr>
          <w:rFonts w:ascii="Times New Roman" w:hAnsi="Times New Roman"/>
          <w:sz w:val="20"/>
        </w:rPr>
      </w:pPr>
      <w:r>
        <w:rPr>
          <w:rFonts w:ascii="Times New Roman" w:hAnsi="Times New Roman"/>
          <w:b/>
          <w:color w:val="000000"/>
          <w:sz w:val="20"/>
        </w:rPr>
        <w:t xml:space="preserve">Fitchburg’s Manufactured Gas Plant Site </w:t>
      </w:r>
      <w:r>
        <w:rPr>
          <w:rFonts w:ascii="Times New Roman" w:hAnsi="Times New Roman"/>
          <w:color w:val="000000"/>
          <w:sz w:val="20"/>
        </w:rPr>
        <w:t>- Fitchburg has worked with the Massachusetts Department of Environmental Protection (Mass DEP) to address environmental concerns with the former MGP site at Sawyer Passway, and has substantially completed remediation activities, though on site monitoring continues. Following submittal of the Immediate Response Action (IRA) plan in October 2023, and an update in November 2024, the Mass DEP, in May 2025, concurred with the proposed limited excavation and armoring of the riverbank at the identified seep area. Fitchburg has accrued $300,000 for estimated costs to complete the remediation at the Sawyer Passway site, which is included in Environmental Obligations on the Company’s Consolidated Balance Sheets. The Company has determined that the high end of the range of reasonably possible remediation costs for the Sawyer Passway site could be $3.7 million based on remediation alternatives. Fitchburg anticipates the commencement of the remediation activity in September 2026.</w:t>
      </w:r>
    </w:p>
    <w:p>
      <w:pPr>
        <w:pStyle w:val="TextBody"/>
        <w:bidi w:val="0"/>
        <w:jc w:val="left"/>
        <w:rPr>
          <w:rFonts w:ascii="Times New Roman" w:hAnsi="Times New Roman"/>
          <w:color w:val="000000"/>
          <w:sz w:val="20"/>
        </w:rPr>
      </w:pPr>
      <w:r>
        <w:rPr>
          <w:rFonts w:ascii="Times New Roman" w:hAnsi="Times New Roman"/>
          <w:color w:val="000000"/>
          <w:sz w:val="20"/>
        </w:rPr>
        <w:t>Fitchburg recovers the environmental response costs incurred at this former MGP site in gas rates pursuant to the terms of a cost recovery agreement approved by the MDPU. Pursuant to this agreement, Fitchburg is authorized to amortize and recover environmental response costs from gas customers over succeeding seven-year periods.</w:t>
      </w:r>
    </w:p>
    <w:p>
      <w:pPr>
        <w:pStyle w:val="TextBody"/>
        <w:bidi w:val="0"/>
        <w:jc w:val="left"/>
        <w:rPr>
          <w:rFonts w:ascii="Times New Roman" w:hAnsi="Times New Roman"/>
          <w:sz w:val="20"/>
        </w:rPr>
      </w:pPr>
      <w:r>
        <w:rPr>
          <w:rFonts w:ascii="Times New Roman" w:hAnsi="Times New Roman"/>
          <w:b/>
          <w:color w:val="000000"/>
          <w:sz w:val="20"/>
        </w:rPr>
        <w:t xml:space="preserve">Unitil Energy - Kensington Distribution Operations Center </w:t>
      </w:r>
      <w:r>
        <w:rPr>
          <w:rFonts w:ascii="Times New Roman" w:hAnsi="Times New Roman"/>
          <w:color w:val="000000"/>
          <w:sz w:val="20"/>
        </w:rPr>
        <w:t>- Unitil Energy conducted a Phase I and II supplement environmental site assessment (ESA) in the second quarter of 2021 at its former distribution operations center in Kensington, NH. In November 2025, the NH DES requested additional investigation to further refine the Supplemental Site Investigation (SSI) submitted in June 2023, as well as develop a remedial action plan (RAP) based upon reported observations. Unitil Energy anticipates the commencement of remediation activities in late 2027, following RAP approval by the NH DES. In its most recent rate case, Unitil Energy received approval from the NHPUC to create a regulatory asset for the remediation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a summary of changes in the Company’s liability for Environmental Obligations for the six months ended June 30, 2026 and 2025. </w:t>
      </w:r>
    </w:p>
    <w:p>
      <w:pPr>
        <w:pStyle w:val="TextBody"/>
        <w:bidi w:val="0"/>
        <w:jc w:val="left"/>
        <w:rPr/>
      </w:pPr>
      <w:r>
        <w:rPr/>
        <w:t> </w:t>
      </w:r>
    </w:p>
    <w:tbl>
      <w:tblPr>
        <w:tblW w:w="5244" w:type="dxa"/>
        <w:jc w:val="left"/>
        <w:tblInd w:w="0" w:type="dxa"/>
        <w:tblLayout w:type="fixed"/>
        <w:tblCellMar>
          <w:top w:w="28" w:type="dxa"/>
          <w:left w:w="28" w:type="dxa"/>
          <w:bottom w:w="28" w:type="dxa"/>
          <w:right w:w="28" w:type="dxa"/>
        </w:tblCellMar>
      </w:tblPr>
      <w:tblGrid>
        <w:gridCol w:w="3271"/>
        <w:gridCol w:w="146"/>
        <w:gridCol w:w="211"/>
        <w:gridCol w:w="361"/>
        <w:gridCol w:w="146"/>
        <w:gridCol w:w="146"/>
        <w:gridCol w:w="211"/>
        <w:gridCol w:w="361"/>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Environmental Obligations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Payments / Reductions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aps/>
          <w:color w:val="000000"/>
          <w:sz w:val="20"/>
        </w:rPr>
      </w:pPr>
      <w:r>
        <w:rPr>
          <w:rFonts w:ascii="Times New Roman" w:hAnsi="Times New Roman"/>
          <w:b/>
          <w:caps/>
          <w:color w:val="000000"/>
          <w:sz w:val="20"/>
        </w:rPr>
        <w:t>Note 9: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2023-09 – Income taxes: Improvements to Income Tax Disclosures which includes amendments that further enhance income tax disclosures and income taxes paid by individual jurisdiction. The Company adopted ASU 2023-09 as of December 31, 2025 on a prospective basis. The following table presents the Company’s provisions for Income Taxes and the provisions calculated at the statutory federal tax rate for the six months ended June 30, 2026: </w:t>
      </w:r>
    </w:p>
    <w:p>
      <w:pPr>
        <w:pStyle w:val="TextBody"/>
        <w:bidi w:val="0"/>
        <w:spacing w:before="120" w:after="283"/>
        <w:jc w:val="left"/>
        <w:rPr/>
      </w:pPr>
      <w:r>
        <w:rPr/>
        <w:t> </w:t>
      </w:r>
    </w:p>
    <w:tbl>
      <w:tblPr>
        <w:tblW w:w="9295" w:type="dxa"/>
        <w:jc w:val="left"/>
        <w:tblInd w:w="0" w:type="dxa"/>
        <w:tblLayout w:type="fixed"/>
        <w:tblCellMar>
          <w:top w:w="28" w:type="dxa"/>
          <w:left w:w="28" w:type="dxa"/>
          <w:bottom w:w="28" w:type="dxa"/>
          <w:right w:w="28" w:type="dxa"/>
        </w:tblCellMar>
      </w:tblPr>
      <w:tblGrid>
        <w:gridCol w:w="4946"/>
        <w:gridCol w:w="546"/>
        <w:gridCol w:w="356"/>
        <w:gridCol w:w="1142"/>
        <w:gridCol w:w="280"/>
        <w:gridCol w:w="246"/>
        <w:gridCol w:w="246"/>
        <w:gridCol w:w="787"/>
        <w:gridCol w:w="746"/>
      </w:tblGrid>
      <w:tr>
        <w:trPr/>
        <w:tc>
          <w:tcPr>
            <w:tcW w:w="49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U.S. Federal Statutory Tax Rate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10,695</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21.0</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State Income Taxes, net of Federal Income Tax</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3,323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6.5</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Production Tax Credit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(98</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(0.2</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Nontaxable and Nondeductible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Regulatory Amortization of Excess ADIT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(1,167</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(2.3</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230</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0.5</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9"/>
              </w:rPr>
            </w:pPr>
            <w:r>
              <w:rPr>
                <w:rFonts w:ascii="Times New Roman" w:hAnsi="Times New Roman"/>
                <w:b/>
                <w:color w:val="000000"/>
                <w:sz w:val="19"/>
              </w:rPr>
              <w:t>Income Tax Expense and Effective Income Tax Rate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1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12,983</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25.5</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differences between the Company’s provisions for Income Taxes and the provisions calculated at the statutory federal tax rate, expressed in percentages, are shown in the following table for the six months ended June 30, 2025: </w:t>
      </w:r>
    </w:p>
    <w:p>
      <w:pPr>
        <w:pStyle w:val="TextBody"/>
        <w:bidi w:val="0"/>
        <w:jc w:val="left"/>
        <w:rPr/>
      </w:pPr>
      <w:r>
        <w:rPr/>
        <w:t> </w:t>
      </w:r>
    </w:p>
    <w:tbl>
      <w:tblPr>
        <w:tblW w:w="6938" w:type="dxa"/>
        <w:jc w:val="left"/>
        <w:tblInd w:w="0" w:type="dxa"/>
        <w:tblLayout w:type="fixed"/>
        <w:tblCellMar>
          <w:top w:w="28" w:type="dxa"/>
          <w:left w:w="28" w:type="dxa"/>
          <w:bottom w:w="28" w:type="dxa"/>
          <w:right w:w="28" w:type="dxa"/>
        </w:tblCellMar>
      </w:tblPr>
      <w:tblGrid>
        <w:gridCol w:w="3121"/>
        <w:gridCol w:w="146"/>
        <w:gridCol w:w="966"/>
        <w:gridCol w:w="2094"/>
        <w:gridCol w:w="6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Statutory Federal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 Effects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Utility Plant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Company’s Tax Sharing Agreement (the Agreement) which was approved upon the formation of Unitil as a public utility holding company, the Company files consolidated Federal and State tax returns and Unitil Corporation and each of its utility operating subsidiaries recognize the results of their operations in its tax returns as if it were a stand-alone taxpayer. The Agreement provides that the Company will account for income taxes in compliance with U.S. GAAP and regulatory accounting principles. The Company has evaluated its tax positions at December 31, 2025 in accordance with the FASB Codification, and has concluded that no adjustment for recognition, de-recognition, settlement or foreseeable future events to any tax liabilities or assets as defined by the FASB Codification is required.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August 2025, Unitil Corporation received notice that its Federal Income Tax return filing for the year ending December 31, 2023 is under examination by the IRS. Currently, the Company believes that the ultimate resolution of this examination will not have a material impact on the Company’s financial statements. The Company remains subject to examination by Federal, Maine, Massachusetts, and New Hampshire tax authorities for the tax periods ended December 31, 2024; December 31, 2023; and December 31, 2022.</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 filings for the year ended December 31, 2024 have been filed with the IRS, Massachusetts Department of Revenue, the Maine Revenue Service, the Florida Department of Revenue and the New Hampshire Department of Revenue Administration. In the Company’s federal tax returns for the year ended December 31, 2024, which were filed with the IRS in October 2025, the Company utilized federal Net Operating Loss Carryforward (NOLC) assets of $5.6 million and $1.0 million of federal tax credit carryforward. As of December 31, 2025, the Company has fully utilized all NOLC and federal tax credits available. In addition, at December 31, 2025, the Company had $1.8 million of cumulative state tax credit carryforwards to offset future income taxes payable. If unused, the Company’s state tax credit carryforwards will begin to expire in 2027.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(OBBBA) was enacted into law. The OBBBA provided permanent and limited modifications to many provisions that had expired or would soon expire as well as eliminating many green energy provisions. The Company does not expect that the OBBBA will have a material effect on the Company's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2017, the Tax Cuts and Jobs Act (TCJA), which included a reduction of the corporate federal income tax rate to 21% effective January 1, 2018, was signed into law. In accordance with FASB Codification Topic 740, the Company revalued its Accumulated Deferred Income Taxes (ADIT) and recorded a net liability in the amount of $48.9 million at December 31, 2017. The Company expects to flow through to customers $47.1 million of excess ADIT in utility base rates. The benefit of protected excess ADIT amounts will be subject to flow back to customers in utility rates according to the Average Rate Assumption Method (ARAM). The Company estimates the ARAM flow back period for protected and unprotected excess ADIT to be between fifteen and twenty years over the remaining life of the related utility plant. As of June 30, 2026, the Company flowed back $15.1 million to customers in its Massachusetts, Maine, New Hampshire and federal jurisdictions.</w:t>
      </w:r>
    </w:p>
    <w:p>
      <w:pPr>
        <w:pStyle w:val="TextBody"/>
        <w:bidi w:val="0"/>
        <w:spacing w:before="360" w:after="283"/>
        <w:jc w:val="left"/>
        <w:rPr>
          <w:rFonts w:ascii="Times New Roman" w:hAnsi="Times New Roman"/>
          <w:sz w:val="20"/>
        </w:rPr>
      </w:pPr>
      <w:r>
        <w:rPr>
          <w:rFonts w:ascii="Times New Roman" w:hAnsi="Times New Roman"/>
          <w:b/>
          <w:caps/>
          <w:color w:val="000000"/>
          <w:sz w:val="20"/>
        </w:rPr>
        <w:t>Note</w:t>
      </w:r>
      <w:r>
        <w:rPr>
          <w:rFonts w:ascii="Times New Roman" w:hAnsi="Times New Roman"/>
          <w:color w:val="000000"/>
          <w:sz w:val="20"/>
        </w:rPr>
        <w:t xml:space="preserve"> </w:t>
      </w:r>
      <w:r>
        <w:rPr>
          <w:rFonts w:ascii="Times New Roman" w:hAnsi="Times New Roman"/>
          <w:b/>
          <w:color w:val="000000"/>
          <w:sz w:val="20"/>
        </w:rPr>
        <w:t xml:space="preserve">10: </w:t>
      </w:r>
      <w:r>
        <w:rPr>
          <w:rFonts w:ascii="Times New Roman" w:hAnsi="Times New Roman"/>
          <w:b/>
          <w:caps/>
          <w:color w:val="000000"/>
          <w:sz w:val="20"/>
        </w:rPr>
        <w:t>Retirement Benefit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co-sponsors the Unitil Corporation Retirement Plan (Pension Plan), the Unitil Retiree Health and Welfare Benefits Plan (PBOP Plan), and the Unitil Corporation SERP to provide certain pension and postretirement benefits for its retirees and current employees. Please see Note 10 to the Consolidated Financial Statements in the Company’s Form 10-K for the year ended December 31, 2025 as filed with the SEC on February 9, 2026 for additional information regarding these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includes the key weighted average assumptions used in determining the Company’s benefit plan costs and obligations: </w:t>
      </w:r>
    </w:p>
    <w:p>
      <w:pPr>
        <w:pStyle w:val="TextBody"/>
        <w:bidi w:val="0"/>
        <w:jc w:val="left"/>
        <w:rPr/>
      </w:pPr>
      <w:r>
        <w:rPr/>
        <w:t> </w:t>
      </w:r>
    </w:p>
    <w:tbl>
      <w:tblPr>
        <w:tblW w:w="6169" w:type="dxa"/>
        <w:jc w:val="left"/>
        <w:tblInd w:w="0" w:type="dxa"/>
        <w:tblLayout w:type="fixed"/>
        <w:tblCellMar>
          <w:top w:w="28" w:type="dxa"/>
          <w:left w:w="28" w:type="dxa"/>
          <w:bottom w:w="28" w:type="dxa"/>
          <w:right w:w="28" w:type="dxa"/>
        </w:tblCellMar>
      </w:tblPr>
      <w:tblGrid>
        <w:gridCol w:w="4036"/>
        <w:gridCol w:w="146"/>
        <w:gridCol w:w="146"/>
        <w:gridCol w:w="466"/>
        <w:gridCol w:w="301"/>
        <w:gridCol w:w="146"/>
        <w:gridCol w:w="146"/>
        <w:gridCol w:w="466"/>
        <w:gridCol w:w="316"/>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Used to Determine Plan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of Compensation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Long-term rate of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health care cost trend rate used to determine benefit plan costs for 2026 for pre-65 retirees is 8.05%, with an ultimate rate of 4.50% in 2034, and for post-65 retirees, the health care cost trend rate is 7.15%, with an ultimate rate of 4.50% in 2034. The health care cost trend rate used to determine benefit plan costs for 2025 for pre-65 retirees was 8.50%, with an ultimate rate of 4.50% in 2034, and for post-65 retirees, the health care cost trend rate was 7.50%, with an ultimate rate of 4.50% in 2034.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provide the components of the Company’s Retirement plan costs ($000’s): </w:t>
      </w:r>
    </w:p>
    <w:p>
      <w:pPr>
        <w:pStyle w:val="TextBody"/>
        <w:bidi w:val="0"/>
        <w:jc w:val="left"/>
        <w:rPr/>
      </w:pPr>
      <w:r>
        <w:rPr/>
        <w:t> </w:t>
      </w:r>
    </w:p>
    <w:tbl>
      <w:tblPr>
        <w:tblW w:w="9960" w:type="dxa"/>
        <w:jc w:val="left"/>
        <w:tblInd w:w="0" w:type="dxa"/>
        <w:tblLayout w:type="fixed"/>
        <w:tblCellMar>
          <w:top w:w="28" w:type="dxa"/>
          <w:left w:w="28" w:type="dxa"/>
          <w:bottom w:w="28" w:type="dxa"/>
          <w:right w:w="28" w:type="dxa"/>
        </w:tblCellMar>
      </w:tblPr>
      <w:tblGrid>
        <w:gridCol w:w="3211"/>
        <w:gridCol w:w="146"/>
        <w:gridCol w:w="211"/>
        <w:gridCol w:w="631"/>
        <w:gridCol w:w="166"/>
        <w:gridCol w:w="146"/>
        <w:gridCol w:w="211"/>
        <w:gridCol w:w="631"/>
        <w:gridCol w:w="166"/>
        <w:gridCol w:w="146"/>
        <w:gridCol w:w="211"/>
        <w:gridCol w:w="631"/>
        <w:gridCol w:w="166"/>
        <w:gridCol w:w="146"/>
        <w:gridCol w:w="211"/>
        <w:gridCol w:w="631"/>
        <w:gridCol w:w="166"/>
        <w:gridCol w:w="146"/>
        <w:gridCol w:w="211"/>
        <w:gridCol w:w="421"/>
        <w:gridCol w:w="166"/>
        <w:gridCol w:w="146"/>
        <w:gridCol w:w="211"/>
        <w:gridCol w:w="421"/>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PBOP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SERP</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Service Cost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Loss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Capitalized and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10080" w:type="dxa"/>
        <w:jc w:val="left"/>
        <w:tblInd w:w="0" w:type="dxa"/>
        <w:tblLayout w:type="fixed"/>
        <w:tblCellMar>
          <w:top w:w="28" w:type="dxa"/>
          <w:left w:w="28" w:type="dxa"/>
          <w:bottom w:w="28" w:type="dxa"/>
          <w:right w:w="28" w:type="dxa"/>
        </w:tblCellMar>
      </w:tblPr>
      <w:tblGrid>
        <w:gridCol w:w="3211"/>
        <w:gridCol w:w="146"/>
        <w:gridCol w:w="211"/>
        <w:gridCol w:w="631"/>
        <w:gridCol w:w="166"/>
        <w:gridCol w:w="146"/>
        <w:gridCol w:w="211"/>
        <w:gridCol w:w="631"/>
        <w:gridCol w:w="166"/>
        <w:gridCol w:w="146"/>
        <w:gridCol w:w="211"/>
        <w:gridCol w:w="631"/>
        <w:gridCol w:w="166"/>
        <w:gridCol w:w="146"/>
        <w:gridCol w:w="211"/>
        <w:gridCol w:w="631"/>
        <w:gridCol w:w="166"/>
        <w:gridCol w:w="146"/>
        <w:gridCol w:w="211"/>
        <w:gridCol w:w="481"/>
        <w:gridCol w:w="166"/>
        <w:gridCol w:w="146"/>
        <w:gridCol w:w="211"/>
        <w:gridCol w:w="481"/>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Pension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PBOP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SERP</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Service Cost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Loss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Capitalized and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u w:val="single"/>
        </w:rPr>
        <w:t>Employer Contributions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Company had not made any contributions to its Pension Plan and PBOP Plan, respectively, in 2026. The Company, along with its subsidiaries, expects to make contributions to its Pension and PBOP Plans in 2026 and future years at minimum required and discretionary funding levels consistent with the amounts recovered in the distribution utilities’ rates for these Pension and PBOP Plan costs. </w:t>
      </w:r>
    </w:p>
    <w:p>
      <w:pPr>
        <w:pStyle w:val="TextBody"/>
        <w:bidi w:val="0"/>
        <w:spacing w:before="240" w:after="283"/>
        <w:jc w:val="left"/>
        <w:rPr>
          <w:rFonts w:ascii="Times New Roman" w:hAnsi="Times New Roman"/>
          <w:color w:val="000000"/>
          <w:sz w:val="20"/>
        </w:rPr>
      </w:pPr>
      <w:bookmarkStart w:id="17" w:name="notes_end"/>
      <w:bookmarkEnd w:id="17"/>
      <w:r>
        <w:rPr>
          <w:rFonts w:ascii="Times New Roman" w:hAnsi="Times New Roman"/>
          <w:color w:val="000000"/>
          <w:sz w:val="20"/>
        </w:rPr>
        <w:t xml:space="preserve">As of June 30, 2026, the Company had made $0.3 million of benefit payments under the SERP Plan in 2026. The Company presently anticipates making an additional $0.4 million of benefit payments under the SERP Plan in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8" w:name="quantitative_and_qualitative_disclosures"/>
      <w:bookmarkEnd w:id="18"/>
      <w:r>
        <w:rPr>
          <w:rFonts w:ascii="Times New Roman" w:hAnsi="Times New Roman"/>
          <w:b/>
          <w:i/>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Reference is made to the “Interest Rate Risk” and “Commodity Price Risk” sections of Part II, Item 2. “Management’s Discussion and Analysis of Financial Condition and Results of Operations” of this report (above). </w:t>
      </w:r>
    </w:p>
    <w:p>
      <w:pPr>
        <w:pStyle w:val="TextBody"/>
        <w:bidi w:val="0"/>
        <w:spacing w:before="360" w:after="283"/>
        <w:jc w:val="left"/>
        <w:rPr>
          <w:rFonts w:ascii="Times New Roman" w:hAnsi="Times New Roman"/>
          <w:sz w:val="20"/>
        </w:rPr>
      </w:pPr>
      <w:bookmarkStart w:id="19" w:name="controls_and_procedures"/>
      <w:bookmarkEnd w:id="19"/>
      <w:r>
        <w:rPr>
          <w:rFonts w:ascii="Times New Roman" w:hAnsi="Times New Roman"/>
          <w:b/>
          <w:i/>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of the Company, under the supervision and with the participation of the Company’s Chief Executive Officer, Chief Financial Officer, and Chief Accounting Officer, carried out an evaluation of the effectiveness of the design and operation of the Company’s disclosure controls and procedures as of June 30, 2026. Based upon this evaluation, the Company’s Chief Executive Officer, Chief Financial Officer and Chief Accounting Officer concluded as of June 30, 2026 that the Company’s disclosure controls and procedures (as defined in Exchange Act Rules 13a-15(e) and 15(d)-15(e)) are effective.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no changes in the Company’s internal control over financial reporting (as defined in Exchange Act Rules 13a-15(f) and 15(d)-15(f)) during the fiscal quarter covered by this Form 10-Q that have materially affected, or are reasonably likely to materially affect, the Company’s internal control over financial reporting. </w:t>
      </w:r>
    </w:p>
    <w:p>
      <w:pPr>
        <w:pStyle w:val="TextBody"/>
        <w:bidi w:val="0"/>
        <w:spacing w:before="360" w:after="283"/>
        <w:jc w:val="left"/>
        <w:rPr>
          <w:rFonts w:ascii="Times New Roman" w:hAnsi="Times New Roman"/>
          <w:sz w:val="20"/>
        </w:rPr>
      </w:pPr>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20" w:name="legal_proceedings"/>
      <w:bookmarkEnd w:id="20"/>
      <w:r>
        <w:rPr>
          <w:rFonts w:ascii="Times New Roman" w:hAnsi="Times New Roman"/>
          <w:b/>
          <w:i/>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involved in legal and administrative proceedings and claims of various types, which arise in the ordinary course of business. Certain specific matters are discussed in Notes 7 and 8 to the Consolidated Financial Statements. In the opinion of Management, based upon information furnished by counsel and others, the ultimate resolution of these claims will not have a material effect on the Company’s financial position. </w:t>
      </w:r>
    </w:p>
    <w:p>
      <w:pPr>
        <w:pStyle w:val="TextBody"/>
        <w:bidi w:val="0"/>
        <w:spacing w:before="360" w:after="283"/>
        <w:jc w:val="left"/>
        <w:rPr>
          <w:rFonts w:ascii="Times New Roman" w:hAnsi="Times New Roman"/>
          <w:sz w:val="20"/>
        </w:rPr>
      </w:pPr>
      <w:bookmarkStart w:id="21" w:name="risk_factors"/>
      <w:bookmarkEnd w:id="21"/>
      <w:r>
        <w:rPr>
          <w:rFonts w:ascii="Times New Roman" w:hAnsi="Times New Roman"/>
          <w:b/>
          <w:i/>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the risk factors disclosed in the Company’s Form 10-K for the year-ended December 31, 2025 as filed with the SEC on February 9, 2026, except as set forth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the water sector through the acquisition of AWC-NH and Abenaki. As noted above in the Cautionary Statements, water businesses are subject to a number of risks. Although the water businesses are not currently expected to materially contribute to the results of operations for Unitil, these businesses are subject to risks that could adversely affect their results of operations including: environmental, water quality and health and safety laws and regulations; limitations of water supplies; conservation efforts by customers; contamination of water supplies, including water service provided to customers; and failure of the water network. Significant losses, liabilities, or impairments arising from these businesses may adversely affect Unitil's financial position or results of operations.</w:t>
      </w:r>
    </w:p>
    <w:p>
      <w:pPr>
        <w:pStyle w:val="TextBody"/>
        <w:bidi w:val="0"/>
        <w:spacing w:before="360" w:after="283"/>
        <w:jc w:val="left"/>
        <w:rPr>
          <w:rFonts w:ascii="Times New Roman" w:hAnsi="Times New Roman"/>
          <w:sz w:val="20"/>
        </w:rPr>
      </w:pPr>
      <w:bookmarkStart w:id="22" w:name="unregistered_sales_of_equity_securities"/>
      <w:bookmarkEnd w:id="22"/>
      <w:r>
        <w:rPr>
          <w:rFonts w:ascii="Times New Roman" w:hAnsi="Times New Roman"/>
          <w:b/>
          <w:i/>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sales of unregistered equity securities by the Company for the fiscal period ended June 30, 2026.</w:t>
      </w:r>
    </w:p>
    <w:p>
      <w:pPr>
        <w:pStyle w:val="TextBody"/>
        <w:bidi w:val="0"/>
        <w:spacing w:before="360" w:after="283"/>
        <w:jc w:val="left"/>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purchases of equity securities by the Company for the fiscal period ended June 30, 2026. </w:t>
      </w:r>
    </w:p>
    <w:p>
      <w:pPr>
        <w:pStyle w:val="TextBody"/>
        <w:bidi w:val="0"/>
        <w:spacing w:before="360" w:after="283"/>
        <w:jc w:val="left"/>
        <w:rPr>
          <w:rFonts w:ascii="Times New Roman" w:hAnsi="Times New Roman"/>
          <w:sz w:val="20"/>
        </w:rPr>
      </w:pPr>
      <w:bookmarkStart w:id="23" w:name="other_information"/>
      <w:bookmarkEnd w:id="23"/>
      <w:r>
        <w:rPr>
          <w:rFonts w:ascii="Times New Roman" w:hAnsi="Times New Roman"/>
          <w:b/>
          <w:i/>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On August 3, 2026, the Company issued a press release announcing its results of operations for the three and six-month periods ended June 30, 2026. The press release is furnished with this Quarterly Report on Form 10-Q as Exhibit 99.1.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During the quarter ended June 30, 2026, no director or officer (as defined in Rule 16a-1(f) promulgated under the Securities Exchange Act of 1934) adopted or terminated a Rule10b5-1 trading arrangement (as defined in Item 408(a)(1)(i) of Regulation S-K promulgated under the Securities Exchange Act of 1934) or any non-Rule 10b5-1 trading arrangement (as defined in Item 408(c) of Regulation S-K promulgated under 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24" w:name="exhibits"/>
      <w:bookmarkEnd w:id="24"/>
      <w:r>
        <w:rPr>
          <w:rFonts w:ascii="Times New Roman" w:hAnsi="Times New Roman"/>
          <w:b/>
          <w:i/>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Exhibits </w:t>
      </w:r>
    </w:p>
    <w:tbl>
      <w:tblPr>
        <w:tblW w:w="10205" w:type="dxa"/>
        <w:jc w:val="left"/>
        <w:tblInd w:w="0" w:type="dxa"/>
        <w:tblLayout w:type="fixed"/>
        <w:tblCellMar>
          <w:top w:w="28" w:type="dxa"/>
          <w:left w:w="28" w:type="dxa"/>
          <w:bottom w:w="28" w:type="dxa"/>
          <w:right w:w="28" w:type="dxa"/>
        </w:tblCellMar>
      </w:tblPr>
      <w:tblGrid>
        <w:gridCol w:w="848"/>
        <w:gridCol w:w="6693"/>
        <w:gridCol w:w="2664"/>
      </w:tblGrid>
      <w:tr>
        <w:trPr/>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6693" w:type="dxa"/>
            <w:tcBorders/>
            <w:shd w:fill="FFFFFF" w:val="clear"/>
            <w:vAlign w:val="center"/>
          </w:tcPr>
          <w:p>
            <w:pPr>
              <w:pStyle w:val="TableContents"/>
              <w:bidi w:val="0"/>
              <w:spacing w:before="0" w:after="283"/>
              <w:jc w:val="left"/>
              <w:rPr>
                <w:sz w:val="4"/>
                <w:szCs w:val="4"/>
              </w:rPr>
            </w:pPr>
            <w:r>
              <w:rPr>
                <w:sz w:val="4"/>
                <w:szCs w:val="4"/>
              </w:rPr>
            </w:r>
          </w:p>
        </w:tc>
        <w:tc>
          <w:tcPr>
            <w:tcW w:w="2664" w:type="dxa"/>
            <w:tcBorders/>
            <w:shd w:fill="FFFFFF" w:val="clear"/>
            <w:vAlign w:val="center"/>
          </w:tcPr>
          <w:p>
            <w:pPr>
              <w:pStyle w:val="TableContents"/>
              <w:bidi w:val="0"/>
              <w:spacing w:before="0" w:after="283"/>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jc w:val="left"/>
              <w:rPr/>
            </w:pPr>
            <w:r>
              <w:rPr/>
              <w:t> </w:t>
            </w:r>
          </w:p>
        </w:tc>
        <w:tc>
          <w:tcPr>
            <w:tcW w:w="6693" w:type="dxa"/>
            <w:tcBorders/>
            <w:tcMar>
              <w:top w:w="0" w:type="dxa"/>
              <w:left w:w="0" w:type="dxa"/>
              <w:bottom w:w="0" w:type="dxa"/>
              <w:right w:w="0" w:type="dxa"/>
            </w:tcMar>
            <w:vAlign w:val="center"/>
          </w:tcPr>
          <w:p>
            <w:pPr>
              <w:pStyle w:val="TableContents"/>
              <w:bidi w:val="0"/>
              <w:spacing w:before="0" w:after="283"/>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66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 of Exhibit</w:t>
            </w:r>
          </w:p>
        </w:tc>
        <w:tc>
          <w:tcPr>
            <w:tcW w:w="26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Reference*</w:t>
            </w:r>
          </w:p>
        </w:tc>
      </w:tr>
      <w:tr>
        <w:trPr/>
        <w:tc>
          <w:tcPr>
            <w:tcW w:w="848" w:type="dxa"/>
            <w:tcBorders/>
            <w:tcMar>
              <w:top w:w="0" w:type="dxa"/>
              <w:left w:w="0" w:type="dxa"/>
              <w:bottom w:w="0" w:type="dxa"/>
              <w:right w:w="0" w:type="dxa"/>
            </w:tcMar>
            <w:vAlign w:val="center"/>
          </w:tcPr>
          <w:p>
            <w:pPr>
              <w:pStyle w:val="TableContents"/>
              <w:bidi w:val="0"/>
              <w:spacing w:before="200" w:after="283"/>
              <w:ind w:left="0" w:right="0" w:firstLine="165"/>
              <w:jc w:val="center"/>
              <w:rPr/>
            </w:pPr>
            <w:r>
              <w:rPr/>
              <w:t> </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2.1</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r:id="rId2">
              <w:r>
                <w:rPr>
                  <w:rStyle w:val="InternetLink"/>
                  <w:rFonts w:ascii="Times New Roman" w:hAnsi="Times New Roman"/>
                  <w:color w:val="0000FF"/>
                  <w:sz w:val="20"/>
                  <w:u w:val="single"/>
                </w:rPr>
                <w:t>Amendment No. 3 to Purchase and Sale Agreement, dated as of May 25, 2026, by and among Unitil Corporation, Aquarion Water Authority and South Central Connecticut Regional Water Authority.</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r:id="rId3">
              <w:r>
                <w:rPr>
                  <w:rStyle w:val="InternetLink"/>
                  <w:rFonts w:ascii="Times New Roman" w:hAnsi="Times New Roman"/>
                  <w:color w:val="000000"/>
                  <w:sz w:val="20"/>
                  <w:u w:val="single"/>
                </w:rPr>
                <w:t>Exhibit 2.1 to Form 8-K for May 25, 2026 (SEC File No. 1-8858)</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2.2</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r:id="rId4">
              <w:r>
                <w:rPr>
                  <w:rStyle w:val="InternetLink"/>
                  <w:rFonts w:ascii="Times New Roman" w:hAnsi="Times New Roman"/>
                  <w:color w:val="0000FF"/>
                  <w:sz w:val="20"/>
                  <w:u w:val="single"/>
                </w:rPr>
                <w:t>Amendment No. 4 to Purchase and Sale Agreement, dated as of June 30, 2026, by and among Unitil Corporation, Aquarion Water Authority and South Central Connecticut Regional Water Authority.</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r:id="rId5">
              <w:r>
                <w:rPr>
                  <w:rStyle w:val="InternetLink"/>
                  <w:rFonts w:ascii="Times New Roman" w:hAnsi="Times New Roman"/>
                  <w:color w:val="000000"/>
                  <w:sz w:val="20"/>
                  <w:u w:val="single"/>
                </w:rPr>
                <w:t>Exhibit 2.1 to Form 8-K for June 30, 2026 (SEC File No. 1-8858)</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4.1 (1)(2)</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r:id="rId6">
              <w:r>
                <w:rPr>
                  <w:rStyle w:val="InternetLink"/>
                  <w:rFonts w:ascii="Times New Roman" w:hAnsi="Times New Roman"/>
                  <w:color w:val="0000FF"/>
                  <w:sz w:val="20"/>
                  <w:u w:val="single"/>
                </w:rPr>
                <w:t>Note Purchase Agreement dated April 30, 2026 by and among Fitchburg Gas and Electric Light Company and the several purchasers named therein.</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r:id="rId7">
              <w:r>
                <w:rPr>
                  <w:rStyle w:val="InternetLink"/>
                  <w:rFonts w:ascii="Times New Roman" w:hAnsi="Times New Roman"/>
                  <w:color w:val="000000"/>
                  <w:sz w:val="20"/>
                  <w:u w:val="single"/>
                </w:rPr>
                <w:t>Exhibit 4.1 to Form 8-K for April 30, 2026 (SEC File No. 1-8858)</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4.2</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r:id="rId8">
              <w:r>
                <w:rPr>
                  <w:rStyle w:val="InternetLink"/>
                  <w:rFonts w:ascii="Times New Roman" w:hAnsi="Times New Roman"/>
                  <w:color w:val="0000FF"/>
                  <w:sz w:val="20"/>
                  <w:u w:val="single"/>
                </w:rPr>
                <w:t>5.62% Senior Note, Series 2026A, due April 30, 2036, issued by Fitchburg Gas and Electric Light Company to State Farm Life Insurance Company</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r:id="rId9">
              <w:r>
                <w:rPr>
                  <w:rStyle w:val="InternetLink"/>
                  <w:rFonts w:ascii="Times New Roman" w:hAnsi="Times New Roman"/>
                  <w:color w:val="000000"/>
                  <w:sz w:val="20"/>
                  <w:u w:val="single"/>
                </w:rPr>
                <w:t>Exhibit 4.2 to Form 8-K for April 30, 2026 (SEC File No. 1-8858)</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4.3</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r:id="rId10">
              <w:r>
                <w:rPr>
                  <w:rStyle w:val="InternetLink"/>
                  <w:rFonts w:ascii="Times New Roman" w:hAnsi="Times New Roman"/>
                  <w:color w:val="0000FF"/>
                  <w:sz w:val="20"/>
                  <w:u w:val="single"/>
                </w:rPr>
                <w:t>5.87% Senior Note, Series 2026B, due April 30, 2041, issued by Fitchburg Gas and Electric Light Company to State Farm Life Insurance Company</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r:id="rId11">
              <w:r>
                <w:rPr>
                  <w:rStyle w:val="InternetLink"/>
                  <w:rFonts w:ascii="Times New Roman" w:hAnsi="Times New Roman"/>
                  <w:color w:val="000000"/>
                  <w:sz w:val="20"/>
                  <w:u w:val="single"/>
                </w:rPr>
                <w:t>Exhibit 4.2 to Form 8-K for April 30, 2026 (SEC File No. 1-8858)</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4.4 (2)</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r:id="rId12">
              <w:r>
                <w:rPr>
                  <w:rStyle w:val="InternetLink"/>
                  <w:rFonts w:ascii="Times New Roman" w:hAnsi="Times New Roman"/>
                  <w:color w:val="0000FF"/>
                  <w:sz w:val="20"/>
                  <w:u w:val="single"/>
                </w:rPr>
                <w:t>Amended and Restated Credit Agreement dated June 30, 2026 among Unitil Corporation, The Bank of Nova Scotia, as agent, and The Bank of Nova Scotia, as lender</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r:id="rId13">
              <w:r>
                <w:rPr>
                  <w:rStyle w:val="InternetLink"/>
                  <w:rFonts w:ascii="Times New Roman" w:hAnsi="Times New Roman"/>
                  <w:color w:val="000000"/>
                  <w:sz w:val="20"/>
                  <w:u w:val="single"/>
                </w:rPr>
                <w:t>Exhibit 4.1 to Form 8-K for June 30, 2026 (SEC File No. 1-8858)</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10.1 (2)</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r:id="rId14">
              <w:r>
                <w:rPr>
                  <w:rStyle w:val="InternetLink"/>
                  <w:rFonts w:ascii="Times New Roman" w:hAnsi="Times New Roman"/>
                  <w:color w:val="0000FF"/>
                  <w:sz w:val="20"/>
                  <w:u w:val="single"/>
                </w:rPr>
                <w:t>Operating and Transition Services Agreement dated June 30, 2026 among Aquarion Water Authority, Unitil Corporation and Eversource Energy</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r:id="rId15">
              <w:r>
                <w:rPr>
                  <w:rStyle w:val="InternetLink"/>
                  <w:rFonts w:ascii="Times New Roman" w:hAnsi="Times New Roman"/>
                  <w:color w:val="000000"/>
                  <w:sz w:val="20"/>
                  <w:u w:val="single"/>
                </w:rPr>
                <w:t>Exhibit 10.2 to Form 8-K for June 30, 2026 (SEC File No. 1-8858)</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r>
              <w:rPr/>
              <w:t> </w:t>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31.1</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w:anchor="utl-ex31_1.htm">
              <w:r>
                <w:rPr>
                  <w:rStyle w:val="InternetLink"/>
                  <w:rFonts w:ascii="Times New Roman" w:hAnsi="Times New Roman"/>
                  <w:color w:val="0000FF"/>
                  <w:sz w:val="20"/>
                  <w:u w:val="single"/>
                </w:rPr>
                <w:t>Certification of Chief Executive Officer Pursuant to Rule 13a-14 of the Exchange Act, as Adopted Pursuant to Section 302 of the Sarbanes-Oxley Act of 2002</w:t>
              </w:r>
            </w:hyperlink>
            <w:hyperlink w:anchor="utl-ex31_1.htm">
              <w:r>
                <w:rPr>
                  <w:rStyle w:val="InternetLink"/>
                  <w:rFonts w:ascii="Times New Roman" w:hAnsi="Times New Roman"/>
                  <w:color w:val="0000FF"/>
                  <w:sz w:val="20"/>
                </w:rPr>
                <w:t xml:space="preserve"> </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w:anchor="utl-ex31_1.htm">
              <w:r>
                <w:rPr>
                  <w:rStyle w:val="InternetLink"/>
                  <w:rFonts w:ascii="Times New Roman" w:hAnsi="Times New Roman"/>
                  <w:color w:val="000000"/>
                  <w:sz w:val="20"/>
                </w:rPr>
                <w:t>Filed herewith</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2664"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31.2</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w:anchor="utl-ex31_2.htm">
              <w:r>
                <w:rPr>
                  <w:rStyle w:val="InternetLink"/>
                  <w:rFonts w:ascii="Times New Roman" w:hAnsi="Times New Roman"/>
                  <w:color w:val="0000FF"/>
                  <w:sz w:val="20"/>
                  <w:u w:val="single"/>
                </w:rPr>
                <w:t>Certification of Chief Financial Officer Pursuant to Rule 13a-14 of the Exchange Act, as Adopted Pursuant to Section 302 of the Sarbanes-Oxley Act of 2002</w:t>
              </w:r>
            </w:hyperlink>
            <w:hyperlink w:anchor="utl-ex31_2.htm">
              <w:r>
                <w:rPr>
                  <w:rStyle w:val="InternetLink"/>
                  <w:rFonts w:ascii="Times New Roman" w:hAnsi="Times New Roman"/>
                  <w:color w:val="0000FF"/>
                  <w:sz w:val="20"/>
                </w:rPr>
                <w:t xml:space="preserve"> </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w:anchor="utl-ex31_2.htm">
              <w:r>
                <w:rPr>
                  <w:rStyle w:val="InternetLink"/>
                  <w:rFonts w:ascii="Times New Roman" w:hAnsi="Times New Roman"/>
                  <w:color w:val="000000"/>
                  <w:sz w:val="20"/>
                </w:rPr>
                <w:t>Filed herewith</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2664"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31.3</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w:anchor="utl-ex31_3.htm">
              <w:r>
                <w:rPr>
                  <w:rStyle w:val="InternetLink"/>
                  <w:rFonts w:ascii="Times New Roman" w:hAnsi="Times New Roman"/>
                  <w:color w:val="0000FF"/>
                  <w:sz w:val="20"/>
                  <w:u w:val="single"/>
                </w:rPr>
                <w:t>Certification of Chief Accounting Officer Pursuant to Rule 13a-14 of the Exchange Act, as Adopted Pursuant to Section 302 of the Sarbanes-Oxley Act of 2002</w:t>
              </w:r>
            </w:hyperlink>
            <w:hyperlink w:anchor="utl-ex31_3.htm">
              <w:r>
                <w:rPr>
                  <w:rStyle w:val="InternetLink"/>
                  <w:rFonts w:ascii="Times New Roman" w:hAnsi="Times New Roman"/>
                  <w:color w:val="0000FF"/>
                  <w:sz w:val="20"/>
                </w:rPr>
                <w:t xml:space="preserve"> </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w:anchor="utl-ex31_3.htm">
              <w:r>
                <w:rPr>
                  <w:rStyle w:val="InternetLink"/>
                  <w:rFonts w:ascii="Times New Roman" w:hAnsi="Times New Roman"/>
                  <w:color w:val="000000"/>
                  <w:sz w:val="20"/>
                </w:rPr>
                <w:t>Filed herewith</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2664"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32.1</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w:anchor="utl-ex32_1.htm">
              <w:r>
                <w:rPr>
                  <w:rStyle w:val="InternetLink"/>
                  <w:rFonts w:ascii="Times New Roman" w:hAnsi="Times New Roman"/>
                  <w:color w:val="0000FF"/>
                  <w:sz w:val="20"/>
                  <w:u w:val="single"/>
                </w:rPr>
                <w:t>Certifications of Chief Executive Officer, Chief Financial Officer and Chief Accounting Officer Pursuant to 18 U.S.C. Section 1350, as Adopted Pursuant to Section 906 of the Sarbanes-Oxley Act of 2002</w:t>
              </w:r>
            </w:hyperlink>
            <w:hyperlink w:anchor="utl-ex32_1.htm">
              <w:r>
                <w:rPr>
                  <w:rStyle w:val="InternetLink"/>
                  <w:rFonts w:ascii="Times New Roman" w:hAnsi="Times New Roman"/>
                  <w:color w:val="0000FF"/>
                  <w:sz w:val="20"/>
                </w:rPr>
                <w:t xml:space="preserve"> </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w:anchor="utl-ex32_1.htm">
              <w:r>
                <w:rPr>
                  <w:rStyle w:val="InternetLink"/>
                  <w:rFonts w:ascii="Times New Roman" w:hAnsi="Times New Roman"/>
                  <w:color w:val="000000"/>
                  <w:sz w:val="20"/>
                </w:rPr>
                <w:t>Filed herewith</w:t>
              </w:r>
            </w:hyperlink>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c>
          <w:tcPr>
            <w:tcW w:w="2664" w:type="dxa"/>
            <w:tcBorders/>
            <w:tcMar>
              <w:top w:w="0" w:type="dxa"/>
              <w:left w:w="0" w:type="dxa"/>
              <w:bottom w:w="0" w:type="dxa"/>
              <w:right w:w="0" w:type="dxa"/>
            </w:tcMar>
            <w:vAlign w:val="center"/>
          </w:tcPr>
          <w:p>
            <w:pPr>
              <w:pStyle w:val="TableContents"/>
              <w:bidi w:val="0"/>
              <w:spacing w:before="0" w:after="283"/>
              <w:ind w:left="0" w:right="0" w:firstLine="165"/>
              <w:jc w:val="left"/>
              <w:rPr>
                <w:sz w:val="4"/>
                <w:szCs w:val="4"/>
              </w:rPr>
            </w:pPr>
            <w:r>
              <w:rPr>
                <w:sz w:val="4"/>
                <w:szCs w:val="4"/>
              </w:rPr>
            </w:r>
          </w:p>
        </w:tc>
      </w:tr>
      <w:tr>
        <w:trPr/>
        <w:tc>
          <w:tcPr>
            <w:tcW w:w="848" w:type="dxa"/>
            <w:tcBorders/>
            <w:tcMar>
              <w:top w:w="0" w:type="dxa"/>
              <w:left w:w="0" w:type="dxa"/>
              <w:bottom w:w="0" w:type="dxa"/>
              <w:right w:w="0" w:type="dxa"/>
            </w:tcMar>
            <w:vAlign w:val="center"/>
          </w:tcPr>
          <w:p>
            <w:pPr>
              <w:pStyle w:val="TableContents"/>
              <w:bidi w:val="0"/>
              <w:spacing w:before="0" w:after="283"/>
              <w:ind w:left="0" w:right="0" w:firstLine="165"/>
              <w:jc w:val="left"/>
              <w:rPr>
                <w:rFonts w:ascii="Times New Roman" w:hAnsi="Times New Roman"/>
                <w:color w:val="000000"/>
                <w:sz w:val="20"/>
              </w:rPr>
            </w:pPr>
            <w:r>
              <w:rPr>
                <w:rFonts w:ascii="Times New Roman" w:hAnsi="Times New Roman"/>
                <w:color w:val="000000"/>
                <w:sz w:val="20"/>
              </w:rPr>
              <w:t>99.1</w:t>
            </w:r>
          </w:p>
        </w:tc>
        <w:tc>
          <w:tcPr>
            <w:tcW w:w="6693" w:type="dxa"/>
            <w:tcBorders/>
            <w:tcMar>
              <w:top w:w="0" w:type="dxa"/>
              <w:left w:w="0" w:type="dxa"/>
              <w:bottom w:w="0" w:type="dxa"/>
              <w:right w:w="0" w:type="dxa"/>
            </w:tcMar>
            <w:vAlign w:val="center"/>
          </w:tcPr>
          <w:p>
            <w:pPr>
              <w:pStyle w:val="TableContents"/>
              <w:bidi w:val="0"/>
              <w:spacing w:before="0" w:after="283"/>
              <w:ind w:left="0" w:right="0" w:firstLine="165"/>
              <w:jc w:val="left"/>
              <w:rPr/>
            </w:pPr>
            <w:hyperlink w:anchor="utl-ex99_1.htm">
              <w:r>
                <w:rPr>
                  <w:rStyle w:val="InternetLink"/>
                  <w:rFonts w:ascii="Times New Roman" w:hAnsi="Times New Roman"/>
                  <w:color w:val="0000FF"/>
                  <w:sz w:val="20"/>
                  <w:u w:val="single"/>
                </w:rPr>
                <w:t>Unitil Corporation Press Release Dated August 3, 2026 Announcing Earnings for the Quarter Ended June 30, 2026.</w:t>
              </w:r>
            </w:hyperlink>
          </w:p>
        </w:tc>
        <w:tc>
          <w:tcPr>
            <w:tcW w:w="2664" w:type="dxa"/>
            <w:tcBorders/>
            <w:tcMar>
              <w:top w:w="0" w:type="dxa"/>
              <w:left w:w="0" w:type="dxa"/>
              <w:bottom w:w="0" w:type="dxa"/>
              <w:right w:w="0" w:type="dxa"/>
            </w:tcMar>
            <w:vAlign w:val="center"/>
          </w:tcPr>
          <w:p>
            <w:pPr>
              <w:pStyle w:val="TableContents"/>
              <w:bidi w:val="0"/>
              <w:spacing w:before="0" w:after="283"/>
              <w:ind w:left="165" w:right="0" w:firstLine="165"/>
              <w:jc w:val="left"/>
              <w:rPr/>
            </w:pPr>
            <w:hyperlink w:anchor="utl-ex99_1.htm">
              <w:r>
                <w:rPr>
                  <w:rStyle w:val="InternetLink"/>
                  <w:rFonts w:ascii="Times New Roman" w:hAnsi="Times New Roman"/>
                  <w:color w:val="000000"/>
                  <w:sz w:val="20"/>
                </w:rPr>
                <w:t>Furnished herewith</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8"/>
        <w:gridCol w:w="8089"/>
        <w:gridCol w:w="1218"/>
      </w:tblGrid>
      <w:tr>
        <w:trPr/>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8089" w:type="dxa"/>
            <w:tcBorders/>
            <w:shd w:fill="FFFFFF" w:val="clear"/>
            <w:vAlign w:val="center"/>
          </w:tcPr>
          <w:p>
            <w:pPr>
              <w:pStyle w:val="TableContents"/>
              <w:bidi w:val="0"/>
              <w:spacing w:before="0" w:after="283"/>
              <w:jc w:val="left"/>
              <w:rPr>
                <w:sz w:val="4"/>
                <w:szCs w:val="4"/>
              </w:rPr>
            </w:pPr>
            <w:r>
              <w:rPr>
                <w:sz w:val="4"/>
                <w:szCs w:val="4"/>
              </w:rPr>
            </w:r>
          </w:p>
        </w:tc>
        <w:tc>
          <w:tcPr>
            <w:tcW w:w="1218" w:type="dxa"/>
            <w:tcBorders/>
            <w:shd w:fill="FFFFFF" w:val="clear"/>
            <w:vAlign w:val="center"/>
          </w:tcPr>
          <w:p>
            <w:pPr>
              <w:pStyle w:val="TableContents"/>
              <w:bidi w:val="0"/>
              <w:spacing w:before="0" w:after="283"/>
              <w:jc w:val="left"/>
              <w:rPr>
                <w:sz w:val="4"/>
                <w:szCs w:val="4"/>
              </w:rPr>
            </w:pPr>
            <w:r>
              <w:rPr>
                <w:sz w:val="4"/>
                <w:szCs w:val="4"/>
              </w:rPr>
            </w:r>
          </w:p>
        </w:tc>
      </w:tr>
      <w:tr>
        <w:trPr/>
        <w:tc>
          <w:tcPr>
            <w:tcW w:w="898" w:type="dxa"/>
            <w:tcBorders/>
            <w:tcMar>
              <w:top w:w="0" w:type="dxa"/>
              <w:left w:w="0" w:type="dxa"/>
              <w:bottom w:w="0" w:type="dxa"/>
              <w:right w:w="0" w:type="dxa"/>
            </w:tcMar>
            <w:vAlign w:val="center"/>
          </w:tcPr>
          <w:p>
            <w:pPr>
              <w:pStyle w:val="TableContents"/>
              <w:bidi w:val="0"/>
              <w:spacing w:before="0" w:after="283"/>
              <w:jc w:val="left"/>
              <w:rPr/>
            </w:pPr>
            <w:r>
              <w:rPr/>
              <w:t> </w:t>
            </w:r>
          </w:p>
        </w:tc>
        <w:tc>
          <w:tcPr>
            <w:tcW w:w="8089" w:type="dxa"/>
            <w:tcBorders/>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80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 of Exhibit</w:t>
            </w:r>
          </w:p>
        </w:tc>
        <w:tc>
          <w:tcPr>
            <w:tcW w:w="12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Reference*</w:t>
            </w:r>
          </w:p>
        </w:tc>
      </w:tr>
      <w:tr>
        <w:trPr/>
        <w:tc>
          <w:tcPr>
            <w:tcW w:w="8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9" w:type="dxa"/>
            <w:tcBorders/>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101.INS</w:t>
            </w:r>
          </w:p>
        </w:tc>
        <w:tc>
          <w:tcPr>
            <w:tcW w:w="8089" w:type="dxa"/>
            <w:tcBorders/>
            <w:tcMar>
              <w:top w:w="0" w:type="dxa"/>
              <w:left w:w="0" w:type="dxa"/>
              <w:bottom w:w="0" w:type="dxa"/>
              <w:right w:w="0" w:type="dxa"/>
            </w:tcMar>
            <w:vAlign w:val="center"/>
          </w:tcPr>
          <w:p>
            <w:pPr>
              <w:pStyle w:val="TableContents"/>
              <w:bidi w:val="0"/>
              <w:spacing w:before="0" w:after="283"/>
              <w:ind w:left="0" w:right="0" w:firstLine="102"/>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218" w:type="dxa"/>
            <w:tcBorders/>
            <w:tcMar>
              <w:top w:w="0" w:type="dxa"/>
              <w:left w:w="0" w:type="dxa"/>
              <w:bottom w:w="0" w:type="dxa"/>
              <w:right w:w="0" w:type="dxa"/>
            </w:tcMar>
            <w:vAlign w:val="center"/>
          </w:tcPr>
          <w:p>
            <w:pPr>
              <w:pStyle w:val="TableContents"/>
              <w:bidi w:val="0"/>
              <w:spacing w:before="0" w:after="283"/>
              <w:ind w:left="102" w:right="0" w:firstLine="102"/>
              <w:jc w:val="left"/>
              <w:rPr>
                <w:color w:val="000000"/>
              </w:rPr>
            </w:pPr>
            <w:r>
              <w:rPr>
                <w:color w:val="000000"/>
              </w:rPr>
              <w:t> </w:t>
            </w:r>
            <w:r>
              <w:rPr>
                <w:rFonts w:ascii="Times New Roman" w:hAnsi="Times New Roman"/>
                <w:color w:val="000000"/>
                <w:sz w:val="20"/>
              </w:rPr>
              <w:t>Filed herewith</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2"/>
              <w:jc w:val="left"/>
              <w:rPr>
                <w:sz w:val="4"/>
                <w:szCs w:val="4"/>
              </w:rPr>
            </w:pPr>
            <w:r>
              <w:rPr>
                <w:sz w:val="4"/>
                <w:szCs w:val="4"/>
              </w:rPr>
            </w:r>
          </w:p>
        </w:tc>
        <w:tc>
          <w:tcPr>
            <w:tcW w:w="8089" w:type="dxa"/>
            <w:tcBorders/>
            <w:tcMar>
              <w:top w:w="0" w:type="dxa"/>
              <w:left w:w="0" w:type="dxa"/>
              <w:bottom w:w="0" w:type="dxa"/>
              <w:right w:w="0" w:type="dxa"/>
            </w:tcMar>
            <w:vAlign w:val="center"/>
          </w:tcPr>
          <w:p>
            <w:pPr>
              <w:pStyle w:val="TableContents"/>
              <w:bidi w:val="0"/>
              <w:spacing w:before="0" w:after="283"/>
              <w:ind w:left="0" w:right="0" w:firstLine="102"/>
              <w:jc w:val="left"/>
              <w:rPr>
                <w:sz w:val="4"/>
                <w:szCs w:val="4"/>
              </w:rPr>
            </w:pPr>
            <w:r>
              <w:rPr>
                <w:sz w:val="4"/>
                <w:szCs w:val="4"/>
              </w:rPr>
            </w:r>
          </w:p>
        </w:tc>
        <w:tc>
          <w:tcPr>
            <w:tcW w:w="1218" w:type="dxa"/>
            <w:tcBorders/>
            <w:tcMar>
              <w:top w:w="0" w:type="dxa"/>
              <w:left w:w="0" w:type="dxa"/>
              <w:bottom w:w="0" w:type="dxa"/>
              <w:right w:w="0" w:type="dxa"/>
            </w:tcMar>
            <w:vAlign w:val="center"/>
          </w:tcPr>
          <w:p>
            <w:pPr>
              <w:pStyle w:val="TableContents"/>
              <w:bidi w:val="0"/>
              <w:spacing w:before="0" w:after="283"/>
              <w:ind w:left="0" w:right="0" w:firstLine="102"/>
              <w:jc w:val="left"/>
              <w:rPr>
                <w:sz w:val="4"/>
                <w:szCs w:val="4"/>
              </w:rPr>
            </w:pPr>
            <w:r>
              <w:rPr>
                <w:sz w:val="4"/>
                <w:szCs w:val="4"/>
              </w:rPr>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101.SCH</w:t>
            </w:r>
          </w:p>
        </w:tc>
        <w:tc>
          <w:tcPr>
            <w:tcW w:w="8089" w:type="dxa"/>
            <w:tcBorders/>
            <w:tcMar>
              <w:top w:w="0" w:type="dxa"/>
              <w:left w:w="0" w:type="dxa"/>
              <w:bottom w:w="0" w:type="dxa"/>
              <w:right w:w="0" w:type="dxa"/>
            </w:tcMar>
            <w:vAlign w:val="center"/>
          </w:tcPr>
          <w:p>
            <w:pPr>
              <w:pStyle w:val="TableContents"/>
              <w:bidi w:val="0"/>
              <w:spacing w:before="0" w:after="283"/>
              <w:ind w:left="0" w:right="0" w:firstLine="102"/>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218" w:type="dxa"/>
            <w:tcBorders/>
            <w:tcMar>
              <w:top w:w="0" w:type="dxa"/>
              <w:left w:w="0" w:type="dxa"/>
              <w:bottom w:w="0" w:type="dxa"/>
              <w:right w:w="0" w:type="dxa"/>
            </w:tcMar>
            <w:vAlign w:val="center"/>
          </w:tcPr>
          <w:p>
            <w:pPr>
              <w:pStyle w:val="TableContents"/>
              <w:bidi w:val="0"/>
              <w:spacing w:before="0" w:after="283"/>
              <w:ind w:left="102" w:right="0" w:firstLine="102"/>
              <w:jc w:val="left"/>
              <w:rPr>
                <w:color w:val="000000"/>
              </w:rPr>
            </w:pPr>
            <w:r>
              <w:rPr>
                <w:color w:val="000000"/>
              </w:rPr>
              <w:t> </w:t>
            </w:r>
            <w:r>
              <w:rPr>
                <w:rFonts w:ascii="Times New Roman" w:hAnsi="Times New Roman"/>
                <w:color w:val="000000"/>
                <w:sz w:val="20"/>
              </w:rPr>
              <w:t>Filed herewith</w:t>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02"/>
              <w:jc w:val="left"/>
              <w:rPr>
                <w:sz w:val="4"/>
                <w:szCs w:val="4"/>
              </w:rPr>
            </w:pPr>
            <w:r>
              <w:rPr>
                <w:sz w:val="4"/>
                <w:szCs w:val="4"/>
              </w:rPr>
            </w:r>
          </w:p>
        </w:tc>
        <w:tc>
          <w:tcPr>
            <w:tcW w:w="8089" w:type="dxa"/>
            <w:tcBorders/>
            <w:tcMar>
              <w:top w:w="0" w:type="dxa"/>
              <w:left w:w="0" w:type="dxa"/>
              <w:bottom w:w="0" w:type="dxa"/>
              <w:right w:w="0" w:type="dxa"/>
            </w:tcMar>
            <w:vAlign w:val="center"/>
          </w:tcPr>
          <w:p>
            <w:pPr>
              <w:pStyle w:val="TableContents"/>
              <w:bidi w:val="0"/>
              <w:spacing w:before="0" w:after="283"/>
              <w:ind w:left="0" w:right="0" w:firstLine="102"/>
              <w:jc w:val="left"/>
              <w:rPr>
                <w:sz w:val="4"/>
                <w:szCs w:val="4"/>
              </w:rPr>
            </w:pPr>
            <w:r>
              <w:rPr>
                <w:sz w:val="4"/>
                <w:szCs w:val="4"/>
              </w:rPr>
            </w:r>
          </w:p>
        </w:tc>
        <w:tc>
          <w:tcPr>
            <w:tcW w:w="1218" w:type="dxa"/>
            <w:tcBorders/>
            <w:tcMar>
              <w:top w:w="0" w:type="dxa"/>
              <w:left w:w="0" w:type="dxa"/>
              <w:bottom w:w="0" w:type="dxa"/>
              <w:right w:w="0" w:type="dxa"/>
            </w:tcMar>
            <w:vAlign w:val="center"/>
          </w:tcPr>
          <w:p>
            <w:pPr>
              <w:pStyle w:val="TableContents"/>
              <w:bidi w:val="0"/>
              <w:spacing w:before="0" w:after="283"/>
              <w:ind w:left="0" w:right="0" w:firstLine="102"/>
              <w:jc w:val="left"/>
              <w:rPr>
                <w:sz w:val="4"/>
                <w:szCs w:val="4"/>
              </w:rPr>
            </w:pPr>
            <w:r>
              <w:rPr>
                <w:sz w:val="4"/>
                <w:szCs w:val="4"/>
              </w:rPr>
            </w:r>
          </w:p>
        </w:tc>
      </w:tr>
      <w:tr>
        <w:trPr/>
        <w:tc>
          <w:tcPr>
            <w:tcW w:w="898" w:type="dxa"/>
            <w:tcBorders/>
            <w:tcMar>
              <w:top w:w="0" w:type="dxa"/>
              <w:left w:w="0" w:type="dxa"/>
              <w:bottom w:w="0" w:type="dxa"/>
              <w:right w:w="0" w:type="dxa"/>
            </w:tcMar>
            <w:vAlign w:val="center"/>
          </w:tcPr>
          <w:p>
            <w:pPr>
              <w:pStyle w:val="TableContents"/>
              <w:bidi w:val="0"/>
              <w:spacing w:before="0" w:after="283"/>
              <w:ind w:left="0" w:right="0" w:firstLine="158"/>
              <w:jc w:val="left"/>
              <w:rPr>
                <w:rFonts w:ascii="Times New Roman" w:hAnsi="Times New Roman"/>
                <w:color w:val="000000"/>
                <w:sz w:val="20"/>
              </w:rPr>
            </w:pPr>
            <w:r>
              <w:rPr>
                <w:rFonts w:ascii="Times New Roman" w:hAnsi="Times New Roman"/>
                <w:color w:val="000000"/>
                <w:sz w:val="20"/>
              </w:rPr>
              <w:t>104</w:t>
            </w:r>
          </w:p>
        </w:tc>
        <w:tc>
          <w:tcPr>
            <w:tcW w:w="8089" w:type="dxa"/>
            <w:tcBorders/>
            <w:tcMar>
              <w:top w:w="0" w:type="dxa"/>
              <w:left w:w="0" w:type="dxa"/>
              <w:bottom w:w="0" w:type="dxa"/>
              <w:right w:w="0" w:type="dxa"/>
            </w:tcMar>
            <w:vAlign w:val="center"/>
          </w:tcPr>
          <w:p>
            <w:pPr>
              <w:pStyle w:val="TableContents"/>
              <w:bidi w:val="0"/>
              <w:spacing w:before="0" w:after="283"/>
              <w:ind w:left="0" w:right="0" w:firstLine="102"/>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c>
          <w:tcPr>
            <w:tcW w:w="1218" w:type="dxa"/>
            <w:tcBorders/>
            <w:tcMar>
              <w:top w:w="0" w:type="dxa"/>
              <w:left w:w="0" w:type="dxa"/>
              <w:bottom w:w="0" w:type="dxa"/>
              <w:right w:w="0" w:type="dxa"/>
            </w:tcMar>
            <w:vAlign w:val="center"/>
          </w:tcPr>
          <w:p>
            <w:pPr>
              <w:pStyle w:val="TableContents"/>
              <w:bidi w:val="0"/>
              <w:spacing w:before="0" w:after="283"/>
              <w:ind w:left="102" w:right="0" w:firstLine="102"/>
              <w:jc w:val="left"/>
              <w:rPr>
                <w:color w:val="000000"/>
              </w:rPr>
            </w:pPr>
            <w:r>
              <w:rPr>
                <w:color w:val="000000"/>
              </w:rPr>
              <w:t> </w:t>
            </w:r>
            <w:r>
              <w:rPr>
                <w:rFonts w:ascii="Times New Roman" w:hAnsi="Times New Roman"/>
                <w:color w:val="000000"/>
                <w:sz w:val="20"/>
              </w:rPr>
              <w:t>Filed herewith</w:t>
            </w:r>
          </w:p>
        </w:tc>
      </w:tr>
    </w:tbl>
    <w:p>
      <w:pPr>
        <w:pStyle w:val="TextBody"/>
        <w:bidi w:val="0"/>
        <w:ind w:left="0" w:right="9693" w:hanging="0"/>
        <w:jc w:val="left"/>
        <w:rPr/>
      </w:pPr>
      <w:r>
        <w:rPr/>
        <w:t> </w:t>
      </w:r>
    </w:p>
    <w:p>
      <w:pPr>
        <w:pStyle w:val="TextBody"/>
        <w:bidi w:val="0"/>
        <w:jc w:val="left"/>
        <w:rPr>
          <w:rFonts w:ascii="Times New Roman" w:hAnsi="Times New Roman"/>
          <w:color w:val="000000"/>
          <w:sz w:val="20"/>
        </w:rPr>
      </w:pPr>
      <w:bookmarkStart w:id="25" w:name="exhibits_end"/>
      <w:bookmarkEnd w:id="25"/>
      <w:r>
        <w:rPr>
          <w:rFonts w:ascii="Times New Roman" w:hAnsi="Times New Roman"/>
          <w:color w:val="000000"/>
          <w:sz w:val="20"/>
        </w:rPr>
        <w:t>* The exhibits referred to in this column by specific designations and dates have heretofore been filed with or furnished to the Securities and Exchange Commission under such designations and are hereby incorporated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Certain information has been excluded from this exhibit pursuant to Item 601(b)(2)(ii) of Regulation 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In accordance with Item 601(a)(5) of Regulation S-K, this exhibit omits certain of its schedules and exhibits. This exhibit’s table of contents, or the cover page of its omitted schedules and exhibits, includes a brief description of the subject matter of all of its omitted schedules and exhibits. Unitil Corporation hereby undertakes to furnish supplementally copies of any of the omitted schedules and exhibits upon request by the Securities and Exchange Commission or its staff.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6" w:name="signatures"/>
      <w:bookmarkEnd w:id="26"/>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329" w:type="dxa"/>
        <w:jc w:val="left"/>
        <w:tblInd w:w="0" w:type="dxa"/>
        <w:tblLayout w:type="fixed"/>
        <w:tblCellMar>
          <w:top w:w="28" w:type="dxa"/>
          <w:left w:w="28" w:type="dxa"/>
          <w:bottom w:w="28" w:type="dxa"/>
          <w:right w:w="28" w:type="dxa"/>
        </w:tblCellMar>
      </w:tblPr>
      <w:tblGrid>
        <w:gridCol w:w="1846"/>
        <w:gridCol w:w="146"/>
        <w:gridCol w:w="146"/>
        <w:gridCol w:w="2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UNITIL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846" w:type="dxa"/>
            <w:tcBorders>
              <w:bottom w:val="single" w:sz="6" w:space="0" w:color="000000"/>
            </w:tcBorders>
            <w:tcMar>
              <w:top w:w="0" w:type="dxa"/>
              <w:left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Date: August 3, 2026</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J. Hurstak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J. Hurstak</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tbl>
      <w:tblPr>
        <w:tblW w:w="4344" w:type="dxa"/>
        <w:jc w:val="left"/>
        <w:tblInd w:w="0" w:type="dxa"/>
        <w:tblLayout w:type="fixed"/>
        <w:tblCellMar>
          <w:top w:w="28" w:type="dxa"/>
          <w:left w:w="28" w:type="dxa"/>
          <w:bottom w:w="28" w:type="dxa"/>
          <w:right w:w="28" w:type="dxa"/>
        </w:tblCellMar>
      </w:tblPr>
      <w:tblGrid>
        <w:gridCol w:w="1846"/>
        <w:gridCol w:w="146"/>
        <w:gridCol w:w="146"/>
        <w:gridCol w:w="22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Todd R. Diggins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R. Diggins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bookmarkStart w:id="27" w:name="utl-ex31_1.htm"/>
      <w:bookmarkStart w:id="28" w:name="ksutlex31_1"/>
      <w:bookmarkEnd w:id="27"/>
      <w:bookmarkEnd w:id="28"/>
      <w:r>
        <w:rPr/>
        <w:t> </w:t>
      </w:r>
      <w:r>
        <w:br w:type="page"/>
      </w:r>
    </w:p>
    <w:p>
      <w:pPr>
        <w:pStyle w:val="TextBody"/>
        <w:bidi w:val="0"/>
        <w:jc w:val="right"/>
        <w:rPr>
          <w:rFonts w:ascii="Arial" w:hAnsi="Arial"/>
          <w:b/>
          <w:color w:val="000000"/>
          <w:sz w:val="22"/>
        </w:rPr>
      </w:pPr>
      <w:r>
        <w:rPr>
          <w:rFonts w:ascii="Arial" w:hAnsi="Arial"/>
          <w:b/>
          <w:color w:val="000000"/>
          <w:sz w:val="22"/>
        </w:rPr>
        <w:t>Exhibit 31.1</w:t>
      </w:r>
    </w:p>
    <w:p>
      <w:pPr>
        <w:pStyle w:val="TextBody"/>
        <w:bidi w:val="0"/>
        <w:jc w:val="right"/>
        <w:rPr/>
      </w:pPr>
      <w:r>
        <w:rPr/>
        <w:t> </w:t>
      </w:r>
    </w:p>
    <w:p>
      <w:pPr>
        <w:pStyle w:val="TextBody"/>
        <w:bidi w:val="0"/>
        <w:jc w:val="center"/>
        <w:rPr>
          <w:rFonts w:ascii="Arial" w:hAnsi="Arial"/>
          <w:b/>
          <w:color w:val="000000"/>
          <w:sz w:val="22"/>
        </w:rPr>
      </w:pPr>
      <w:r>
        <w:rPr>
          <w:rFonts w:ascii="Arial" w:hAnsi="Arial"/>
          <w:b/>
          <w:color w:val="000000"/>
          <w:sz w:val="22"/>
        </w:rPr>
        <w:t>CERTIFICATION UNDER SECTION 302 OF THE SARBANES-OXLEY ACT OF 2002</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I, Thomas P. Meissner, Jr., certify that: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1)</w:t>
      </w:r>
    </w:p>
    <w:p>
      <w:pPr>
        <w:pStyle w:val="TextBody"/>
        <w:bidi w:val="0"/>
        <w:jc w:val="left"/>
        <w:rPr>
          <w:rFonts w:ascii="Arial" w:hAnsi="Arial"/>
          <w:color w:val="000000"/>
          <w:sz w:val="20"/>
        </w:rPr>
      </w:pPr>
      <w:r>
        <w:rPr>
          <w:rFonts w:ascii="Arial" w:hAnsi="Arial"/>
          <w:color w:val="000000"/>
          <w:sz w:val="20"/>
        </w:rPr>
        <w:t>I have reviewed this quarterly report on Form 10-Q of Unitil Corporation;</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4)</w:t>
      </w:r>
    </w:p>
    <w:p>
      <w:pPr>
        <w:pStyle w:val="TextBody"/>
        <w:bidi w:val="0"/>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ind w:left="360" w:right="0" w:hanging="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b)</w:t>
      </w:r>
    </w:p>
    <w:p>
      <w:pPr>
        <w:pStyle w:val="TextBody"/>
        <w:bidi w:val="0"/>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d)</w:t>
      </w:r>
    </w:p>
    <w:p>
      <w:pPr>
        <w:pStyle w:val="TextBody"/>
        <w:bidi w:val="0"/>
        <w:jc w:val="left"/>
        <w:rPr>
          <w:rFonts w:ascii="Arial" w:hAnsi="Arial"/>
          <w:color w:val="000000"/>
          <w:sz w:val="20"/>
        </w:rPr>
      </w:pPr>
      <w:r>
        <w:rPr>
          <w:rFonts w:ascii="Arial" w:hAnsi="Arial"/>
          <w:color w:val="000000"/>
          <w:sz w:val="20"/>
        </w:rPr>
        <w:t xml:space="preserve">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 </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5)</w:t>
      </w:r>
    </w:p>
    <w:p>
      <w:pPr>
        <w:pStyle w:val="TextBody"/>
        <w:bidi w:val="0"/>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b)</w:t>
      </w:r>
    </w:p>
    <w:p>
      <w:pPr>
        <w:pStyle w:val="TextBody"/>
        <w:bidi w:val="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ind w:left="4320" w:right="0" w:hanging="0"/>
        <w:jc w:val="left"/>
        <w:rPr>
          <w:rFonts w:ascii="Arial" w:hAnsi="Arial"/>
          <w:color w:val="000000"/>
          <w:sz w:val="20"/>
        </w:rPr>
      </w:pPr>
      <w:r>
        <w:rPr>
          <w:rFonts w:ascii="Arial" w:hAnsi="Arial"/>
          <w:color w:val="000000"/>
          <w:sz w:val="20"/>
        </w:rPr>
        <w:t>Date: August 3, 2026</w:t>
      </w:r>
    </w:p>
    <w:p>
      <w:pPr>
        <w:pStyle w:val="TextBody"/>
        <w:bidi w:val="0"/>
        <w:ind w:left="4320" w:right="0" w:hanging="0"/>
        <w:jc w:val="left"/>
        <w:rPr/>
      </w:pPr>
      <w:r>
        <w:rPr/>
        <w:t> </w:t>
      </w:r>
    </w:p>
    <w:p>
      <w:pPr>
        <w:pStyle w:val="TextBody"/>
        <w:pBdr>
          <w:bottom w:val="single" w:sz="12" w:space="1" w:color="000000"/>
        </w:pBdr>
        <w:bidi w:val="0"/>
        <w:ind w:left="4320" w:right="0" w:hanging="0"/>
        <w:jc w:val="left"/>
        <w:rPr>
          <w:rFonts w:ascii="Arial" w:hAnsi="Arial"/>
          <w:color w:val="000000"/>
          <w:sz w:val="20"/>
        </w:rPr>
      </w:pPr>
      <w:r>
        <w:rPr>
          <w:rFonts w:ascii="Arial" w:hAnsi="Arial"/>
          <w:color w:val="000000"/>
          <w:sz w:val="20"/>
        </w:rPr>
        <w:t>/s/ Thomas P. Meissner, Jr.</w:t>
      </w:r>
    </w:p>
    <w:p>
      <w:pPr>
        <w:pStyle w:val="TextBody"/>
        <w:bidi w:val="0"/>
        <w:spacing w:before="60" w:after="283"/>
        <w:ind w:left="4320" w:right="0" w:hanging="0"/>
        <w:jc w:val="left"/>
        <w:rPr>
          <w:rFonts w:ascii="Arial" w:hAnsi="Arial"/>
          <w:color w:val="000000"/>
          <w:sz w:val="20"/>
        </w:rPr>
      </w:pPr>
      <w:r>
        <w:rPr>
          <w:rFonts w:ascii="Arial" w:hAnsi="Arial"/>
          <w:color w:val="000000"/>
          <w:sz w:val="20"/>
        </w:rPr>
        <w:t>Thomas P. Meissner, Jr.</w:t>
      </w:r>
    </w:p>
    <w:p>
      <w:pPr>
        <w:pStyle w:val="TextBody"/>
        <w:bidi w:val="0"/>
        <w:spacing w:before="60" w:after="283"/>
        <w:ind w:left="4320" w:right="0" w:hanging="0"/>
        <w:jc w:val="left"/>
        <w:rPr>
          <w:rFonts w:ascii="Arial" w:hAnsi="Arial"/>
          <w:color w:val="000000"/>
          <w:sz w:val="20"/>
        </w:rPr>
      </w:pPr>
      <w:r>
        <w:rPr>
          <w:rFonts w:ascii="Arial" w:hAnsi="Arial"/>
          <w:color w:val="000000"/>
          <w:sz w:val="20"/>
        </w:rPr>
        <w:t>Chief Executive Officer</w:t>
      </w:r>
    </w:p>
    <w:p>
      <w:pPr>
        <w:pStyle w:val="HorizontalLine"/>
        <w:pBdr>
          <w:bottom w:val="double" w:sz="2" w:space="0" w:color="808080"/>
        </w:pBdr>
        <w:bidi w:val="0"/>
        <w:spacing w:before="0" w:after="283"/>
        <w:jc w:val="left"/>
        <w:rPr/>
      </w:pPr>
      <w:r>
        <w:rPr/>
      </w:r>
    </w:p>
    <w:p>
      <w:pPr>
        <w:pStyle w:val="TextBody"/>
        <w:bidi w:val="0"/>
        <w:jc w:val="left"/>
        <w:rPr/>
      </w:pPr>
      <w:bookmarkStart w:id="29" w:name="utl-ex31_2.htm"/>
      <w:bookmarkStart w:id="30" w:name="ksutlex31_2"/>
      <w:bookmarkEnd w:id="29"/>
      <w:bookmarkEnd w:id="30"/>
      <w:r>
        <w:rPr/>
        <w:t> </w:t>
      </w:r>
      <w:r>
        <w:br w:type="page"/>
      </w:r>
    </w:p>
    <w:p>
      <w:pPr>
        <w:pStyle w:val="TextBody"/>
        <w:bidi w:val="0"/>
        <w:jc w:val="right"/>
        <w:rPr>
          <w:rFonts w:ascii="Arial" w:hAnsi="Arial"/>
          <w:b/>
          <w:color w:val="000000"/>
          <w:sz w:val="22"/>
        </w:rPr>
      </w:pPr>
      <w:r>
        <w:rPr>
          <w:rFonts w:ascii="Arial" w:hAnsi="Arial"/>
          <w:b/>
          <w:color w:val="000000"/>
          <w:sz w:val="22"/>
        </w:rPr>
        <w:t>Exhibit 31.2</w:t>
      </w:r>
    </w:p>
    <w:p>
      <w:pPr>
        <w:pStyle w:val="TextBody"/>
        <w:bidi w:val="0"/>
        <w:jc w:val="right"/>
        <w:rPr/>
      </w:pPr>
      <w:r>
        <w:rPr/>
        <w:t> </w:t>
      </w:r>
    </w:p>
    <w:p>
      <w:pPr>
        <w:pStyle w:val="TextBody"/>
        <w:bidi w:val="0"/>
        <w:jc w:val="center"/>
        <w:rPr>
          <w:rFonts w:ascii="Arial" w:hAnsi="Arial"/>
          <w:b/>
          <w:color w:val="000000"/>
          <w:sz w:val="22"/>
        </w:rPr>
      </w:pPr>
      <w:r>
        <w:rPr>
          <w:rFonts w:ascii="Arial" w:hAnsi="Arial"/>
          <w:b/>
          <w:color w:val="000000"/>
          <w:sz w:val="22"/>
        </w:rPr>
        <w:t>CERTIFICATION UNDER SECTION 302 OF THE SARBANES-OXLEY ACT OF 2002</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I, Daniel J. Hurstak, certify that: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1)</w:t>
      </w:r>
    </w:p>
    <w:p>
      <w:pPr>
        <w:pStyle w:val="TextBody"/>
        <w:bidi w:val="0"/>
        <w:jc w:val="left"/>
        <w:rPr>
          <w:rFonts w:ascii="Arial" w:hAnsi="Arial"/>
          <w:color w:val="000000"/>
          <w:sz w:val="20"/>
        </w:rPr>
      </w:pPr>
      <w:r>
        <w:rPr>
          <w:rFonts w:ascii="Arial" w:hAnsi="Arial"/>
          <w:color w:val="000000"/>
          <w:sz w:val="20"/>
        </w:rPr>
        <w:t>I have reviewed this quarterly report on Form 10-Q of Unitil Corporation;</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4)</w:t>
      </w:r>
    </w:p>
    <w:p>
      <w:pPr>
        <w:pStyle w:val="TextBody"/>
        <w:bidi w:val="0"/>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b)</w:t>
      </w:r>
    </w:p>
    <w:p>
      <w:pPr>
        <w:pStyle w:val="TextBody"/>
        <w:bidi w:val="0"/>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d)</w:t>
      </w:r>
    </w:p>
    <w:p>
      <w:pPr>
        <w:pStyle w:val="TextBody"/>
        <w:bidi w:val="0"/>
        <w:jc w:val="left"/>
        <w:rPr>
          <w:rFonts w:ascii="Arial" w:hAnsi="Arial"/>
          <w:color w:val="000000"/>
          <w:sz w:val="20"/>
        </w:rPr>
      </w:pPr>
      <w:r>
        <w:rPr>
          <w:rFonts w:ascii="Arial" w:hAnsi="Arial"/>
          <w:color w:val="000000"/>
          <w:sz w:val="20"/>
        </w:rPr>
        <w:t xml:space="preserve">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 </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5)</w:t>
      </w:r>
    </w:p>
    <w:p>
      <w:pPr>
        <w:pStyle w:val="TextBody"/>
        <w:bidi w:val="0"/>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b)</w:t>
      </w:r>
    </w:p>
    <w:p>
      <w:pPr>
        <w:pStyle w:val="TextBody"/>
        <w:bidi w:val="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ind w:left="4320" w:right="0" w:hanging="0"/>
        <w:jc w:val="left"/>
        <w:rPr>
          <w:rFonts w:ascii="Arial" w:hAnsi="Arial"/>
          <w:color w:val="000000"/>
          <w:sz w:val="20"/>
        </w:rPr>
      </w:pPr>
      <w:r>
        <w:rPr>
          <w:rFonts w:ascii="Arial" w:hAnsi="Arial"/>
          <w:color w:val="000000"/>
          <w:sz w:val="20"/>
        </w:rPr>
        <w:t>Date: August 3, 2026</w:t>
      </w:r>
    </w:p>
    <w:p>
      <w:pPr>
        <w:pStyle w:val="TextBody"/>
        <w:bidi w:val="0"/>
        <w:ind w:left="4320" w:right="0" w:hanging="0"/>
        <w:jc w:val="left"/>
        <w:rPr/>
      </w:pPr>
      <w:r>
        <w:rPr/>
        <w:t> </w:t>
      </w:r>
    </w:p>
    <w:p>
      <w:pPr>
        <w:pStyle w:val="TextBody"/>
        <w:pBdr>
          <w:bottom w:val="single" w:sz="12" w:space="1" w:color="000000"/>
        </w:pBdr>
        <w:bidi w:val="0"/>
        <w:ind w:left="4320" w:right="0" w:hanging="0"/>
        <w:jc w:val="left"/>
        <w:rPr>
          <w:rFonts w:ascii="Arial" w:hAnsi="Arial"/>
          <w:color w:val="000000"/>
          <w:sz w:val="20"/>
        </w:rPr>
      </w:pPr>
      <w:r>
        <w:rPr>
          <w:rFonts w:ascii="Arial" w:hAnsi="Arial"/>
          <w:color w:val="000000"/>
          <w:sz w:val="20"/>
        </w:rPr>
        <w:t>/s/ Daniel J. Hurstak</w:t>
      </w:r>
    </w:p>
    <w:p>
      <w:pPr>
        <w:pStyle w:val="TextBody"/>
        <w:bidi w:val="0"/>
        <w:spacing w:before="60" w:after="283"/>
        <w:ind w:left="4320" w:right="0" w:hanging="0"/>
        <w:jc w:val="left"/>
        <w:rPr>
          <w:rFonts w:ascii="Arial" w:hAnsi="Arial"/>
          <w:color w:val="000000"/>
          <w:sz w:val="20"/>
        </w:rPr>
      </w:pPr>
      <w:r>
        <w:rPr>
          <w:rFonts w:ascii="Arial" w:hAnsi="Arial"/>
          <w:color w:val="000000"/>
          <w:sz w:val="20"/>
        </w:rPr>
        <w:t>Daniel J. Hurstak</w:t>
      </w:r>
    </w:p>
    <w:p>
      <w:pPr>
        <w:pStyle w:val="TextBody"/>
        <w:bidi w:val="0"/>
        <w:spacing w:before="60" w:after="283"/>
        <w:ind w:left="4320" w:right="0" w:hanging="0"/>
        <w:jc w:val="left"/>
        <w:rPr>
          <w:rFonts w:ascii="Arial" w:hAnsi="Arial"/>
          <w:color w:val="000000"/>
          <w:sz w:val="20"/>
        </w:rPr>
      </w:pPr>
      <w:r>
        <w:rPr>
          <w:rFonts w:ascii="Arial" w:hAnsi="Arial"/>
          <w:color w:val="000000"/>
          <w:sz w:val="20"/>
        </w:rPr>
        <w:t>Chief Financial Officer</w:t>
      </w:r>
    </w:p>
    <w:p>
      <w:pPr>
        <w:pStyle w:val="HorizontalLine"/>
        <w:pBdr>
          <w:bottom w:val="double" w:sz="2" w:space="0" w:color="808080"/>
        </w:pBdr>
        <w:bidi w:val="0"/>
        <w:spacing w:before="0" w:after="283"/>
        <w:jc w:val="left"/>
        <w:rPr/>
      </w:pPr>
      <w:r>
        <w:rPr/>
      </w:r>
    </w:p>
    <w:p>
      <w:pPr>
        <w:pStyle w:val="TextBody"/>
        <w:bidi w:val="0"/>
        <w:jc w:val="left"/>
        <w:rPr/>
      </w:pPr>
      <w:bookmarkStart w:id="31" w:name="utl-ex31_3.htm"/>
      <w:bookmarkStart w:id="32" w:name="ksutlex31_3"/>
      <w:bookmarkEnd w:id="31"/>
      <w:bookmarkEnd w:id="32"/>
      <w:r>
        <w:rPr/>
        <w:t> </w:t>
      </w:r>
      <w:r>
        <w:br w:type="page"/>
      </w:r>
    </w:p>
    <w:p>
      <w:pPr>
        <w:pStyle w:val="TextBody"/>
        <w:bidi w:val="0"/>
        <w:jc w:val="right"/>
        <w:rPr>
          <w:rFonts w:ascii="Arial" w:hAnsi="Arial"/>
          <w:b/>
          <w:color w:val="000000"/>
          <w:sz w:val="22"/>
        </w:rPr>
      </w:pPr>
      <w:r>
        <w:rPr>
          <w:rFonts w:ascii="Arial" w:hAnsi="Arial"/>
          <w:b/>
          <w:color w:val="000000"/>
          <w:sz w:val="22"/>
        </w:rPr>
        <w:t>Exhibit 31.3</w:t>
      </w:r>
    </w:p>
    <w:p>
      <w:pPr>
        <w:pStyle w:val="TextBody"/>
        <w:bidi w:val="0"/>
        <w:jc w:val="right"/>
        <w:rPr/>
      </w:pPr>
      <w:r>
        <w:rPr/>
        <w:t> </w:t>
      </w:r>
    </w:p>
    <w:p>
      <w:pPr>
        <w:pStyle w:val="TextBody"/>
        <w:bidi w:val="0"/>
        <w:jc w:val="center"/>
        <w:rPr>
          <w:rFonts w:ascii="Arial" w:hAnsi="Arial"/>
          <w:b/>
          <w:color w:val="000000"/>
          <w:sz w:val="22"/>
        </w:rPr>
      </w:pPr>
      <w:r>
        <w:rPr>
          <w:rFonts w:ascii="Arial" w:hAnsi="Arial"/>
          <w:b/>
          <w:color w:val="000000"/>
          <w:sz w:val="22"/>
        </w:rPr>
        <w:t>CERTIFICATION UNDER SECTION 302 OF THE SARBANES-OXLEY ACT OF 2002</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I, Todd R. Diggins, certify that: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1)</w:t>
      </w:r>
    </w:p>
    <w:p>
      <w:pPr>
        <w:pStyle w:val="TextBody"/>
        <w:bidi w:val="0"/>
        <w:jc w:val="left"/>
        <w:rPr>
          <w:rFonts w:ascii="Arial" w:hAnsi="Arial"/>
          <w:color w:val="000000"/>
          <w:sz w:val="20"/>
        </w:rPr>
      </w:pPr>
      <w:r>
        <w:rPr>
          <w:rFonts w:ascii="Arial" w:hAnsi="Arial"/>
          <w:color w:val="000000"/>
          <w:sz w:val="20"/>
        </w:rPr>
        <w:t>I have reviewed this quarterly report on Form 10-Q of Unitil Corporation;</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4)</w:t>
      </w:r>
    </w:p>
    <w:p>
      <w:pPr>
        <w:pStyle w:val="TextBody"/>
        <w:bidi w:val="0"/>
        <w:jc w:val="left"/>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b)</w:t>
      </w:r>
    </w:p>
    <w:p>
      <w:pPr>
        <w:pStyle w:val="TextBody"/>
        <w:bidi w:val="0"/>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d)</w:t>
      </w:r>
    </w:p>
    <w:p>
      <w:pPr>
        <w:pStyle w:val="TextBody"/>
        <w:bidi w:val="0"/>
        <w:jc w:val="left"/>
        <w:rPr>
          <w:rFonts w:ascii="Arial" w:hAnsi="Arial"/>
          <w:color w:val="000000"/>
          <w:sz w:val="20"/>
        </w:rPr>
      </w:pPr>
      <w:r>
        <w:rPr>
          <w:rFonts w:ascii="Arial" w:hAnsi="Arial"/>
          <w:color w:val="000000"/>
          <w:sz w:val="20"/>
        </w:rPr>
        <w:t xml:space="preserve">Disclosed in this report any changes in the registrant’s internal control over financial reporting that occurred during the registrant’s most recent fiscal quarter (the registrant’s fourth fiscal quarter in the case of an annual report) that has materially affected, or is reasonable likely to materially affect, the registrant’s internal controls over financial reporting; and </w:t>
      </w:r>
    </w:p>
    <w:p>
      <w:pPr>
        <w:pStyle w:val="TextBody"/>
        <w:bidi w:val="0"/>
        <w:jc w:val="left"/>
        <w:rPr/>
      </w:pPr>
      <w:r>
        <w:rPr/>
        <w:t> </w:t>
      </w:r>
    </w:p>
    <w:p>
      <w:pPr>
        <w:pStyle w:val="TextBody"/>
        <w:bidi w:val="0"/>
        <w:spacing w:before="0" w:after="0"/>
        <w:jc w:val="left"/>
        <w:rPr>
          <w:rFonts w:ascii="Arial" w:hAnsi="Arial"/>
          <w:color w:val="000000"/>
          <w:sz w:val="20"/>
          <w:u w:val="single"/>
        </w:rPr>
      </w:pPr>
      <w:r>
        <w:rPr>
          <w:rFonts w:ascii="Arial" w:hAnsi="Arial"/>
          <w:color w:val="000000"/>
          <w:sz w:val="20"/>
          <w:u w:val="single"/>
        </w:rPr>
        <w:t>5)</w:t>
      </w:r>
    </w:p>
    <w:p>
      <w:pPr>
        <w:pStyle w:val="TextBody"/>
        <w:bidi w:val="0"/>
        <w:jc w:val="left"/>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ind w:left="360" w:right="0" w:hanging="0"/>
        <w:jc w:val="left"/>
        <w:rPr>
          <w:rFonts w:ascii="Arial" w:hAnsi="Arial"/>
          <w:color w:val="000000"/>
          <w:sz w:val="20"/>
          <w:u w:val="single"/>
        </w:rPr>
      </w:pPr>
      <w:r>
        <w:rPr>
          <w:rFonts w:ascii="Arial" w:hAnsi="Arial"/>
          <w:color w:val="000000"/>
          <w:sz w:val="20"/>
          <w:u w:val="single"/>
        </w:rPr>
        <w:t>b)</w:t>
      </w:r>
    </w:p>
    <w:p>
      <w:pPr>
        <w:pStyle w:val="TextBody"/>
        <w:bidi w:val="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ind w:left="4320" w:right="0" w:hanging="0"/>
        <w:jc w:val="left"/>
        <w:rPr>
          <w:rFonts w:ascii="Arial" w:hAnsi="Arial"/>
          <w:color w:val="000000"/>
          <w:sz w:val="20"/>
        </w:rPr>
      </w:pPr>
      <w:r>
        <w:rPr>
          <w:rFonts w:ascii="Arial" w:hAnsi="Arial"/>
          <w:color w:val="000000"/>
          <w:sz w:val="20"/>
        </w:rPr>
        <w:t>Date: August 3, 2026</w:t>
      </w:r>
    </w:p>
    <w:p>
      <w:pPr>
        <w:pStyle w:val="TextBody"/>
        <w:bidi w:val="0"/>
        <w:ind w:left="4320" w:right="0" w:hanging="0"/>
        <w:jc w:val="left"/>
        <w:rPr/>
      </w:pPr>
      <w:r>
        <w:rPr/>
        <w:t> </w:t>
      </w:r>
    </w:p>
    <w:p>
      <w:pPr>
        <w:pStyle w:val="TextBody"/>
        <w:pBdr>
          <w:bottom w:val="single" w:sz="12" w:space="1" w:color="000000"/>
        </w:pBdr>
        <w:bidi w:val="0"/>
        <w:ind w:left="4320" w:right="0" w:hanging="0"/>
        <w:jc w:val="left"/>
        <w:rPr>
          <w:rFonts w:ascii="Arial" w:hAnsi="Arial"/>
          <w:color w:val="000000"/>
          <w:sz w:val="20"/>
        </w:rPr>
      </w:pPr>
      <w:r>
        <w:rPr>
          <w:rFonts w:ascii="Arial" w:hAnsi="Arial"/>
          <w:color w:val="000000"/>
          <w:sz w:val="20"/>
        </w:rPr>
        <w:t>/s/ Todd R. Diggins</w:t>
      </w:r>
    </w:p>
    <w:p>
      <w:pPr>
        <w:pStyle w:val="TextBody"/>
        <w:bidi w:val="0"/>
        <w:spacing w:before="60" w:after="283"/>
        <w:ind w:left="4320" w:right="0" w:hanging="0"/>
        <w:jc w:val="left"/>
        <w:rPr>
          <w:rFonts w:ascii="Arial" w:hAnsi="Arial"/>
          <w:color w:val="000000"/>
          <w:sz w:val="20"/>
        </w:rPr>
      </w:pPr>
      <w:r>
        <w:rPr>
          <w:rFonts w:ascii="Arial" w:hAnsi="Arial"/>
          <w:color w:val="000000"/>
          <w:sz w:val="20"/>
        </w:rPr>
        <w:t>Todd R. Diggins</w:t>
      </w:r>
    </w:p>
    <w:p>
      <w:pPr>
        <w:pStyle w:val="TextBody"/>
        <w:bidi w:val="0"/>
        <w:spacing w:before="60" w:after="283"/>
        <w:ind w:left="4320" w:right="0" w:hanging="0"/>
        <w:jc w:val="left"/>
        <w:rPr>
          <w:rFonts w:ascii="Arial" w:hAnsi="Arial"/>
          <w:color w:val="000000"/>
          <w:sz w:val="20"/>
        </w:rPr>
      </w:pPr>
      <w:r>
        <w:rPr>
          <w:rFonts w:ascii="Arial" w:hAnsi="Arial"/>
          <w:color w:val="000000"/>
          <w:sz w:val="20"/>
        </w:rPr>
        <w:t>Chief Accounting Officer</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33" w:name="utl-ex32_1.htm"/>
      <w:bookmarkStart w:id="34" w:name="ksutlex32_1"/>
      <w:bookmarkEnd w:id="33"/>
      <w:bookmarkEnd w:id="34"/>
      <w:r>
        <w:rPr>
          <w:rFonts w:ascii="Arial" w:hAnsi="Arial"/>
          <w:b/>
          <w:color w:val="000000"/>
          <w:sz w:val="22"/>
        </w:rPr>
        <w:t>Exhibit 32.1</w:t>
      </w:r>
      <w:r>
        <w:br w:type="page"/>
      </w:r>
    </w:p>
    <w:p>
      <w:pPr>
        <w:pStyle w:val="TextBody"/>
        <w:bidi w:val="0"/>
        <w:jc w:val="center"/>
        <w:rPr>
          <w:rFonts w:ascii="Arial" w:hAnsi="Arial"/>
          <w:b/>
          <w:color w:val="000000"/>
          <w:sz w:val="22"/>
        </w:rPr>
      </w:pPr>
      <w:r>
        <w:rPr>
          <w:rFonts w:ascii="Arial" w:hAnsi="Arial"/>
          <w:b/>
          <w:color w:val="000000"/>
          <w:sz w:val="22"/>
        </w:rPr>
        <w:t>CERTIFICATION PURSUANT TO</w:t>
        <w:br/>
        <w:t>18 U.S.C. SECTION 1350,</w:t>
        <w:br/>
        <w:t>AS ADOPTED PURSUANT TO</w:t>
        <w:br/>
        <w:t>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connection with the Quarterly Report of Unitil Corporation (the "Company") on Form 10-Q for the period ending June 30, 2026 as filed with the Securities and Exchange Commission on the date hereof (the "Report"), each of the undersigned Thomas P. Meissner, Jr., Chief Executive Officer, Daniel J. Hurstak, Chief Financial Officer and Todd R. Diggins, Chief Accounting Officer, certifies, to the best knowledge and belief of the signatory, pursuant to 18 U.S.C. section 1350, as adopted pursuant to section 906 of the Sarbanes-Oxley Act of 2002, that:</w:t>
      </w:r>
    </w:p>
    <w:p>
      <w:pPr>
        <w:pStyle w:val="TextBody"/>
        <w:bidi w:val="0"/>
        <w:jc w:val="left"/>
        <w:rPr/>
      </w:pPr>
      <w:r>
        <w:rPr/>
        <w:t> </w:t>
      </w:r>
    </w:p>
    <w:p>
      <w:pPr>
        <w:pStyle w:val="TextBody"/>
        <w:bidi w:val="0"/>
        <w:spacing w:before="0" w:after="0"/>
        <w:ind w:left="360" w:right="0" w:hanging="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jc w:val="left"/>
        <w:rPr/>
      </w:pPr>
      <w:r>
        <w:rPr/>
        <w:t> </w:t>
      </w:r>
    </w:p>
    <w:p>
      <w:pPr>
        <w:pStyle w:val="TextBody"/>
        <w:bidi w:val="0"/>
        <w:spacing w:before="0" w:after="0"/>
        <w:ind w:left="360" w:right="0" w:hanging="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6640" w:type="dxa"/>
        <w:jc w:val="left"/>
        <w:tblInd w:w="0" w:type="dxa"/>
        <w:tblLayout w:type="fixed"/>
        <w:tblCellMar>
          <w:top w:w="28" w:type="dxa"/>
          <w:left w:w="28" w:type="dxa"/>
          <w:bottom w:w="28" w:type="dxa"/>
          <w:right w:w="28" w:type="dxa"/>
        </w:tblCellMar>
      </w:tblPr>
      <w:tblGrid>
        <w:gridCol w:w="2641"/>
        <w:gridCol w:w="146"/>
        <w:gridCol w:w="2236"/>
        <w:gridCol w:w="146"/>
        <w:gridCol w:w="147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u w:val="single"/>
              </w:rPr>
            </w:pPr>
            <w:r>
              <w:rPr>
                <w:rFonts w:ascii="Arial" w:hAnsi="Arial"/>
                <w:color w:val="000000"/>
                <w:sz w:val="20"/>
                <w:u w:val="single"/>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u w:val="single"/>
              </w:rPr>
            </w:pPr>
            <w:r>
              <w:rPr>
                <w:rFonts w:ascii="Arial" w:hAnsi="Arial"/>
                <w:color w:val="000000"/>
                <w:sz w:val="20"/>
                <w:u w:val="single"/>
              </w:rPr>
              <w:t>Capacity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u w:val="single"/>
              </w:rPr>
            </w:pPr>
            <w:r>
              <w:rPr>
                <w:rFonts w:ascii="Arial" w:hAnsi="Arial"/>
                <w:color w:val="000000"/>
                <w:sz w:val="20"/>
                <w:u w:val="single"/>
              </w:rPr>
              <w:t>Date</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Thomas P. Meissner, Jr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Thomas P. Meissner,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Chief Executive Officer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3, 2026</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Daniel J. Hurstak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Daniel J. Hurstak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3, 2026</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Todd R. Diggins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Todd R. Diggins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3,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utl-ex99_1.htm"/>
      <w:bookmarkStart w:id="36" w:name="ksutlex99_1"/>
      <w:bookmarkEnd w:id="35"/>
      <w:bookmarkEnd w:id="36"/>
      <w:r>
        <w:rPr/>
        <w:drawing>
          <wp:inline distT="0" distB="0" distL="0" distR="0">
            <wp:extent cx="55245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5524500" cy="523875"/>
                    </a:xfrm>
                    <a:prstGeom prst="rect">
                      <a:avLst/>
                    </a:prstGeom>
                  </pic:spPr>
                </pic:pic>
              </a:graphicData>
            </a:graphic>
          </wp:inline>
        </w:drawing>
      </w:r>
      <w:r>
        <w:br w:type="page"/>
      </w:r>
    </w:p>
    <w:p>
      <w:pPr>
        <w:pStyle w:val="TextBody"/>
        <w:bidi w:val="0"/>
        <w:jc w:val="right"/>
        <w:rPr>
          <w:rFonts w:ascii="Times New Roman" w:hAnsi="Times New Roman"/>
          <w:sz w:val="20"/>
        </w:rPr>
      </w:pPr>
      <w:r>
        <w:rPr>
          <w:rFonts w:ascii="Times New Roman" w:hAnsi="Times New Roman"/>
          <w:color w:val="000000"/>
          <w:sz w:val="18"/>
        </w:rPr>
        <w:t>Page 1</w:t>
      </w:r>
      <w:r>
        <w:rPr>
          <w:rFonts w:ascii="Times New Roman" w:hAnsi="Times New Roman"/>
          <w:color w:val="000000"/>
          <w:sz w:val="20"/>
        </w:rPr>
        <w:t xml:space="preserve"> </w:t>
      </w:r>
      <w:r>
        <w:rPr>
          <w:rFonts w:ascii="Times New Roman" w:hAnsi="Times New Roman"/>
          <w:color w:val="000000"/>
          <w:sz w:val="18"/>
        </w:rPr>
        <w:t>of 7</w:t>
      </w:r>
    </w:p>
    <w:p>
      <w:pPr>
        <w:pStyle w:val="TextBody"/>
        <w:bidi w:val="0"/>
        <w:jc w:val="righ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99.1</w:t>
      </w:r>
    </w:p>
    <w:p>
      <w:pPr>
        <w:pStyle w:val="TextBody"/>
        <w:bidi w:val="0"/>
        <w:spacing w:before="200" w:after="100"/>
        <w:jc w:val="center"/>
        <w:rPr>
          <w:rFonts w:ascii="Times New Roman" w:hAnsi="Times New Roman"/>
          <w:b/>
          <w:color w:val="000000"/>
          <w:sz w:val="20"/>
        </w:rPr>
      </w:pPr>
      <w:r>
        <w:rPr>
          <w:rFonts w:ascii="Times New Roman" w:hAnsi="Times New Roman"/>
          <w:b/>
          <w:color w:val="000000"/>
          <w:sz w:val="20"/>
        </w:rPr>
        <w:t>Unitil Reports 2026 Second Quarter Earnings</w:t>
      </w:r>
    </w:p>
    <w:p>
      <w:pPr>
        <w:pStyle w:val="TextBody"/>
        <w:pBdr>
          <w:top w:val="single" w:sz="6" w:space="1" w:color="000000"/>
        </w:pBdr>
        <w:bidi w:val="0"/>
        <w:ind w:left="2160" w:right="2160" w:hanging="0"/>
        <w:jc w:val="left"/>
        <w:rPr/>
      </w:pPr>
      <w:r>
        <w:rPr/>
        <w:t> </w:t>
      </w:r>
    </w:p>
    <w:p>
      <w:pPr>
        <w:pStyle w:val="TextBody"/>
        <w:bidi w:val="0"/>
        <w:ind w:left="1440" w:right="1440" w:hanging="0"/>
        <w:jc w:val="center"/>
        <w:rPr>
          <w:rFonts w:ascii="Times New Roman" w:hAnsi="Times New Roman"/>
          <w:color w:val="000000"/>
          <w:sz w:val="20"/>
        </w:rPr>
      </w:pPr>
      <w:r>
        <w:rPr>
          <w:rFonts w:ascii="Times New Roman" w:hAnsi="Times New Roman"/>
          <w:color w:val="000000"/>
          <w:sz w:val="20"/>
        </w:rPr>
        <w:t>Successfully completed the purchase of Aquarion Water Company of New Hampshire, Inc. and Abenaki Water Co., Inc.</w:t>
      </w:r>
    </w:p>
    <w:p>
      <w:pPr>
        <w:pStyle w:val="TextBody"/>
        <w:bidi w:val="0"/>
        <w:spacing w:before="200" w:after="283"/>
        <w:jc w:val="left"/>
        <w:rPr>
          <w:rFonts w:ascii="Times New Roman" w:hAnsi="Times New Roman"/>
          <w:sz w:val="20"/>
        </w:rPr>
      </w:pPr>
      <w:r>
        <w:rPr>
          <w:rFonts w:ascii="Times New Roman" w:hAnsi="Times New Roman"/>
          <w:b/>
          <w:caps/>
          <w:color w:val="000000"/>
          <w:sz w:val="20"/>
        </w:rPr>
        <w:t>Hampton, N.H., AUGUST 3, 2026 --</w:t>
      </w:r>
      <w:r>
        <w:rPr>
          <w:rFonts w:ascii="Times New Roman" w:hAnsi="Times New Roman"/>
          <w:color w:val="000000"/>
          <w:sz w:val="20"/>
        </w:rPr>
        <w:t xml:space="preserve"> Unitil Corporation (NYSE: UTL) (</w:t>
      </w:r>
      <w:r>
        <w:rPr>
          <w:rFonts w:ascii="Times New Roman" w:hAnsi="Times New Roman"/>
          <w:sz w:val="20"/>
        </w:rPr>
        <w:t>unitil.com</w:t>
      </w:r>
      <w:r>
        <w:rPr>
          <w:rFonts w:ascii="Times New Roman" w:hAnsi="Times New Roman"/>
          <w:color w:val="0000FF"/>
          <w:sz w:val="20"/>
        </w:rPr>
        <w:t>)</w:t>
      </w:r>
      <w:r>
        <w:rPr>
          <w:rFonts w:ascii="Times New Roman" w:hAnsi="Times New Roman"/>
          <w:color w:val="000000"/>
          <w:sz w:val="20"/>
        </w:rPr>
        <w:t xml:space="preserve"> (Unitil or the Company) today announced Net Income of $4.7 million, or $0.26 in Earnings Per Share (EPS) for the second quarter of 2026, an increase of $0.7 million in Net Income, or $0.01 in EPS, compared to the second quarter of 2025. For the six months ended June 30, 2026, the Company reported Net Income of $37.9 million, or $2.11 in EPS, an increase of $6.4 million in Net Income, or $0.17 in EPS, when compared to the first six months of 2025. The Company's Adjusted Net Income (a non-GAAP financial measure</w:t>
      </w:r>
      <w:r>
        <w:rPr>
          <w:rFonts w:ascii="Times New Roman" w:hAnsi="Times New Roman"/>
          <w:color w:val="000000"/>
          <w:sz w:val="13"/>
        </w:rPr>
        <w:t>1</w:t>
      </w:r>
      <w:r>
        <w:rPr>
          <w:rFonts w:ascii="Times New Roman" w:hAnsi="Times New Roman"/>
          <w:color w:val="000000"/>
          <w:sz w:val="20"/>
        </w:rPr>
        <w:t>), which excluded transaction-related costs in connection with the acquisition of Bangor Natural Gas Company (Bangor), Maine Natural Gas Company (Maine Natural), Aquarion Water Company of New Hampshire, Inc., and Abenaki Water Co., Inc. (the Aquarion Companies), was $5.2 million, or $0.29 in EPS. Adjusted Net Income increased $0.5 million and was unchanged in EPS when compared to the second quarter of 2025. For the six months ended June 30, 2026, the Company's Adjusted Net Income, which excluded transaction-related costs in connection with the acquisition of Bangor, Maine Natural and the Aquarion Companies, was $39.0 million, or $2.17 in EPS, an increase of $5.9 million, or $0.14 in EPS compared to the first six months of 2025.</w:t>
      </w:r>
    </w:p>
    <w:p>
      <w:pPr>
        <w:pStyle w:val="TextBody"/>
        <w:bidi w:val="0"/>
        <w:spacing w:before="200" w:after="283"/>
        <w:jc w:val="left"/>
        <w:rPr>
          <w:color w:val="000000"/>
        </w:rPr>
      </w:pPr>
      <w:r>
        <w:rPr>
          <w:color w:val="000000"/>
        </w:rPr>
        <w:t>“</w:t>
      </w:r>
      <w:r>
        <w:rPr>
          <w:rFonts w:ascii="Times New Roman" w:hAnsi="Times New Roman"/>
          <w:color w:val="000000"/>
          <w:sz w:val="20"/>
        </w:rPr>
        <w:t>The Company’s solid results through the first six months of 2026 reflect the disciplined execution of our operating and strategic priorities, and our longstanding commitment to delivering safe, reliable, and affordable service to our customers,” said Thomas P. Meissner, Jr., Unitil’s Chairman and Chief Executive Officer. “The addition of the Aquarion New Hampshire water companies marks another important milestone, strengthening our regulated utility portfolio and expanding our ability to serve customers across the region. As we continue to grow, we remain focused on strategic execution and delivering exceptional value to our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Electric GAAP Gross Margin was $23.0 million in the three months ended June 30, 2026, an increase of $5.0 million compared to the same period in 2025. Electric GAAP Gross Margin was $44.3 million in the six months ended June 30, 2026, an increase of $6.7 million compared to the same period in 2025. The three-month period increase was driven by higher rates and customer growth of $5.8 million, partially offset by higher depreciation and amortization expense of $0.8 million. The six-month period increase was driven by higher rates of $8.6 </w:t>
      </w:r>
    </w:p>
    <w:p>
      <w:pPr>
        <w:pStyle w:val="TextBody"/>
        <w:pBdr>
          <w:bottom w:val="single" w:sz="6" w:space="1" w:color="000000"/>
        </w:pBdr>
        <w:bidi w:val="0"/>
        <w:ind w:left="0" w:right="7920" w:hanging="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6"/>
        </w:rPr>
        <w:t>The accompanying Supplemental Information more fully describes the non-GAAP financial measures used in this press release and includes a reconciliation of the non-GAAP financial measures to the financial measures that the Company’s management believes are the most comparable GAAP financial measures. The Supplemental Information also includes a discussion of the changes in the most comparable GAAP financial measures for the periods presented.</w:t>
      </w:r>
    </w:p>
    <w:p>
      <w:pPr>
        <w:pStyle w:val="TextBody"/>
        <w:pBdr>
          <w:bottom w:val="single" w:sz="6" w:space="1" w:color="000000"/>
        </w:pBdr>
        <w:bidi w:val="0"/>
        <w:jc w:val="right"/>
        <w:rPr/>
      </w:pPr>
      <w:r>
        <w:rPr/>
        <w:t> </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p>
    <w:p>
      <w:pPr>
        <w:pStyle w:val="TextBody"/>
        <w:bidi w:val="0"/>
        <w:jc w:val="right"/>
        <w:rPr>
          <w:rFonts w:ascii="Times New Roman" w:hAnsi="Times New Roman"/>
          <w:sz w:val="20"/>
        </w:rPr>
      </w:pPr>
      <w:r>
        <w:rPr>
          <w:rFonts w:ascii="Times New Roman" w:hAnsi="Times New Roman"/>
          <w:color w:val="E17522"/>
          <w:sz w:val="18"/>
        </w:rPr>
        <w:t>unitil.com</w:t>
      </w:r>
      <w:r>
        <w:rPr>
          <w:rFonts w:ascii="Times New Roman" w:hAnsi="Times New Roman"/>
          <w:color w:val="636463"/>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18"/>
        </w:rPr>
        <w:t>Page 2</w:t>
      </w:r>
      <w:r>
        <w:rPr>
          <w:rFonts w:ascii="Times New Roman" w:hAnsi="Times New Roman"/>
          <w:color w:val="000000"/>
          <w:sz w:val="20"/>
        </w:rPr>
        <w:t xml:space="preserve"> </w:t>
      </w:r>
      <w:r>
        <w:rPr>
          <w:rFonts w:ascii="Times New Roman" w:hAnsi="Times New Roman"/>
          <w:color w:val="000000"/>
          <w:sz w:val="18"/>
        </w:rPr>
        <w:t>of 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million, partially offset by higher depreciation and amortization expense of $1.2 million and a one-time reduction of FERC transmission revenue of $0.7 million.</w:t>
      </w:r>
    </w:p>
    <w:p>
      <w:pPr>
        <w:pStyle w:val="TextBody"/>
        <w:bidi w:val="0"/>
        <w:spacing w:before="200" w:after="283"/>
        <w:jc w:val="left"/>
        <w:rPr>
          <w:rFonts w:ascii="Times New Roman" w:hAnsi="Times New Roman"/>
          <w:sz w:val="20"/>
        </w:rPr>
      </w:pPr>
      <w:r>
        <w:rPr>
          <w:rFonts w:ascii="Times New Roman" w:hAnsi="Times New Roman"/>
          <w:color w:val="000000"/>
          <w:sz w:val="20"/>
        </w:rPr>
        <w:t>Electric Adjusted Gross Margin (a non-GAAP financial measure</w:t>
      </w:r>
      <w:r>
        <w:rPr>
          <w:rFonts w:ascii="Times New Roman" w:hAnsi="Times New Roman"/>
          <w:color w:val="000000"/>
          <w:sz w:val="13"/>
        </w:rPr>
        <w:t>1</w:t>
      </w:r>
      <w:r>
        <w:rPr>
          <w:rFonts w:ascii="Times New Roman" w:hAnsi="Times New Roman"/>
          <w:color w:val="000000"/>
          <w:sz w:val="20"/>
        </w:rPr>
        <w:t>) was $31.6 million and $61.2 million in the three and six months ended June 30, 2026, respectively, increases of $5.8 million and $7.9 million, respectively, compared to the same periods in 2025. The increase in the three-month period reflects higher rates and customer growth of $5.8 million. The increase in the six-month period reflects higher rates of $8.6 million, partially offset by a one-time reduction of FERC transmission revenue of $0.7 million.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Gas GAAP Gross Margin was $25.0 million in the three months ended June 30, 2026, an increase of $1.8 million compared to the same period in 2025. Gas GAAP Gross Margin was $92.1 million in the six months ended June 30, 2026, an increase of $11.8 million compared to the same period in 2025. The increase in the three-month period was driven by higher rates and customer growth of $3.4 million, partially offset by higher depreciation and amortization of $1.6 million. The increase in the six-month period was driven by higher rates and customer growth of $13.2 million, the favorable effects of colder winter weather in 2026 of $1.4 million, partially offset by higher depreciation and amortization of $2.8 million. Included in gas operating revenue, cost of gas sales and depreciation and amortization for the three months ended June 30, 2026 was $4.2 million, $1.5 million and $0.8 million, respectively, related to Maine Natural. Included in gas operating revenue, cost of gas sales and depreciation and amortization for the six months ended June 30, 2026 was $22.5 million, $13.8 million and $1.5 million, respectively related to Maine Natural.</w:t>
      </w:r>
    </w:p>
    <w:p>
      <w:pPr>
        <w:pStyle w:val="TextBody"/>
        <w:bidi w:val="0"/>
        <w:spacing w:before="200" w:after="283"/>
        <w:jc w:val="left"/>
        <w:rPr>
          <w:rFonts w:ascii="Times New Roman" w:hAnsi="Times New Roman"/>
          <w:sz w:val="20"/>
        </w:rPr>
      </w:pPr>
      <w:r>
        <w:rPr>
          <w:rFonts w:ascii="Times New Roman" w:hAnsi="Times New Roman"/>
          <w:color w:val="000000"/>
          <w:sz w:val="20"/>
        </w:rPr>
        <w:t>Gas Adjusted Gross Margin (a non-GAAP financial measure</w:t>
      </w:r>
      <w:r>
        <w:rPr>
          <w:rFonts w:ascii="Times New Roman" w:hAnsi="Times New Roman"/>
          <w:color w:val="000000"/>
          <w:sz w:val="13"/>
        </w:rPr>
        <w:t>1</w:t>
      </w:r>
      <w:r>
        <w:rPr>
          <w:rFonts w:ascii="Times New Roman" w:hAnsi="Times New Roman"/>
          <w:color w:val="000000"/>
          <w:sz w:val="20"/>
        </w:rPr>
        <w:t>) was $40.6 million and $122.7 million in the three and six months ended June 30, 2026, respectively, increases of $3.4 million and $14.6 million, respectively, compared to the same periods in 2025. The increase in the three-month period reflects higher rates and customer growth of $3.4 million. The increase in the six-month period was driven by higher rates and customer growth of $13.2 million and the favorable effects of colder winter weather in 2026 of $1.4 million. Included in the Gas Adjusted Gross Margin for the three and six months ended June 30, 2026 was $2.7 million and $8.7 million, respectively, related to Maine Natural.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Operation and Maintenance expenses increased $2.5 million and $3.3 million in the three and six months ended June 30, 2026, respectively, compared to the same periods in 2025. The increase in the three-month period reflects higher utility operating costs of $1.6 million, and higher labor and other costs of $1.4 million, partially offset by lower acquisition costs of $0.5 million. The increase in the six-month period reflects higher utility operating costs of $2.6 million, and higher labor and other costs of $1.5 million, partially offset by lower acquisition costs of $0.8 million. Included in O&amp;M expenses for the three and six months ended June 30, 2026 were $1.4 million and $2.7 million, respectively, related to Maine Natural. Excluding O&amp;M expenses for Maine </w:t>
      </w:r>
    </w:p>
    <w:p>
      <w:pPr>
        <w:pStyle w:val="TextBody"/>
        <w:pBdr>
          <w:bottom w:val="single" w:sz="6" w:space="1" w:color="000000"/>
        </w:pBdr>
        <w:bidi w:val="0"/>
        <w:jc w:val="right"/>
        <w:rPr/>
      </w:pPr>
      <w:r>
        <w:rPr/>
        <w:t> </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p>
    <w:p>
      <w:pPr>
        <w:pStyle w:val="TextBody"/>
        <w:bidi w:val="0"/>
        <w:jc w:val="right"/>
        <w:rPr>
          <w:rFonts w:ascii="Times New Roman" w:hAnsi="Times New Roman"/>
          <w:sz w:val="20"/>
        </w:rPr>
      </w:pPr>
      <w:r>
        <w:rPr>
          <w:rFonts w:ascii="Times New Roman" w:hAnsi="Times New Roman"/>
          <w:color w:val="E17522"/>
          <w:sz w:val="18"/>
        </w:rPr>
        <w:t>unitil.com</w:t>
      </w:r>
      <w:r>
        <w:rPr>
          <w:rFonts w:ascii="Times New Roman" w:hAnsi="Times New Roman"/>
          <w:color w:val="636463"/>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18"/>
        </w:rPr>
        <w:t>Page 3</w:t>
      </w:r>
      <w:r>
        <w:rPr>
          <w:rFonts w:ascii="Times New Roman" w:hAnsi="Times New Roman"/>
          <w:color w:val="000000"/>
          <w:sz w:val="20"/>
        </w:rPr>
        <w:t xml:space="preserve"> </w:t>
      </w:r>
      <w:r>
        <w:rPr>
          <w:rFonts w:ascii="Times New Roman" w:hAnsi="Times New Roman"/>
          <w:color w:val="000000"/>
          <w:sz w:val="18"/>
        </w:rPr>
        <w:t>of 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Natural and transaction costs, O&amp;M expenses for legacy operations would have increased by $1.6 million and $1.4 million for the three and six months ended June 30, 2026,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and Amortization expense increased $2.4 million and $4.0 million in the three and six months ended June 30, 2026, respectively, compared to the same periods in 2025. The increase in the three-month period reflects higher levels of utility plant in service, and higher amortization of recoverable storm costs and other deferred costs. The increase in the six-month period reflects higher levels of utility plant in service and higher amortization of recoverable storm costs, partially offset by lower amortization of other deferred costs. Included in Depreciation and Amortization for the three and six months ended June 30, 2026 was $0.8 million and $1.5 million, respectively, related to Maine Natural.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Taxes Other Than Income Taxes increased $2.2 million and $3.4 million in the three and six months ended June 30, 2026, respectively, compared to the same periods in 2025. These increases reflect higher local property taxes on higher utility plant in service and higher payroll taxes. Included in Taxes Other Than Income Taxes for the three and six months ended June 30, 2026 were $0.4 million and $0.8 million, respectively, related to Maine Natural.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Expense (Income), Net decreased $0.1 million and $0.2 million in the three and six months ended June 30, 2026, respectively, compared to the same periods in 2025, primarily from lower retirement benefit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Expense, Net increased $1.1 million and $2.8 million in the three and six months ended June 30, 2026, respectively, compared to the same periods in 2025, primarily reflecting higher levels of short-term borrowings and long-term debt, partially offset by lower interest expense on regulatory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Provision for Income Taxes increased $0.4 million and $2.8 million in the three and six months ended June 30, 2026, respectively, compared with the same periods in 2025, reflecting higher pre-tax earnings in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its January 2026, April 2026 and July 2026 meetings, the Unitil Corporation Board of Directors declared quarterly dividends on the Company’s common stock of $0.475 per share. These quarterly dividends result in a current effective annualized dividend rate of $1.90 per share, representing an unbroken record of quarterly dividend payments since trading began in Unitil’s common stock.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earnings are seasonal and are typically higher in the first and fourth quarters when customers use natural gas for heating purposes.</w:t>
      </w:r>
    </w:p>
    <w:p>
      <w:pPr>
        <w:pStyle w:val="TextBody"/>
        <w:pBdr>
          <w:bottom w:val="single" w:sz="6" w:space="1" w:color="000000"/>
        </w:pBdr>
        <w:bidi w:val="0"/>
        <w:jc w:val="right"/>
        <w:rPr/>
      </w:pPr>
      <w:r>
        <w:rPr/>
        <w:t> </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p>
    <w:p>
      <w:pPr>
        <w:pStyle w:val="TextBody"/>
        <w:bidi w:val="0"/>
        <w:jc w:val="right"/>
        <w:rPr>
          <w:rFonts w:ascii="Times New Roman" w:hAnsi="Times New Roman"/>
          <w:sz w:val="20"/>
        </w:rPr>
      </w:pPr>
      <w:r>
        <w:rPr>
          <w:rFonts w:ascii="Times New Roman" w:hAnsi="Times New Roman"/>
          <w:color w:val="E17522"/>
          <w:sz w:val="18"/>
        </w:rPr>
        <w:t>unitil.com</w:t>
      </w:r>
      <w:r>
        <w:rPr>
          <w:rFonts w:ascii="Times New Roman" w:hAnsi="Times New Roman"/>
          <w:color w:val="636463"/>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18"/>
        </w:rPr>
        <w:t>Page 4</w:t>
      </w:r>
      <w:r>
        <w:rPr>
          <w:rFonts w:ascii="Times New Roman" w:hAnsi="Times New Roman"/>
          <w:color w:val="000000"/>
          <w:sz w:val="20"/>
        </w:rPr>
        <w:t xml:space="preserve"> </w:t>
      </w:r>
      <w:r>
        <w:rPr>
          <w:rFonts w:ascii="Times New Roman" w:hAnsi="Times New Roman"/>
          <w:color w:val="000000"/>
          <w:sz w:val="18"/>
        </w:rPr>
        <w:t>of 7</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will hold a quarterly conference call to discuss second quarter 2026 results on Tuesday, August 4, 2026, at 2:00 p.m. Eastern Time. This call is being webcast. This call, financial and other statistical information contained in the Company’s presentation on this call, and information required by Regulation G regarding non-GAAP financial measures can be accessed in the Investor Relations section of Unitil’s website, </w:t>
      </w:r>
      <w:r>
        <w:rPr>
          <w:rFonts w:ascii="Times New Roman" w:hAnsi="Times New Roman"/>
          <w:sz w:val="20"/>
        </w:rPr>
        <w:t>unitil.com</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About Unitil Corporation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Unitil Corporation provides energy for life by safely and reliably delivering electricity, natural gas, and water in New England. We are committed to the communities we serve and to developing people, business practices, and technologies that lead to the dependable, efficient delivery of energy and water. Unitil Corporation is a public utility holding company with operations in New Hampshire, Maine, and Massachusetts. Unitil’s operating utilities serve approximately 110,100 electric customers, 105,000 natural gas customers, and 10,700 water customers. For more information about our people, technologies, and community involvement, please visit </w:t>
      </w:r>
      <w:r>
        <w:rPr>
          <w:rFonts w:ascii="Times New Roman" w:hAnsi="Times New Roman"/>
          <w:sz w:val="20"/>
        </w:rPr>
        <w:t>unitil.com</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press release may contain forward-looking statements. All statements, other than statements of historical fact, included in this press release are forward-looking statements. Forward-looking statements include declarations regarding Unitil’s beliefs and current expectations. These forward-looking statements are subject to the inherent risks and uncertainties in predicting future results and conditions that could cause the actual results to differ materially from those projected in these forward-looking statements. Some, but not all, of the risks and uncertainties include the following: hazards and operating risks relating to the Company’s electric, natural gas and water distribution activities; fluctuations in the supply of, the demand for, and the prices of, energy commodities and transmission and transportation capacity and Unitil’s ability to recover energy commodity costs in its rates; catastrophic events; cyber-attacks, acts of terrorism, acts of war, severe weather, a solar event, an electromagnetic event, a natural disaster, the age and condition of information technology assets, human error, or other factors could disrupt the Company’s operations; outsourcing of services to third parties could expose the Company to substandard quality of service delivery or substandard deliverables; unforeseen or changing circumstances, which could adversely affect the reduction of company-wide direct greenhouse gas emissions; Unitil’s regulatory environment (including regulations relating to climate change, water quality, greenhouse gas emissions, environmental matters, and infrastructure requirements); general economic conditions; the Company’s ability to obtain debt or equity financing on acceptable terms; increases in interest rates; the Company's payment of dividends in the future; declines in capital market valuations; the Company's ability to consummate acquisitions or other strategic transactions; ability to integrate the Aquarion Companies and achieve expected synergies and cost savings; impairment of the Company's assets; restrictive covenants contained in the terms of the Company’s and its subsidiaries’ indebtedness; customers’ preferred energy sources; severe storms and Unitil’s ability to recover storm costs in its rates; variations in weather; long-term global climate change; water quality and contamination risks, including liability for contaminants such as PFAS and compliance with water quality standards; the availability and cost of water supply, including risks related to drought, aquifer conditions, and water rights; the age and condition of water infrastructure and the cost of necessary repairs, replacements, and capital improvements; customer rate sensitivity and regulatory limitations on rate recovery; macroeconomic events, including the imposition of tariffs; employee workforce factors, including the ability to attract and retain key personnel; Unitil’s ability to retain its existing customers and attract new customers; increased competition; and other presently unknown or unforeseen factors. Other risks are detailed in Unitil's filings with the Securities and Exchange Commission. These forward-looking statements speak only as of the date they are made. Unitil undertakes no obligation, and does not intend, to update these forward-looking statements except as required by law.</w:t>
      </w:r>
    </w:p>
    <w:p>
      <w:pPr>
        <w:pStyle w:val="TextBody"/>
        <w:bidi w:val="0"/>
        <w:jc w:val="left"/>
        <w:rPr/>
      </w:pPr>
      <w:r>
        <w:rPr/>
        <w:t> </w:t>
      </w:r>
    </w:p>
    <w:p>
      <w:pPr>
        <w:pStyle w:val="TextBody"/>
        <w:pBdr>
          <w:bottom w:val="single" w:sz="6" w:space="1" w:color="000000"/>
        </w:pBdr>
        <w:bidi w:val="0"/>
        <w:jc w:val="right"/>
        <w:rPr/>
      </w:pPr>
      <w:r>
        <w:rPr/>
        <w:t> </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p>
    <w:p>
      <w:pPr>
        <w:pStyle w:val="TextBody"/>
        <w:bidi w:val="0"/>
        <w:jc w:val="right"/>
        <w:rPr>
          <w:rFonts w:ascii="Times New Roman" w:hAnsi="Times New Roman"/>
          <w:sz w:val="20"/>
        </w:rPr>
      </w:pPr>
      <w:r>
        <w:rPr>
          <w:rFonts w:ascii="Times New Roman" w:hAnsi="Times New Roman"/>
          <w:color w:val="E17522"/>
          <w:sz w:val="18"/>
        </w:rPr>
        <w:t>unitil.com</w:t>
      </w:r>
      <w:r>
        <w:rPr>
          <w:rFonts w:ascii="Times New Roman" w:hAnsi="Times New Roman"/>
          <w:color w:val="636463"/>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18"/>
        </w:rPr>
        <w:t>Page 5</w:t>
      </w:r>
      <w:r>
        <w:rPr>
          <w:rFonts w:ascii="Times New Roman" w:hAnsi="Times New Roman"/>
          <w:color w:val="000000"/>
          <w:sz w:val="20"/>
        </w:rPr>
        <w:t xml:space="preserve"> </w:t>
      </w:r>
      <w:r>
        <w:rPr>
          <w:rFonts w:ascii="Times New Roman" w:hAnsi="Times New Roman"/>
          <w:color w:val="000000"/>
          <w:sz w:val="18"/>
        </w:rPr>
        <w:t>of 7</w:t>
      </w:r>
    </w:p>
    <w:p>
      <w:pPr>
        <w:pStyle w:val="TextBody"/>
        <w:bidi w:val="0"/>
        <w:jc w:val="left"/>
        <w:rPr>
          <w:rFonts w:ascii="Times New Roman" w:hAnsi="Times New Roman"/>
          <w:b/>
          <w:color w:val="000000"/>
          <w:sz w:val="20"/>
        </w:rPr>
      </w:pPr>
      <w:r>
        <w:rPr>
          <w:rFonts w:ascii="Times New Roman" w:hAnsi="Times New Roman"/>
          <w:b/>
          <w:color w:val="000000"/>
          <w:sz w:val="20"/>
        </w:rPr>
        <w:t xml:space="preserve">For more information please contact: </w:t>
      </w:r>
    </w:p>
    <w:p>
      <w:pPr>
        <w:pStyle w:val="TextBody"/>
        <w:bidi w:val="0"/>
        <w:jc w:val="left"/>
        <w:rPr/>
      </w:pPr>
      <w:r>
        <w:rPr/>
        <w:t> </w:t>
      </w:r>
    </w:p>
    <w:tbl>
      <w:tblPr>
        <w:tblW w:w="6913" w:type="dxa"/>
        <w:jc w:val="left"/>
        <w:tblInd w:w="0" w:type="dxa"/>
        <w:tblLayout w:type="fixed"/>
        <w:tblCellMar>
          <w:top w:w="28" w:type="dxa"/>
          <w:left w:w="28" w:type="dxa"/>
          <w:bottom w:w="28" w:type="dxa"/>
          <w:right w:w="28" w:type="dxa"/>
        </w:tblCellMar>
      </w:tblPr>
      <w:tblGrid>
        <w:gridCol w:w="3586"/>
        <w:gridCol w:w="146"/>
        <w:gridCol w:w="318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Goulding – Investor Relations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Amanda Vicinanzo – External Affairs</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Phone: 603-773-6466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Phone: 603-691-7784</w:t>
            </w:r>
          </w:p>
        </w:tc>
      </w:tr>
      <w:tr>
        <w:trPr/>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Email: </w:t>
            </w:r>
            <w:r>
              <w:rPr>
                <w:rFonts w:ascii="Times New Roman" w:hAnsi="Times New Roman"/>
                <w:sz w:val="20"/>
              </w:rPr>
              <w:t>gouldingc@unitil.com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Email: </w:t>
            </w:r>
            <w:r>
              <w:rPr>
                <w:rFonts w:ascii="Times New Roman" w:hAnsi="Times New Roman"/>
                <w:sz w:val="20"/>
              </w:rPr>
              <w:t>vicinanzoa@unitil.com</w:t>
            </w:r>
          </w:p>
        </w:tc>
      </w:tr>
    </w:tbl>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Supplemental Information; Non-GAAP Financial Measures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earnings discussion includes Adjusted Net Income, a non-GAAP financial measure referencing the Company’s 2026 and 2025 GAAP Net Income adjusted for certain transaction costs related to the Company's acquisitions of Bangor, Maine Natural and the Aquarion Companies. The Company's management believes that the transaction costs related to the acquisitions of Bangor, Maine Natural and the Aquarion Companies, which are included in Operation and Maintenance expense on the Consolidated Statements of Earnings, are not indicative of the Company's ongoing costs and not directly related to the ongoing operations of the business and therefore are not an indicator of baseline operating performance.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following tables the Company has reconciled Adjusted Net Income to GAAP Net Income, which we believe to be the most comparable GAAP financial measure. </w:t>
      </w:r>
    </w:p>
    <w:p>
      <w:pPr>
        <w:pStyle w:val="TextBody"/>
        <w:bidi w:val="0"/>
        <w:jc w:val="left"/>
        <w:rPr/>
      </w:pPr>
      <w:r>
        <w:rPr/>
        <w:t> </w:t>
      </w:r>
    </w:p>
    <w:tbl>
      <w:tblPr>
        <w:tblW w:w="8426" w:type="dxa"/>
        <w:jc w:val="left"/>
        <w:tblInd w:w="0" w:type="dxa"/>
        <w:tblLayout w:type="fixed"/>
        <w:tblCellMar>
          <w:top w:w="28" w:type="dxa"/>
          <w:left w:w="28" w:type="dxa"/>
          <w:bottom w:w="28" w:type="dxa"/>
          <w:right w:w="28" w:type="dxa"/>
        </w:tblCellMar>
      </w:tblPr>
      <w:tblGrid>
        <w:gridCol w:w="2461"/>
        <w:gridCol w:w="146"/>
        <w:gridCol w:w="342"/>
        <w:gridCol w:w="756"/>
        <w:gridCol w:w="236"/>
        <w:gridCol w:w="236"/>
        <w:gridCol w:w="342"/>
        <w:gridCol w:w="756"/>
        <w:gridCol w:w="146"/>
        <w:gridCol w:w="146"/>
        <w:gridCol w:w="342"/>
        <w:gridCol w:w="756"/>
        <w:gridCol w:w="236"/>
        <w:gridCol w:w="236"/>
        <w:gridCol w:w="342"/>
        <w:gridCol w:w="75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analyzes operating results using Electric and Gas Adjusted Gross Margins, which are non-GAAP financial measures. Electric Adjusted Gross Margin is calculated as Total Electric Operating Revenue less Cost of Electric Sales. Gas Adjusted Gross Margin is calculated as Total Gas Operating Revenues less Cost of Gas Sales. The Company’s management believes Electric and Gas Adjusted Gross Margins provide useful information to investors regarding profitability. Also, the Company’s management believes Electric and Gas Adjusted Gross Margins are important financial measures to analyze revenue from the Company’s ongoing operations because the approved cost of electric and gas sales are tracked, reconciled and passed through directly to customers in electric and gas tariff rates, resulting in an equal and offsetting amount reflected in Total Electric and Gas Operating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the following tables the Company has reconciled Electric and Gas Adjusted Gross Margin to GAAP Gross Margin, which we believe to be the most comparable GAAP financial measure. GAAP Gross Margin is calculated as Revenue less Cost of Sales and Depreciation and Amortization. The Company calculates Electric and Gas Adjusted Gross Margin as Revenue less Cost of Sales. The Company believes excluding Depreciation </w:t>
      </w:r>
    </w:p>
    <w:p>
      <w:pPr>
        <w:pStyle w:val="TextBody"/>
        <w:pBdr>
          <w:bottom w:val="single" w:sz="6" w:space="1" w:color="000000"/>
        </w:pBdr>
        <w:bidi w:val="0"/>
        <w:jc w:val="right"/>
        <w:rPr/>
      </w:pPr>
      <w:r>
        <w:rPr/>
        <w:t> </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p>
    <w:p>
      <w:pPr>
        <w:pStyle w:val="TextBody"/>
        <w:bidi w:val="0"/>
        <w:jc w:val="right"/>
        <w:rPr>
          <w:rFonts w:ascii="Times New Roman" w:hAnsi="Times New Roman"/>
          <w:sz w:val="20"/>
        </w:rPr>
      </w:pPr>
      <w:r>
        <w:rPr>
          <w:rFonts w:ascii="Times New Roman" w:hAnsi="Times New Roman"/>
          <w:color w:val="E17522"/>
          <w:sz w:val="18"/>
        </w:rPr>
        <w:t>unitil.com</w:t>
      </w:r>
      <w:r>
        <w:rPr>
          <w:rFonts w:ascii="Times New Roman" w:hAnsi="Times New Roman"/>
          <w:color w:val="636463"/>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18"/>
        </w:rPr>
        <w:t>Page 6</w:t>
      </w:r>
      <w:r>
        <w:rPr>
          <w:rFonts w:ascii="Times New Roman" w:hAnsi="Times New Roman"/>
          <w:color w:val="000000"/>
          <w:sz w:val="20"/>
        </w:rPr>
        <w:t xml:space="preserve"> </w:t>
      </w:r>
      <w:r>
        <w:rPr>
          <w:rFonts w:ascii="Times New Roman" w:hAnsi="Times New Roman"/>
          <w:color w:val="000000"/>
          <w:sz w:val="18"/>
        </w:rPr>
        <w:t>of 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Amortization, which are period costs and not related to volumetric sales, is a meaningful measure to inform investors of the Company’s profitability from electric and gas sales in the period.</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106"/>
        <w:gridCol w:w="146"/>
        <w:gridCol w:w="211"/>
        <w:gridCol w:w="526"/>
        <w:gridCol w:w="166"/>
        <w:gridCol w:w="146"/>
        <w:gridCol w:w="211"/>
        <w:gridCol w:w="526"/>
        <w:gridCol w:w="166"/>
        <w:gridCol w:w="146"/>
        <w:gridCol w:w="211"/>
        <w:gridCol w:w="571"/>
        <w:gridCol w:w="4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3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106"/>
        <w:gridCol w:w="146"/>
        <w:gridCol w:w="211"/>
        <w:gridCol w:w="526"/>
        <w:gridCol w:w="166"/>
        <w:gridCol w:w="146"/>
        <w:gridCol w:w="211"/>
        <w:gridCol w:w="526"/>
        <w:gridCol w:w="166"/>
        <w:gridCol w:w="146"/>
        <w:gridCol w:w="211"/>
        <w:gridCol w:w="571"/>
        <w:gridCol w:w="4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3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93" w:type="dxa"/>
        <w:jc w:val="left"/>
        <w:tblInd w:w="0" w:type="dxa"/>
        <w:tblLayout w:type="fixed"/>
        <w:tblCellMar>
          <w:top w:w="28" w:type="dxa"/>
          <w:left w:w="28" w:type="dxa"/>
          <w:bottom w:w="28" w:type="dxa"/>
          <w:right w:w="28" w:type="dxa"/>
        </w:tblCellMar>
      </w:tblPr>
      <w:tblGrid>
        <w:gridCol w:w="3106"/>
        <w:gridCol w:w="146"/>
        <w:gridCol w:w="211"/>
        <w:gridCol w:w="571"/>
        <w:gridCol w:w="166"/>
        <w:gridCol w:w="146"/>
        <w:gridCol w:w="211"/>
        <w:gridCol w:w="571"/>
        <w:gridCol w:w="166"/>
        <w:gridCol w:w="146"/>
        <w:gridCol w:w="211"/>
        <w:gridCol w:w="631"/>
        <w:gridCol w:w="4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93" w:type="dxa"/>
        <w:jc w:val="left"/>
        <w:tblInd w:w="0" w:type="dxa"/>
        <w:tblLayout w:type="fixed"/>
        <w:tblCellMar>
          <w:top w:w="28" w:type="dxa"/>
          <w:left w:w="28" w:type="dxa"/>
          <w:bottom w:w="28" w:type="dxa"/>
          <w:right w:w="28" w:type="dxa"/>
        </w:tblCellMar>
      </w:tblPr>
      <w:tblGrid>
        <w:gridCol w:w="3106"/>
        <w:gridCol w:w="146"/>
        <w:gridCol w:w="211"/>
        <w:gridCol w:w="571"/>
        <w:gridCol w:w="166"/>
        <w:gridCol w:w="146"/>
        <w:gridCol w:w="211"/>
        <w:gridCol w:w="571"/>
        <w:gridCol w:w="166"/>
        <w:gridCol w:w="146"/>
        <w:gridCol w:w="211"/>
        <w:gridCol w:w="631"/>
        <w:gridCol w:w="41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 (millions)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Electric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ind w:left="10800" w:right="0" w:hanging="0"/>
        <w:jc w:val="left"/>
        <w:rPr/>
      </w:pPr>
      <w:r>
        <w:rPr/>
        <w:t> </w:t>
      </w:r>
    </w:p>
    <w:p>
      <w:pPr>
        <w:pStyle w:val="TextBody"/>
        <w:pBdr>
          <w:bottom w:val="single" w:sz="6" w:space="1" w:color="000000"/>
        </w:pBdr>
        <w:bidi w:val="0"/>
        <w:jc w:val="right"/>
        <w:rPr/>
      </w:pPr>
      <w:r>
        <w:rPr/>
        <w:t> </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p>
    <w:p>
      <w:pPr>
        <w:pStyle w:val="TextBody"/>
        <w:bidi w:val="0"/>
        <w:jc w:val="right"/>
        <w:rPr>
          <w:rFonts w:ascii="Times New Roman" w:hAnsi="Times New Roman"/>
          <w:sz w:val="20"/>
        </w:rPr>
      </w:pPr>
      <w:r>
        <w:rPr>
          <w:rFonts w:ascii="Times New Roman" w:hAnsi="Times New Roman"/>
          <w:color w:val="E17522"/>
          <w:sz w:val="18"/>
        </w:rPr>
        <w:t>unitil.com</w:t>
      </w:r>
      <w:r>
        <w:rPr>
          <w:rFonts w:ascii="Times New Roman" w:hAnsi="Times New Roman"/>
          <w:color w:val="636463"/>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18"/>
        </w:rPr>
        <w:t>Page 7</w:t>
      </w:r>
      <w:r>
        <w:rPr>
          <w:rFonts w:ascii="Times New Roman" w:hAnsi="Times New Roman"/>
          <w:color w:val="000000"/>
          <w:sz w:val="20"/>
        </w:rPr>
        <w:t xml:space="preserve"> </w:t>
      </w:r>
      <w:r>
        <w:rPr>
          <w:rFonts w:ascii="Times New Roman" w:hAnsi="Times New Roman"/>
          <w:color w:val="000000"/>
          <w:sz w:val="18"/>
        </w:rPr>
        <w:t>of 7</w:t>
      </w:r>
    </w:p>
    <w:p>
      <w:pPr>
        <w:pStyle w:val="TextBody"/>
        <w:bidi w:val="0"/>
        <w:ind w:left="0" w:right="180" w:hanging="0"/>
        <w:jc w:val="left"/>
        <w:rPr>
          <w:rFonts w:ascii="Times New Roman" w:hAnsi="Times New Roman"/>
          <w:color w:val="000000"/>
          <w:sz w:val="20"/>
        </w:rPr>
      </w:pPr>
      <w:r>
        <w:rPr>
          <w:rFonts w:ascii="Times New Roman" w:hAnsi="Times New Roman"/>
          <w:color w:val="000000"/>
          <w:sz w:val="20"/>
        </w:rPr>
        <w:t>Selected financial data for 2026 and 2025 is presented in the following table:</w:t>
      </w:r>
    </w:p>
    <w:p>
      <w:pPr>
        <w:pStyle w:val="TextBody"/>
        <w:bidi w:val="0"/>
        <w:ind w:left="0" w:right="18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318"/>
        <w:gridCol w:w="146"/>
        <w:gridCol w:w="196"/>
        <w:gridCol w:w="511"/>
        <w:gridCol w:w="166"/>
        <w:gridCol w:w="146"/>
        <w:gridCol w:w="196"/>
        <w:gridCol w:w="511"/>
        <w:gridCol w:w="166"/>
        <w:gridCol w:w="146"/>
        <w:gridCol w:w="224"/>
        <w:gridCol w:w="482"/>
        <w:gridCol w:w="315"/>
        <w:gridCol w:w="146"/>
        <w:gridCol w:w="196"/>
        <w:gridCol w:w="511"/>
        <w:gridCol w:w="166"/>
        <w:gridCol w:w="146"/>
        <w:gridCol w:w="196"/>
        <w:gridCol w:w="511"/>
        <w:gridCol w:w="166"/>
        <w:gridCol w:w="146"/>
        <w:gridCol w:w="224"/>
        <w:gridCol w:w="482"/>
        <w:gridCol w:w="792"/>
      </w:tblGrid>
      <w:tr>
        <w:trPr/>
        <w:tc>
          <w:tcPr>
            <w:tcW w:w="3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941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Unitil Corporation - Condensed Consolidated Financial Data</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13"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(Millions, except Per Share data) (Unaudited)</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Electric kWh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Total Electric kWh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Gas Therm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Commercial/Industrial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Total Gas Therm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cs="Times New Roman"/>
                <w:bCs/>
                <w:color w:val="000000"/>
                <w:szCs w:val="18"/>
              </w:rPr>
            </w:pPr>
            <w:r>
              <w:rPr>
                <w:rFonts w:cs="Times New Roman"/>
                <w:bCs/>
                <w:color w:val="000000"/>
                <w:szCs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Electric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Electric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Electric 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sz w:val="18"/>
              </w:rPr>
            </w:pPr>
            <w:r>
              <w:rPr>
                <w:rFonts w:ascii="Times New Roman" w:hAnsi="Times New Roman"/>
                <w:b/>
                <w:color w:val="000000"/>
                <w:sz w:val="18"/>
              </w:rPr>
              <w:t>(a non-GAAP financial measure</w:t>
            </w:r>
            <w:r>
              <w:rPr>
                <w:rFonts w:ascii="Times New Roman" w:hAnsi="Times New Roman"/>
                <w:b/>
                <w:color w:val="000000"/>
                <w:sz w:val="9"/>
              </w:rPr>
              <w:t>1</w:t>
            </w: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Gas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Gas 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sz w:val="18"/>
              </w:rPr>
            </w:pPr>
            <w:r>
              <w:rPr>
                <w:rFonts w:ascii="Times New Roman" w:hAnsi="Times New Roman"/>
                <w:b/>
                <w:color w:val="000000"/>
                <w:sz w:val="18"/>
              </w:rPr>
              <w:t>(a non-GAAP financial measure</w:t>
            </w:r>
            <w:r>
              <w:rPr>
                <w:rFonts w:ascii="Times New Roman" w:hAnsi="Times New Roman"/>
                <w:b/>
                <w:color w:val="000000"/>
                <w:sz w:val="9"/>
              </w:rPr>
              <w:t>1</w:t>
            </w: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Total 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sz w:val="18"/>
              </w:rPr>
            </w:pPr>
            <w:r>
              <w:rPr>
                <w:rFonts w:ascii="Times New Roman" w:hAnsi="Times New Roman"/>
                <w:b/>
                <w:color w:val="000000"/>
                <w:sz w:val="18"/>
              </w:rPr>
              <w:t>(a non-GAAP financial measure</w:t>
            </w:r>
            <w:r>
              <w:rPr>
                <w:rFonts w:ascii="Times New Roman" w:hAnsi="Times New Roman"/>
                <w:b/>
                <w:color w:val="000000"/>
                <w:sz w:val="9"/>
              </w:rPr>
              <w:t>1</w:t>
            </w: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Operation &amp; Maintenance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&amp;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Taxes Other Than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0.7</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b/>
                <w:color w:val="000000"/>
                <w:sz w:val="18"/>
              </w:rPr>
            </w:pPr>
            <w:r>
              <w:rPr>
                <w:rFonts w:ascii="Times New Roman" w:hAnsi="Times New Roman"/>
                <w:b/>
                <w:color w:val="000000"/>
                <w:sz w:val="18"/>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0.01</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0.17</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right"/>
        <w:rPr/>
      </w:pPr>
      <w:r>
        <w:rPr/>
        <w:t> </w:t>
      </w:r>
    </w:p>
    <w:p>
      <w:pPr>
        <w:pStyle w:val="TextBody"/>
        <w:bidi w:val="0"/>
        <w:spacing w:before="120" w:after="283"/>
        <w:jc w:val="right"/>
        <w:rPr>
          <w:rFonts w:ascii="Times New Roman" w:hAnsi="Times New Roman"/>
          <w:color w:val="636463"/>
          <w:sz w:val="18"/>
        </w:rPr>
      </w:pPr>
      <w:r>
        <w:rPr>
          <w:rFonts w:ascii="Times New Roman" w:hAnsi="Times New Roman"/>
          <w:color w:val="636463"/>
          <w:sz w:val="18"/>
        </w:rPr>
        <w:t>6 Liberty Lane West</w:t>
      </w:r>
    </w:p>
    <w:p>
      <w:pPr>
        <w:pStyle w:val="TextBody"/>
        <w:bidi w:val="0"/>
        <w:jc w:val="right"/>
        <w:rPr>
          <w:rFonts w:ascii="Times New Roman" w:hAnsi="Times New Roman"/>
          <w:color w:val="636463"/>
          <w:sz w:val="18"/>
        </w:rPr>
      </w:pPr>
      <w:r>
        <w:rPr>
          <w:rFonts w:ascii="Times New Roman" w:hAnsi="Times New Roman"/>
          <w:color w:val="636463"/>
          <w:sz w:val="18"/>
        </w:rPr>
        <w:t>Hampton, NH 03842</w:t>
      </w:r>
    </w:p>
    <w:p>
      <w:pPr>
        <w:pStyle w:val="TextBody"/>
        <w:bidi w:val="0"/>
        <w:jc w:val="right"/>
        <w:rPr>
          <w:rFonts w:ascii="Times New Roman" w:hAnsi="Times New Roman"/>
          <w:sz w:val="20"/>
        </w:rPr>
      </w:pPr>
      <w:r>
        <w:rPr>
          <w:rFonts w:ascii="Times New Roman" w:hAnsi="Times New Roman"/>
          <w:color w:val="E17522"/>
          <w:sz w:val="18"/>
        </w:rPr>
        <w:t xml:space="preserve">T </w:t>
      </w:r>
      <w:r>
        <w:rPr>
          <w:rFonts w:ascii="Times New Roman" w:hAnsi="Times New Roman"/>
          <w:color w:val="636463"/>
          <w:sz w:val="18"/>
        </w:rPr>
        <w:t>603.772.0775</w:t>
      </w:r>
    </w:p>
    <w:p>
      <w:pPr>
        <w:pStyle w:val="TextBody"/>
        <w:bidi w:val="0"/>
        <w:jc w:val="right"/>
        <w:rPr>
          <w:rFonts w:ascii="Times New Roman" w:hAnsi="Times New Roman"/>
          <w:sz w:val="20"/>
        </w:rPr>
      </w:pPr>
      <w:r>
        <w:rPr>
          <w:rFonts w:ascii="Times New Roman" w:hAnsi="Times New Roman"/>
          <w:color w:val="E17522"/>
          <w:sz w:val="18"/>
        </w:rPr>
        <w:t>unitil.com</w:t>
      </w:r>
      <w:r>
        <w:rPr>
          <w:rFonts w:ascii="Times New Roman" w:hAnsi="Times New Roman"/>
          <w:color w:val="636463"/>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55001/000075500126000019/utl-ex2_1.htm" TargetMode="External"/><Relationship Id="rId3" Type="http://schemas.openxmlformats.org/officeDocument/2006/relationships/hyperlink" Target="https://www.sec.gov/Archives/edgar/data/755001/000075500126000019/utl-ex2_1.htm" TargetMode="External"/><Relationship Id="rId4" Type="http://schemas.openxmlformats.org/officeDocument/2006/relationships/hyperlink" Target="https://www.sec.gov/Archives/edgar/data/755001/000075500126000026/utl-ex2_1.htm" TargetMode="External"/><Relationship Id="rId5" Type="http://schemas.openxmlformats.org/officeDocument/2006/relationships/hyperlink" Target="https://www.sec.gov/Archives/edgar/data/755001/000075500126000026/utl-ex2_1.htm" TargetMode="External"/><Relationship Id="rId6" Type="http://schemas.openxmlformats.org/officeDocument/2006/relationships/hyperlink" Target="https://www.sec.gov/Archives/edgar/data/755001/000075500126000012/utl-ex4_1.htm" TargetMode="External"/><Relationship Id="rId7" Type="http://schemas.openxmlformats.org/officeDocument/2006/relationships/hyperlink" Target="https://www.sec.gov/Archives/edgar/data/755001/000075500126000012/utl-ex4_1.htm" TargetMode="External"/><Relationship Id="rId8" Type="http://schemas.openxmlformats.org/officeDocument/2006/relationships/hyperlink" Target="https://www.sec.gov/Archives/edgar/data/755001/000075500126000012/utl-ex4_2.htm" TargetMode="External"/><Relationship Id="rId9" Type="http://schemas.openxmlformats.org/officeDocument/2006/relationships/hyperlink" Target="https://www.sec.gov/Archives/edgar/data/755001/000075500126000012/utl-ex4_2.htm" TargetMode="External"/><Relationship Id="rId10" Type="http://schemas.openxmlformats.org/officeDocument/2006/relationships/hyperlink" Target="https://www.sec.gov/Archives/edgar/data/755001/000075500126000012/utl-ex4_3.htm" TargetMode="External"/><Relationship Id="rId11" Type="http://schemas.openxmlformats.org/officeDocument/2006/relationships/hyperlink" Target="https://www.sec.gov/Archives/edgar/data/755001/000075500126000012/utl-ex4_3.htm" TargetMode="External"/><Relationship Id="rId12" Type="http://schemas.openxmlformats.org/officeDocument/2006/relationships/hyperlink" Target="https://www.sec.gov/Archives/edgar/data/755001/000075500126000026/utl-ex4_1.htm" TargetMode="External"/><Relationship Id="rId13" Type="http://schemas.openxmlformats.org/officeDocument/2006/relationships/hyperlink" Target="https://www.sec.gov/Archives/edgar/data/755001/000075500126000026/utl-ex4_1.htm" TargetMode="External"/><Relationship Id="rId14" Type="http://schemas.openxmlformats.org/officeDocument/2006/relationships/hyperlink" Target="https://www.sec.gov/Archives/edgar/data/755001/000075500126000026/utl-ex10_2.htm" TargetMode="External"/><Relationship Id="rId15" Type="http://schemas.openxmlformats.org/officeDocument/2006/relationships/hyperlink" Target="https://www.sec.gov/Archives/edgar/data/755001/000075500126000026/utl-ex10_2.htm" TargetMode="External"/><Relationship Id="rId16" Type="http://schemas.openxmlformats.org/officeDocument/2006/relationships/image" Target="media/image1.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37716</Words>
  <Characters>204445</Characters>
  <CharactersWithSpaces>244596</CharactersWithSpaces>
  <Paragraphs>10230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