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41"/>
          <w:szCs w:val="41"/>
          <w:color w:val="FFFFFF"/>
        </w:rPr>
        <w:t>ANNUAL REPORT</w:t>
      </w:r>
    </w:p>
    <w:p>
      <w:pPr>
        <w:spacing w:after="0"/>
        <w:rPr>
          <w:sz w:val="20"/>
          <w:szCs w:val="20"/>
          <w:color w:val="auto"/>
        </w:rPr>
      </w:pPr>
      <w:r>
        <w:rPr>
          <w:rFonts w:ascii="Times New Roman" w:cs="Times New Roman" w:eastAsia="Times New Roman" w:hAnsi="Times New Roman"/>
          <w:sz w:val="96"/>
          <w:szCs w:val="96"/>
          <w:b w:val="1"/>
          <w:bCs w:val="1"/>
          <w:color w:val="468AC9"/>
        </w:rPr>
        <w:t>2025</w:t>
      </w:r>
    </w:p>
    <w:p>
      <w:pPr>
        <w:sectPr>
          <w:pgSz w:w="12240" w:h="15840" w:orient="portrait"/>
          <w:cols w:equalWidth="0" w:num="1">
            <w:col w:w="10800"/>
          </w:cols>
          <w:pgMar w:left="1140" w:top="1440" w:right="300" w:bottom="0" w:gutter="0" w:footer="0" w:header="0"/>
        </w:sectPr>
      </w:pPr>
    </w:p>
    <w:p>
      <w:pPr>
        <w:spacing w:after="0" w:line="200" w:lineRule="exact"/>
        <w:rPr>
          <w:sz w:val="24"/>
          <w:szCs w:val="24"/>
          <w:color w:val="auto"/>
        </w:rPr>
      </w:pPr>
    </w:p>
    <w:p>
      <w:pPr>
        <w:spacing w:after="0" w:line="287" w:lineRule="exact"/>
        <w:rPr>
          <w:sz w:val="24"/>
          <w:szCs w:val="24"/>
          <w:color w:val="auto"/>
        </w:rPr>
      </w:pPr>
    </w:p>
    <w:p>
      <w:pPr>
        <w:ind w:left="10380"/>
        <w:spacing w:after="0"/>
        <w:rPr>
          <w:sz w:val="20"/>
          <w:szCs w:val="20"/>
          <w:color w:val="auto"/>
        </w:rPr>
      </w:pPr>
      <w:r>
        <w:rPr>
          <w:rFonts w:ascii="Arial" w:cs="Arial" w:eastAsia="Arial" w:hAnsi="Arial"/>
          <w:sz w:val="8"/>
          <w:szCs w:val="8"/>
          <w:b w:val="1"/>
          <w:bCs w:val="1"/>
          <w:color w:val="282A33"/>
        </w:rPr>
        <w:t>PG</w:t>
      </w:r>
      <w:r>
        <w:rPr>
          <w:rFonts w:ascii="Arial" w:cs="Arial" w:eastAsia="Arial" w:hAnsi="Arial"/>
          <w:sz w:val="8"/>
          <w:szCs w:val="8"/>
          <w:b w:val="1"/>
          <w:bCs w:val="1"/>
          <w:color w:val="292F6B"/>
        </w:rPr>
        <w:t>PG</w:t>
      </w:r>
      <w:r>
        <w:rPr>
          <w:rFonts w:ascii="Arial" w:cs="Arial" w:eastAsia="Arial" w:hAnsi="Arial"/>
          <w:sz w:val="8"/>
          <w:szCs w:val="8"/>
          <w:b w:val="1"/>
          <w:bCs w:val="1"/>
          <w:color w:val="282A33"/>
        </w:rPr>
        <w:t xml:space="preserve"> |</w:t>
      </w:r>
      <w:r>
        <w:rPr>
          <w:rFonts w:ascii="Arial" w:cs="Arial" w:eastAsia="Arial" w:hAnsi="Arial"/>
          <w:sz w:val="8"/>
          <w:szCs w:val="8"/>
          <w:b w:val="1"/>
          <w:bCs w:val="1"/>
          <w:color w:val="292F6B"/>
        </w:rPr>
        <w:t>|</w:t>
      </w:r>
      <w:r>
        <w:rPr>
          <w:rFonts w:ascii="Arial" w:cs="Arial" w:eastAsia="Arial" w:hAnsi="Arial"/>
          <w:sz w:val="8"/>
          <w:szCs w:val="8"/>
          <w:b w:val="1"/>
          <w:bCs w:val="1"/>
          <w:color w:val="282A33"/>
        </w:rPr>
        <w:t xml:space="preserve"> </w:t>
      </w:r>
      <w:r>
        <w:rPr>
          <w:rFonts w:ascii="Arial" w:cs="Arial" w:eastAsia="Arial" w:hAnsi="Arial"/>
          <w:sz w:val="8"/>
          <w:szCs w:val="8"/>
          <w:color w:val="E67324"/>
        </w:rPr>
        <w:t>3</w:t>
      </w:r>
      <w:r>
        <w:rPr>
          <w:rFonts w:ascii="Arial" w:cs="Arial" w:eastAsia="Arial" w:hAnsi="Arial"/>
          <w:sz w:val="8"/>
          <w:szCs w:val="8"/>
          <w:color w:val="292F6B"/>
        </w:rPr>
        <w:t>3</w:t>
      </w:r>
    </w:p>
    <w:p>
      <w:pPr>
        <w:sectPr>
          <w:pgSz w:w="12240" w:h="15840" w:orient="portrait"/>
          <w:cols w:equalWidth="0" w:num="1">
            <w:col w:w="10800"/>
          </w:cols>
          <w:pgMar w:left="1140" w:top="1440" w:right="300" w:bottom="0" w:gutter="0" w:footer="0" w:header="0"/>
          <w:type w:val="continuous"/>
        </w:sectPr>
      </w:pPr>
    </w:p>
    <w:bookmarkStart w:id="1" w:name="page2"/>
    <w:bookmarkEnd w:id="1"/>
    <w:p>
      <w:pPr>
        <w:ind w:left="1280" w:right="1280"/>
        <w:spacing w:after="0" w:line="274" w:lineRule="auto"/>
        <w:rPr>
          <w:sz w:val="20"/>
          <w:szCs w:val="20"/>
          <w:color w:val="auto"/>
        </w:rPr>
      </w:pPr>
      <w:r>
        <w:rPr>
          <w:rFonts w:ascii="Times New Roman" w:cs="Times New Roman" w:eastAsia="Times New Roman" w:hAnsi="Times New Roman"/>
          <w:sz w:val="36"/>
          <w:szCs w:val="36"/>
          <w:color w:val="3D3935"/>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t>Unitil Corporation is a public utility holding company with operations in Maine, Massachusetts and New Hampshire.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1280" w:right="3980"/>
        <w:spacing w:after="0" w:line="343" w:lineRule="auto"/>
        <w:rPr>
          <w:sz w:val="20"/>
          <w:szCs w:val="20"/>
          <w:color w:val="auto"/>
        </w:rPr>
      </w:pPr>
      <w:r>
        <w:rPr>
          <w:rFonts w:ascii="Arial" w:cs="Arial" w:eastAsia="Arial" w:hAnsi="Arial"/>
          <w:sz w:val="22"/>
          <w:szCs w:val="22"/>
          <w:color w:val="282A33"/>
        </w:rPr>
        <w:t xml:space="preserve">For more information about our people, technologies and community involvement, please visit </w:t>
      </w:r>
      <w:r>
        <w:rPr>
          <w:rFonts w:ascii="Arial" w:cs="Arial" w:eastAsia="Arial" w:hAnsi="Arial"/>
          <w:sz w:val="22"/>
          <w:szCs w:val="22"/>
          <w:b w:val="1"/>
          <w:bCs w:val="1"/>
          <w:color w:val="E67324"/>
        </w:rPr>
        <w:t>unitil.com</w:t>
      </w:r>
      <w:r>
        <w:rPr>
          <w:rFonts w:ascii="Arial" w:cs="Arial" w:eastAsia="Arial" w:hAnsi="Arial"/>
          <w:sz w:val="22"/>
          <w:szCs w:val="22"/>
          <w:color w:val="282A33"/>
        </w:rPr>
        <w: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56"/>
          <w:szCs w:val="56"/>
          <w:color w:val="18468D"/>
        </w:rPr>
        <w:t>2025 Financial Highlights</w:t>
      </w:r>
    </w:p>
    <w:p>
      <w:pPr>
        <w:spacing w:after="0" w:line="277" w:lineRule="exact"/>
        <w:rPr>
          <w:sz w:val="20"/>
          <w:szCs w:val="20"/>
          <w:color w:val="auto"/>
        </w:rPr>
      </w:pPr>
    </w:p>
    <w:tbl>
      <w:tblPr>
        <w:tblLayout w:type="fixed"/>
        <w:tblInd w:w="1460" w:type="dxa"/>
        <w:tblCellMar>
          <w:top w:w="0" w:type="dxa"/>
          <w:left w:w="0" w:type="dxa"/>
          <w:bottom w:w="0" w:type="dxa"/>
          <w:right w:w="0" w:type="dxa"/>
        </w:tblCellMar>
      </w:tblPr>
      <w:tr>
        <w:trPr>
          <w:trHeight w:val="330"/>
        </w:trPr>
        <w:tc>
          <w:tcPr>
            <w:tcW w:w="4540" w:type="dxa"/>
            <w:vAlign w:val="bottom"/>
          </w:tcPr>
          <w:p>
            <w:pPr>
              <w:spacing w:after="0"/>
              <w:rPr>
                <w:sz w:val="24"/>
                <w:szCs w:val="24"/>
                <w:color w:val="auto"/>
              </w:rPr>
            </w:pPr>
          </w:p>
        </w:tc>
        <w:tc>
          <w:tcPr>
            <w:tcW w:w="1400" w:type="dxa"/>
            <w:vAlign w:val="bottom"/>
          </w:tcPr>
          <w:p>
            <w:pPr>
              <w:jc w:val="right"/>
              <w:ind w:right="239"/>
              <w:spacing w:after="0"/>
              <w:rPr>
                <w:sz w:val="20"/>
                <w:szCs w:val="20"/>
                <w:color w:val="auto"/>
              </w:rPr>
            </w:pPr>
            <w:r>
              <w:rPr>
                <w:rFonts w:ascii="Times New Roman" w:cs="Times New Roman" w:eastAsia="Times New Roman" w:hAnsi="Times New Roman"/>
                <w:sz w:val="24"/>
                <w:szCs w:val="24"/>
                <w:color w:val="282A33"/>
              </w:rPr>
              <w:t>2025</w:t>
            </w:r>
          </w:p>
        </w:tc>
        <w:tc>
          <w:tcPr>
            <w:tcW w:w="1300" w:type="dxa"/>
            <w:vAlign w:val="bottom"/>
          </w:tcPr>
          <w:p>
            <w:pPr>
              <w:jc w:val="right"/>
              <w:ind w:right="239"/>
              <w:spacing w:after="0"/>
              <w:rPr>
                <w:sz w:val="20"/>
                <w:szCs w:val="20"/>
                <w:color w:val="auto"/>
              </w:rPr>
            </w:pPr>
            <w:r>
              <w:rPr>
                <w:rFonts w:ascii="Times New Roman" w:cs="Times New Roman" w:eastAsia="Times New Roman" w:hAnsi="Times New Roman"/>
                <w:sz w:val="24"/>
                <w:szCs w:val="24"/>
                <w:color w:val="282A33"/>
              </w:rPr>
              <w:t>2024</w:t>
            </w:r>
          </w:p>
        </w:tc>
        <w:tc>
          <w:tcPr>
            <w:tcW w:w="1040" w:type="dxa"/>
            <w:vAlign w:val="bottom"/>
          </w:tcPr>
          <w:p>
            <w:pPr>
              <w:jc w:val="right"/>
              <w:spacing w:after="0"/>
              <w:rPr>
                <w:sz w:val="20"/>
                <w:szCs w:val="20"/>
                <w:color w:val="auto"/>
              </w:rPr>
            </w:pPr>
            <w:r>
              <w:rPr>
                <w:rFonts w:ascii="Times New Roman" w:cs="Times New Roman" w:eastAsia="Times New Roman" w:hAnsi="Times New Roman"/>
                <w:sz w:val="24"/>
                <w:szCs w:val="24"/>
                <w:color w:val="282A33"/>
              </w:rPr>
              <w:t>2023</w:t>
            </w:r>
          </w:p>
        </w:tc>
      </w:tr>
      <w:tr>
        <w:trPr>
          <w:trHeight w:val="385"/>
        </w:trPr>
        <w:tc>
          <w:tcPr>
            <w:tcW w:w="4540" w:type="dxa"/>
            <w:vAlign w:val="bottom"/>
          </w:tcPr>
          <w:p>
            <w:pPr>
              <w:spacing w:after="0"/>
              <w:rPr>
                <w:sz w:val="20"/>
                <w:szCs w:val="20"/>
                <w:color w:val="auto"/>
              </w:rPr>
            </w:pPr>
            <w:r>
              <w:rPr>
                <w:rFonts w:ascii="Arial" w:cs="Arial" w:eastAsia="Arial" w:hAnsi="Arial"/>
                <w:sz w:val="24"/>
                <w:szCs w:val="24"/>
                <w:color w:val="282A33"/>
              </w:rPr>
              <w:t>Financial Data (Millions)</w:t>
            </w: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21"/>
        </w:trPr>
        <w:tc>
          <w:tcPr>
            <w:tcW w:w="4540" w:type="dxa"/>
            <w:vAlign w:val="bottom"/>
          </w:tcPr>
          <w:p>
            <w:pPr>
              <w:ind w:left="160"/>
              <w:spacing w:after="0"/>
              <w:rPr>
                <w:sz w:val="20"/>
                <w:szCs w:val="20"/>
                <w:color w:val="auto"/>
              </w:rPr>
            </w:pPr>
            <w:r>
              <w:rPr>
                <w:rFonts w:ascii="Arial" w:cs="Arial" w:eastAsia="Arial" w:hAnsi="Arial"/>
                <w:sz w:val="20"/>
                <w:szCs w:val="20"/>
                <w:color w:val="282A33"/>
              </w:rPr>
              <w:t>Adjusted Gross Margin</w:t>
            </w:r>
            <w:r>
              <w:rPr>
                <w:rFonts w:ascii="Arial" w:cs="Arial" w:eastAsia="Arial" w:hAnsi="Arial"/>
                <w:sz w:val="23"/>
                <w:szCs w:val="23"/>
                <w:color w:val="282A33"/>
                <w:vertAlign w:val="superscript"/>
              </w:rPr>
              <w:t>1</w:t>
            </w:r>
          </w:p>
        </w:tc>
        <w:tc>
          <w:tcPr>
            <w:tcW w:w="1400" w:type="dxa"/>
            <w:vAlign w:val="bottom"/>
          </w:tcPr>
          <w:p>
            <w:pPr>
              <w:jc w:val="right"/>
              <w:ind w:right="139"/>
              <w:spacing w:after="0"/>
              <w:rPr>
                <w:sz w:val="20"/>
                <w:szCs w:val="20"/>
                <w:color w:val="auto"/>
              </w:rPr>
            </w:pPr>
            <w:r>
              <w:rPr>
                <w:rFonts w:ascii="Arial" w:cs="Arial" w:eastAsia="Arial" w:hAnsi="Arial"/>
                <w:sz w:val="20"/>
                <w:szCs w:val="20"/>
                <w:color w:val="282A33"/>
              </w:rPr>
              <w:t>$313.7</w:t>
            </w:r>
          </w:p>
        </w:tc>
        <w:tc>
          <w:tcPr>
            <w:tcW w:w="1300" w:type="dxa"/>
            <w:vAlign w:val="bottom"/>
          </w:tcPr>
          <w:p>
            <w:pPr>
              <w:jc w:val="right"/>
              <w:ind w:right="159"/>
              <w:spacing w:after="0"/>
              <w:rPr>
                <w:sz w:val="20"/>
                <w:szCs w:val="20"/>
                <w:color w:val="auto"/>
              </w:rPr>
            </w:pPr>
            <w:r>
              <w:rPr>
                <w:rFonts w:ascii="Arial" w:cs="Arial" w:eastAsia="Arial" w:hAnsi="Arial"/>
                <w:sz w:val="20"/>
                <w:szCs w:val="20"/>
                <w:color w:val="282A33"/>
              </w:rPr>
              <w:t>$274.2</w:t>
            </w:r>
          </w:p>
        </w:tc>
        <w:tc>
          <w:tcPr>
            <w:tcW w:w="1040" w:type="dxa"/>
            <w:vAlign w:val="bottom"/>
          </w:tcPr>
          <w:p>
            <w:pPr>
              <w:jc w:val="right"/>
              <w:spacing w:after="0"/>
              <w:rPr>
                <w:sz w:val="20"/>
                <w:szCs w:val="20"/>
                <w:color w:val="auto"/>
              </w:rPr>
            </w:pPr>
            <w:r>
              <w:rPr>
                <w:rFonts w:ascii="Arial" w:cs="Arial" w:eastAsia="Arial" w:hAnsi="Arial"/>
                <w:sz w:val="20"/>
                <w:szCs w:val="20"/>
                <w:color w:val="282A33"/>
              </w:rPr>
              <w:t>$258.6</w:t>
            </w:r>
          </w:p>
        </w:tc>
      </w:tr>
      <w:tr>
        <w:trPr>
          <w:trHeight w:val="356"/>
        </w:trPr>
        <w:tc>
          <w:tcPr>
            <w:tcW w:w="4540" w:type="dxa"/>
            <w:vAlign w:val="bottom"/>
          </w:tcPr>
          <w:p>
            <w:pPr>
              <w:ind w:left="160"/>
              <w:spacing w:after="0"/>
              <w:rPr>
                <w:sz w:val="20"/>
                <w:szCs w:val="20"/>
                <w:color w:val="auto"/>
              </w:rPr>
            </w:pPr>
            <w:r>
              <w:rPr>
                <w:rFonts w:ascii="Arial" w:cs="Arial" w:eastAsia="Arial" w:hAnsi="Arial"/>
                <w:sz w:val="20"/>
                <w:szCs w:val="20"/>
                <w:color w:val="282A33"/>
              </w:rPr>
              <w:t>Total Operating Income</w:t>
            </w:r>
          </w:p>
        </w:tc>
        <w:tc>
          <w:tcPr>
            <w:tcW w:w="1400" w:type="dxa"/>
            <w:vAlign w:val="bottom"/>
          </w:tcPr>
          <w:p>
            <w:pPr>
              <w:jc w:val="right"/>
              <w:ind w:right="139"/>
              <w:spacing w:after="0"/>
              <w:rPr>
                <w:sz w:val="20"/>
                <w:szCs w:val="20"/>
                <w:color w:val="auto"/>
              </w:rPr>
            </w:pPr>
            <w:r>
              <w:rPr>
                <w:rFonts w:ascii="Arial" w:cs="Arial" w:eastAsia="Arial" w:hAnsi="Arial"/>
                <w:sz w:val="20"/>
                <w:szCs w:val="20"/>
                <w:color w:val="282A33"/>
              </w:rPr>
              <w:t>$101.2</w:t>
            </w:r>
          </w:p>
        </w:tc>
        <w:tc>
          <w:tcPr>
            <w:tcW w:w="1300" w:type="dxa"/>
            <w:vAlign w:val="bottom"/>
          </w:tcPr>
          <w:p>
            <w:pPr>
              <w:jc w:val="right"/>
              <w:ind w:right="139"/>
              <w:spacing w:after="0"/>
              <w:rPr>
                <w:sz w:val="20"/>
                <w:szCs w:val="20"/>
                <w:color w:val="auto"/>
              </w:rPr>
            </w:pPr>
            <w:r>
              <w:rPr>
                <w:rFonts w:ascii="Arial" w:cs="Arial" w:eastAsia="Arial" w:hAnsi="Arial"/>
                <w:sz w:val="20"/>
                <w:szCs w:val="20"/>
                <w:color w:val="282A33"/>
              </w:rPr>
              <w:t>$90.6</w:t>
            </w:r>
          </w:p>
        </w:tc>
        <w:tc>
          <w:tcPr>
            <w:tcW w:w="1040" w:type="dxa"/>
            <w:vAlign w:val="bottom"/>
          </w:tcPr>
          <w:p>
            <w:pPr>
              <w:jc w:val="right"/>
              <w:spacing w:after="0"/>
              <w:rPr>
                <w:sz w:val="20"/>
                <w:szCs w:val="20"/>
                <w:color w:val="auto"/>
              </w:rPr>
            </w:pPr>
            <w:r>
              <w:rPr>
                <w:rFonts w:ascii="Arial" w:cs="Arial" w:eastAsia="Arial" w:hAnsi="Arial"/>
                <w:sz w:val="20"/>
                <w:szCs w:val="20"/>
                <w:color w:val="282A33"/>
              </w:rPr>
              <w:t>$87.1</w:t>
            </w:r>
          </w:p>
        </w:tc>
      </w:tr>
      <w:tr>
        <w:trPr>
          <w:trHeight w:val="403"/>
        </w:trPr>
        <w:tc>
          <w:tcPr>
            <w:tcW w:w="4540" w:type="dxa"/>
            <w:vAlign w:val="bottom"/>
          </w:tcPr>
          <w:p>
            <w:pPr>
              <w:ind w:left="160"/>
              <w:spacing w:after="0"/>
              <w:rPr>
                <w:sz w:val="20"/>
                <w:szCs w:val="20"/>
                <w:color w:val="auto"/>
              </w:rPr>
            </w:pPr>
            <w:r>
              <w:rPr>
                <w:rFonts w:ascii="Arial" w:cs="Arial" w:eastAsia="Arial" w:hAnsi="Arial"/>
                <w:sz w:val="20"/>
                <w:szCs w:val="20"/>
                <w:color w:val="282A33"/>
              </w:rPr>
              <w:t>GAAP Net Income</w:t>
            </w:r>
          </w:p>
        </w:tc>
        <w:tc>
          <w:tcPr>
            <w:tcW w:w="1400" w:type="dxa"/>
            <w:vAlign w:val="bottom"/>
          </w:tcPr>
          <w:p>
            <w:pPr>
              <w:jc w:val="right"/>
              <w:ind w:right="139"/>
              <w:spacing w:after="0"/>
              <w:rPr>
                <w:sz w:val="20"/>
                <w:szCs w:val="20"/>
                <w:color w:val="auto"/>
              </w:rPr>
            </w:pPr>
            <w:r>
              <w:rPr>
                <w:rFonts w:ascii="Arial" w:cs="Arial" w:eastAsia="Arial" w:hAnsi="Arial"/>
                <w:sz w:val="20"/>
                <w:szCs w:val="20"/>
                <w:color w:val="282A33"/>
              </w:rPr>
              <w:t>$50.2</w:t>
            </w:r>
          </w:p>
        </w:tc>
        <w:tc>
          <w:tcPr>
            <w:tcW w:w="1300" w:type="dxa"/>
            <w:vAlign w:val="bottom"/>
          </w:tcPr>
          <w:p>
            <w:pPr>
              <w:jc w:val="right"/>
              <w:ind w:right="159"/>
              <w:spacing w:after="0"/>
              <w:rPr>
                <w:sz w:val="20"/>
                <w:szCs w:val="20"/>
                <w:color w:val="auto"/>
              </w:rPr>
            </w:pPr>
            <w:r>
              <w:rPr>
                <w:rFonts w:ascii="Arial" w:cs="Arial" w:eastAsia="Arial" w:hAnsi="Arial"/>
                <w:sz w:val="20"/>
                <w:szCs w:val="20"/>
                <w:color w:val="282A33"/>
              </w:rPr>
              <w:t>$47.1</w:t>
            </w:r>
          </w:p>
        </w:tc>
        <w:tc>
          <w:tcPr>
            <w:tcW w:w="1040" w:type="dxa"/>
            <w:vAlign w:val="bottom"/>
          </w:tcPr>
          <w:p>
            <w:pPr>
              <w:jc w:val="right"/>
              <w:spacing w:after="0"/>
              <w:rPr>
                <w:sz w:val="20"/>
                <w:szCs w:val="20"/>
                <w:color w:val="auto"/>
              </w:rPr>
            </w:pPr>
            <w:r>
              <w:rPr>
                <w:rFonts w:ascii="Arial" w:cs="Arial" w:eastAsia="Arial" w:hAnsi="Arial"/>
                <w:sz w:val="20"/>
                <w:szCs w:val="20"/>
                <w:color w:val="282A33"/>
              </w:rPr>
              <w:t>$45.2</w:t>
            </w:r>
          </w:p>
        </w:tc>
      </w:tr>
      <w:tr>
        <w:trPr>
          <w:trHeight w:val="403"/>
        </w:trPr>
        <w:tc>
          <w:tcPr>
            <w:tcW w:w="4540" w:type="dxa"/>
            <w:vAlign w:val="bottom"/>
          </w:tcPr>
          <w:p>
            <w:pPr>
              <w:ind w:left="160"/>
              <w:spacing w:after="0"/>
              <w:rPr>
                <w:sz w:val="20"/>
                <w:szCs w:val="20"/>
                <w:color w:val="auto"/>
              </w:rPr>
            </w:pPr>
            <w:r>
              <w:rPr>
                <w:rFonts w:ascii="Arial" w:cs="Arial" w:eastAsia="Arial" w:hAnsi="Arial"/>
                <w:sz w:val="20"/>
                <w:szCs w:val="20"/>
                <w:color w:val="282A33"/>
              </w:rPr>
              <w:t>Adjusted Net Income</w:t>
            </w:r>
          </w:p>
        </w:tc>
        <w:tc>
          <w:tcPr>
            <w:tcW w:w="1400" w:type="dxa"/>
            <w:vAlign w:val="bottom"/>
          </w:tcPr>
          <w:p>
            <w:pPr>
              <w:jc w:val="right"/>
              <w:ind w:right="139"/>
              <w:spacing w:after="0"/>
              <w:rPr>
                <w:sz w:val="20"/>
                <w:szCs w:val="20"/>
                <w:color w:val="auto"/>
              </w:rPr>
            </w:pPr>
            <w:r>
              <w:rPr>
                <w:rFonts w:ascii="Arial" w:cs="Arial" w:eastAsia="Arial" w:hAnsi="Arial"/>
                <w:sz w:val="20"/>
                <w:szCs w:val="20"/>
                <w:color w:val="282A33"/>
              </w:rPr>
              <w:t>$53.3</w:t>
            </w:r>
          </w:p>
        </w:tc>
        <w:tc>
          <w:tcPr>
            <w:tcW w:w="1300" w:type="dxa"/>
            <w:vAlign w:val="bottom"/>
          </w:tcPr>
          <w:p>
            <w:pPr>
              <w:jc w:val="right"/>
              <w:ind w:right="139"/>
              <w:spacing w:after="0"/>
              <w:rPr>
                <w:sz w:val="20"/>
                <w:szCs w:val="20"/>
                <w:color w:val="auto"/>
              </w:rPr>
            </w:pPr>
            <w:r>
              <w:rPr>
                <w:rFonts w:ascii="Arial" w:cs="Arial" w:eastAsia="Arial" w:hAnsi="Arial"/>
                <w:sz w:val="20"/>
                <w:szCs w:val="20"/>
                <w:color w:val="282A33"/>
              </w:rPr>
              <w:t>$47.8</w:t>
            </w:r>
          </w:p>
        </w:tc>
        <w:tc>
          <w:tcPr>
            <w:tcW w:w="1040" w:type="dxa"/>
            <w:vAlign w:val="bottom"/>
          </w:tcPr>
          <w:p>
            <w:pPr>
              <w:jc w:val="right"/>
              <w:spacing w:after="0"/>
              <w:rPr>
                <w:sz w:val="20"/>
                <w:szCs w:val="20"/>
                <w:color w:val="auto"/>
              </w:rPr>
            </w:pPr>
            <w:r>
              <w:rPr>
                <w:rFonts w:ascii="Arial" w:cs="Arial" w:eastAsia="Arial" w:hAnsi="Arial"/>
                <w:sz w:val="20"/>
                <w:szCs w:val="20"/>
                <w:color w:val="282A33"/>
              </w:rPr>
              <w:t>$45.2</w:t>
            </w:r>
          </w:p>
        </w:tc>
      </w:tr>
      <w:tr>
        <w:trPr>
          <w:trHeight w:val="403"/>
        </w:trPr>
        <w:tc>
          <w:tcPr>
            <w:tcW w:w="4540" w:type="dxa"/>
            <w:vAlign w:val="bottom"/>
          </w:tcPr>
          <w:p>
            <w:pPr>
              <w:ind w:left="160"/>
              <w:spacing w:after="0"/>
              <w:rPr>
                <w:sz w:val="20"/>
                <w:szCs w:val="20"/>
                <w:color w:val="auto"/>
              </w:rPr>
            </w:pPr>
            <w:r>
              <w:rPr>
                <w:rFonts w:ascii="Arial" w:cs="Arial" w:eastAsia="Arial" w:hAnsi="Arial"/>
                <w:sz w:val="20"/>
                <w:szCs w:val="20"/>
                <w:color w:val="282A33"/>
              </w:rPr>
              <w:t>Capital Expenditures</w:t>
            </w:r>
          </w:p>
        </w:tc>
        <w:tc>
          <w:tcPr>
            <w:tcW w:w="1400" w:type="dxa"/>
            <w:vAlign w:val="bottom"/>
          </w:tcPr>
          <w:p>
            <w:pPr>
              <w:jc w:val="right"/>
              <w:ind w:right="139"/>
              <w:spacing w:after="0"/>
              <w:rPr>
                <w:sz w:val="20"/>
                <w:szCs w:val="20"/>
                <w:color w:val="auto"/>
              </w:rPr>
            </w:pPr>
            <w:r>
              <w:rPr>
                <w:rFonts w:ascii="Arial" w:cs="Arial" w:eastAsia="Arial" w:hAnsi="Arial"/>
                <w:sz w:val="20"/>
                <w:szCs w:val="20"/>
                <w:color w:val="282A33"/>
              </w:rPr>
              <w:t>$185.1</w:t>
            </w:r>
          </w:p>
        </w:tc>
        <w:tc>
          <w:tcPr>
            <w:tcW w:w="1300" w:type="dxa"/>
            <w:vAlign w:val="bottom"/>
          </w:tcPr>
          <w:p>
            <w:pPr>
              <w:jc w:val="right"/>
              <w:ind w:right="139"/>
              <w:spacing w:after="0"/>
              <w:rPr>
                <w:sz w:val="20"/>
                <w:szCs w:val="20"/>
                <w:color w:val="auto"/>
              </w:rPr>
            </w:pPr>
            <w:r>
              <w:rPr>
                <w:rFonts w:ascii="Arial" w:cs="Arial" w:eastAsia="Arial" w:hAnsi="Arial"/>
                <w:sz w:val="20"/>
                <w:szCs w:val="20"/>
                <w:color w:val="282A33"/>
              </w:rPr>
              <w:t>$169.9</w:t>
            </w:r>
          </w:p>
        </w:tc>
        <w:tc>
          <w:tcPr>
            <w:tcW w:w="1040" w:type="dxa"/>
            <w:vAlign w:val="bottom"/>
          </w:tcPr>
          <w:p>
            <w:pPr>
              <w:jc w:val="right"/>
              <w:spacing w:after="0"/>
              <w:rPr>
                <w:sz w:val="20"/>
                <w:szCs w:val="20"/>
                <w:color w:val="auto"/>
              </w:rPr>
            </w:pPr>
            <w:r>
              <w:rPr>
                <w:rFonts w:ascii="Arial" w:cs="Arial" w:eastAsia="Arial" w:hAnsi="Arial"/>
                <w:sz w:val="20"/>
                <w:szCs w:val="20"/>
                <w:color w:val="282A33"/>
              </w:rPr>
              <w:t>$141.0</w:t>
            </w:r>
          </w:p>
        </w:tc>
      </w:tr>
      <w:tr>
        <w:trPr>
          <w:trHeight w:val="403"/>
        </w:trPr>
        <w:tc>
          <w:tcPr>
            <w:tcW w:w="4540" w:type="dxa"/>
            <w:vAlign w:val="bottom"/>
          </w:tcPr>
          <w:p>
            <w:pPr>
              <w:ind w:left="160"/>
              <w:spacing w:after="0"/>
              <w:rPr>
                <w:sz w:val="20"/>
                <w:szCs w:val="20"/>
                <w:color w:val="auto"/>
              </w:rPr>
            </w:pPr>
            <w:r>
              <w:rPr>
                <w:rFonts w:ascii="Arial" w:cs="Arial" w:eastAsia="Arial" w:hAnsi="Arial"/>
                <w:sz w:val="20"/>
                <w:szCs w:val="20"/>
                <w:color w:val="282A33"/>
              </w:rPr>
              <w:t>Net Utility Plant</w:t>
            </w:r>
          </w:p>
        </w:tc>
        <w:tc>
          <w:tcPr>
            <w:tcW w:w="1400" w:type="dxa"/>
            <w:vAlign w:val="bottom"/>
          </w:tcPr>
          <w:p>
            <w:pPr>
              <w:jc w:val="right"/>
              <w:ind w:right="139"/>
              <w:spacing w:after="0"/>
              <w:rPr>
                <w:sz w:val="20"/>
                <w:szCs w:val="20"/>
                <w:color w:val="auto"/>
              </w:rPr>
            </w:pPr>
            <w:r>
              <w:rPr>
                <w:rFonts w:ascii="Arial" w:cs="Arial" w:eastAsia="Arial" w:hAnsi="Arial"/>
                <w:sz w:val="20"/>
                <w:szCs w:val="20"/>
                <w:color w:val="282A33"/>
              </w:rPr>
              <w:t>$1,798.5</w:t>
            </w:r>
          </w:p>
        </w:tc>
        <w:tc>
          <w:tcPr>
            <w:tcW w:w="1300" w:type="dxa"/>
            <w:vAlign w:val="bottom"/>
          </w:tcPr>
          <w:p>
            <w:pPr>
              <w:jc w:val="right"/>
              <w:ind w:right="139"/>
              <w:spacing w:after="0"/>
              <w:rPr>
                <w:sz w:val="20"/>
                <w:szCs w:val="20"/>
                <w:color w:val="auto"/>
              </w:rPr>
            </w:pPr>
            <w:r>
              <w:rPr>
                <w:rFonts w:ascii="Arial" w:cs="Arial" w:eastAsia="Arial" w:hAnsi="Arial"/>
                <w:sz w:val="20"/>
                <w:szCs w:val="20"/>
                <w:color w:val="282A33"/>
              </w:rPr>
              <w:t>$1,539.6</w:t>
            </w:r>
          </w:p>
        </w:tc>
        <w:tc>
          <w:tcPr>
            <w:tcW w:w="1040" w:type="dxa"/>
            <w:vAlign w:val="bottom"/>
          </w:tcPr>
          <w:p>
            <w:pPr>
              <w:jc w:val="right"/>
              <w:spacing w:after="0"/>
              <w:rPr>
                <w:sz w:val="20"/>
                <w:szCs w:val="20"/>
                <w:color w:val="auto"/>
              </w:rPr>
            </w:pPr>
            <w:r>
              <w:rPr>
                <w:rFonts w:ascii="Arial" w:cs="Arial" w:eastAsia="Arial" w:hAnsi="Arial"/>
                <w:sz w:val="20"/>
                <w:szCs w:val="20"/>
                <w:color w:val="282A33"/>
              </w:rPr>
              <w:t>$1,420.9</w:t>
            </w:r>
          </w:p>
        </w:tc>
      </w:tr>
      <w:tr>
        <w:trPr>
          <w:trHeight w:val="436"/>
        </w:trPr>
        <w:tc>
          <w:tcPr>
            <w:tcW w:w="4540" w:type="dxa"/>
            <w:vAlign w:val="bottom"/>
          </w:tcPr>
          <w:p>
            <w:pPr>
              <w:spacing w:after="0"/>
              <w:rPr>
                <w:sz w:val="20"/>
                <w:szCs w:val="20"/>
                <w:color w:val="auto"/>
              </w:rPr>
            </w:pPr>
            <w:r>
              <w:rPr>
                <w:rFonts w:ascii="Arial" w:cs="Arial" w:eastAsia="Arial" w:hAnsi="Arial"/>
                <w:sz w:val="24"/>
                <w:szCs w:val="24"/>
                <w:color w:val="282A33"/>
              </w:rPr>
              <w:t>Common Share Data</w:t>
            </w: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0"/>
        </w:trPr>
        <w:tc>
          <w:tcPr>
            <w:tcW w:w="4540" w:type="dxa"/>
            <w:vAlign w:val="bottom"/>
          </w:tcPr>
          <w:p>
            <w:pPr>
              <w:ind w:left="160"/>
              <w:spacing w:after="0"/>
              <w:rPr>
                <w:sz w:val="20"/>
                <w:szCs w:val="20"/>
                <w:color w:val="auto"/>
              </w:rPr>
            </w:pPr>
            <w:r>
              <w:rPr>
                <w:rFonts w:ascii="Arial" w:cs="Arial" w:eastAsia="Arial" w:hAnsi="Arial"/>
                <w:sz w:val="20"/>
                <w:szCs w:val="20"/>
                <w:color w:val="282A33"/>
              </w:rPr>
              <w:t>GAAP Earnings Per Share</w:t>
            </w:r>
          </w:p>
        </w:tc>
        <w:tc>
          <w:tcPr>
            <w:tcW w:w="1400" w:type="dxa"/>
            <w:vAlign w:val="bottom"/>
          </w:tcPr>
          <w:p>
            <w:pPr>
              <w:jc w:val="right"/>
              <w:ind w:right="139"/>
              <w:spacing w:after="0"/>
              <w:rPr>
                <w:sz w:val="20"/>
                <w:szCs w:val="20"/>
                <w:color w:val="auto"/>
              </w:rPr>
            </w:pPr>
            <w:r>
              <w:rPr>
                <w:rFonts w:ascii="Arial" w:cs="Arial" w:eastAsia="Arial" w:hAnsi="Arial"/>
                <w:sz w:val="20"/>
                <w:szCs w:val="20"/>
                <w:color w:val="282A33"/>
              </w:rPr>
              <w:t>$2.97</w:t>
            </w:r>
          </w:p>
        </w:tc>
        <w:tc>
          <w:tcPr>
            <w:tcW w:w="1300" w:type="dxa"/>
            <w:vAlign w:val="bottom"/>
          </w:tcPr>
          <w:p>
            <w:pPr>
              <w:jc w:val="right"/>
              <w:ind w:right="159"/>
              <w:spacing w:after="0"/>
              <w:rPr>
                <w:sz w:val="20"/>
                <w:szCs w:val="20"/>
                <w:color w:val="auto"/>
              </w:rPr>
            </w:pPr>
            <w:r>
              <w:rPr>
                <w:rFonts w:ascii="Arial" w:cs="Arial" w:eastAsia="Arial" w:hAnsi="Arial"/>
                <w:sz w:val="20"/>
                <w:szCs w:val="20"/>
                <w:color w:val="282A33"/>
              </w:rPr>
              <w:t>$2.93</w:t>
            </w:r>
          </w:p>
        </w:tc>
        <w:tc>
          <w:tcPr>
            <w:tcW w:w="1040" w:type="dxa"/>
            <w:vAlign w:val="bottom"/>
          </w:tcPr>
          <w:p>
            <w:pPr>
              <w:jc w:val="right"/>
              <w:spacing w:after="0"/>
              <w:rPr>
                <w:sz w:val="20"/>
                <w:szCs w:val="20"/>
                <w:color w:val="auto"/>
              </w:rPr>
            </w:pPr>
            <w:r>
              <w:rPr>
                <w:rFonts w:ascii="Arial" w:cs="Arial" w:eastAsia="Arial" w:hAnsi="Arial"/>
                <w:sz w:val="20"/>
                <w:szCs w:val="20"/>
                <w:color w:val="282A33"/>
              </w:rPr>
              <w:t>$2.82</w:t>
            </w:r>
          </w:p>
        </w:tc>
      </w:tr>
      <w:tr>
        <w:trPr>
          <w:trHeight w:val="403"/>
        </w:trPr>
        <w:tc>
          <w:tcPr>
            <w:tcW w:w="4540" w:type="dxa"/>
            <w:vAlign w:val="bottom"/>
          </w:tcPr>
          <w:p>
            <w:pPr>
              <w:ind w:left="160"/>
              <w:spacing w:after="0"/>
              <w:rPr>
                <w:sz w:val="20"/>
                <w:szCs w:val="20"/>
                <w:color w:val="auto"/>
              </w:rPr>
            </w:pPr>
            <w:r>
              <w:rPr>
                <w:rFonts w:ascii="Arial" w:cs="Arial" w:eastAsia="Arial" w:hAnsi="Arial"/>
                <w:sz w:val="20"/>
                <w:szCs w:val="20"/>
                <w:color w:val="282A33"/>
              </w:rPr>
              <w:t>Adjusted Earnings Per Share</w:t>
            </w:r>
          </w:p>
        </w:tc>
        <w:tc>
          <w:tcPr>
            <w:tcW w:w="1400" w:type="dxa"/>
            <w:vAlign w:val="bottom"/>
          </w:tcPr>
          <w:p>
            <w:pPr>
              <w:jc w:val="right"/>
              <w:ind w:right="139"/>
              <w:spacing w:after="0"/>
              <w:rPr>
                <w:sz w:val="20"/>
                <w:szCs w:val="20"/>
                <w:color w:val="auto"/>
              </w:rPr>
            </w:pPr>
            <w:r>
              <w:rPr>
                <w:rFonts w:ascii="Arial" w:cs="Arial" w:eastAsia="Arial" w:hAnsi="Arial"/>
                <w:sz w:val="20"/>
                <w:szCs w:val="20"/>
                <w:color w:val="282A33"/>
              </w:rPr>
              <w:t>$3.16</w:t>
            </w:r>
          </w:p>
        </w:tc>
        <w:tc>
          <w:tcPr>
            <w:tcW w:w="1300" w:type="dxa"/>
            <w:vAlign w:val="bottom"/>
          </w:tcPr>
          <w:p>
            <w:pPr>
              <w:jc w:val="right"/>
              <w:ind w:right="159"/>
              <w:spacing w:after="0"/>
              <w:rPr>
                <w:sz w:val="20"/>
                <w:szCs w:val="20"/>
                <w:color w:val="auto"/>
              </w:rPr>
            </w:pPr>
            <w:r>
              <w:rPr>
                <w:rFonts w:ascii="Arial" w:cs="Arial" w:eastAsia="Arial" w:hAnsi="Arial"/>
                <w:sz w:val="20"/>
                <w:szCs w:val="20"/>
                <w:color w:val="282A33"/>
              </w:rPr>
              <w:t>$2.97</w:t>
            </w:r>
          </w:p>
        </w:tc>
        <w:tc>
          <w:tcPr>
            <w:tcW w:w="1040" w:type="dxa"/>
            <w:vAlign w:val="bottom"/>
          </w:tcPr>
          <w:p>
            <w:pPr>
              <w:jc w:val="right"/>
              <w:spacing w:after="0"/>
              <w:rPr>
                <w:sz w:val="20"/>
                <w:szCs w:val="20"/>
                <w:color w:val="auto"/>
              </w:rPr>
            </w:pPr>
            <w:r>
              <w:rPr>
                <w:rFonts w:ascii="Arial" w:cs="Arial" w:eastAsia="Arial" w:hAnsi="Arial"/>
                <w:sz w:val="20"/>
                <w:szCs w:val="20"/>
                <w:color w:val="282A33"/>
              </w:rPr>
              <w:t>$2.82</w:t>
            </w:r>
          </w:p>
        </w:tc>
      </w:tr>
      <w:tr>
        <w:trPr>
          <w:trHeight w:val="450"/>
        </w:trPr>
        <w:tc>
          <w:tcPr>
            <w:tcW w:w="4540" w:type="dxa"/>
            <w:vAlign w:val="bottom"/>
          </w:tcPr>
          <w:p>
            <w:pPr>
              <w:ind w:left="160"/>
              <w:spacing w:after="0"/>
              <w:rPr>
                <w:sz w:val="20"/>
                <w:szCs w:val="20"/>
                <w:color w:val="auto"/>
              </w:rPr>
            </w:pPr>
            <w:r>
              <w:rPr>
                <w:rFonts w:ascii="Arial" w:cs="Arial" w:eastAsia="Arial" w:hAnsi="Arial"/>
                <w:sz w:val="20"/>
                <w:szCs w:val="20"/>
                <w:color w:val="282A33"/>
              </w:rPr>
              <w:t>Dividends Paid Per Common Share</w:t>
            </w:r>
            <w:r>
              <w:rPr>
                <w:rFonts w:ascii="Arial" w:cs="Arial" w:eastAsia="Arial" w:hAnsi="Arial"/>
                <w:sz w:val="23"/>
                <w:szCs w:val="23"/>
                <w:color w:val="282A33"/>
                <w:vertAlign w:val="superscript"/>
              </w:rPr>
              <w:t>2</w:t>
            </w:r>
          </w:p>
        </w:tc>
        <w:tc>
          <w:tcPr>
            <w:tcW w:w="1400" w:type="dxa"/>
            <w:vAlign w:val="bottom"/>
          </w:tcPr>
          <w:p>
            <w:pPr>
              <w:jc w:val="right"/>
              <w:ind w:right="139"/>
              <w:spacing w:after="0"/>
              <w:rPr>
                <w:sz w:val="20"/>
                <w:szCs w:val="20"/>
                <w:color w:val="auto"/>
              </w:rPr>
            </w:pPr>
            <w:r>
              <w:rPr>
                <w:rFonts w:ascii="Arial" w:cs="Arial" w:eastAsia="Arial" w:hAnsi="Arial"/>
                <w:sz w:val="20"/>
                <w:szCs w:val="20"/>
                <w:color w:val="282A33"/>
              </w:rPr>
              <w:t>$1.80</w:t>
            </w:r>
          </w:p>
        </w:tc>
        <w:tc>
          <w:tcPr>
            <w:tcW w:w="1300" w:type="dxa"/>
            <w:vAlign w:val="bottom"/>
          </w:tcPr>
          <w:p>
            <w:pPr>
              <w:jc w:val="right"/>
              <w:ind w:right="159"/>
              <w:spacing w:after="0"/>
              <w:rPr>
                <w:sz w:val="20"/>
                <w:szCs w:val="20"/>
                <w:color w:val="auto"/>
              </w:rPr>
            </w:pPr>
            <w:r>
              <w:rPr>
                <w:rFonts w:ascii="Arial" w:cs="Arial" w:eastAsia="Arial" w:hAnsi="Arial"/>
                <w:sz w:val="20"/>
                <w:szCs w:val="20"/>
                <w:color w:val="282A33"/>
              </w:rPr>
              <w:t>$1.70</w:t>
            </w:r>
          </w:p>
        </w:tc>
        <w:tc>
          <w:tcPr>
            <w:tcW w:w="1040" w:type="dxa"/>
            <w:vAlign w:val="bottom"/>
          </w:tcPr>
          <w:p>
            <w:pPr>
              <w:jc w:val="right"/>
              <w:spacing w:after="0"/>
              <w:rPr>
                <w:sz w:val="20"/>
                <w:szCs w:val="20"/>
                <w:color w:val="auto"/>
              </w:rPr>
            </w:pPr>
            <w:r>
              <w:rPr>
                <w:rFonts w:ascii="Arial" w:cs="Arial" w:eastAsia="Arial" w:hAnsi="Arial"/>
                <w:sz w:val="20"/>
                <w:szCs w:val="20"/>
                <w:color w:val="282A33"/>
              </w:rPr>
              <w:t>$1.62</w:t>
            </w:r>
          </w:p>
        </w:tc>
      </w:tr>
      <w:tr>
        <w:trPr>
          <w:trHeight w:val="356"/>
        </w:trPr>
        <w:tc>
          <w:tcPr>
            <w:tcW w:w="4540" w:type="dxa"/>
            <w:vAlign w:val="bottom"/>
          </w:tcPr>
          <w:p>
            <w:pPr>
              <w:ind w:left="160"/>
              <w:spacing w:after="0"/>
              <w:rPr>
                <w:sz w:val="20"/>
                <w:szCs w:val="20"/>
                <w:color w:val="auto"/>
              </w:rPr>
            </w:pPr>
            <w:r>
              <w:rPr>
                <w:rFonts w:ascii="Arial" w:cs="Arial" w:eastAsia="Arial" w:hAnsi="Arial"/>
                <w:sz w:val="20"/>
                <w:szCs w:val="20"/>
                <w:color w:val="282A33"/>
              </w:rPr>
              <w:t>Book Value Per Share (Year-End)</w:t>
            </w:r>
          </w:p>
        </w:tc>
        <w:tc>
          <w:tcPr>
            <w:tcW w:w="1400" w:type="dxa"/>
            <w:vAlign w:val="bottom"/>
          </w:tcPr>
          <w:p>
            <w:pPr>
              <w:jc w:val="right"/>
              <w:ind w:right="139"/>
              <w:spacing w:after="0"/>
              <w:rPr>
                <w:sz w:val="20"/>
                <w:szCs w:val="20"/>
                <w:color w:val="auto"/>
              </w:rPr>
            </w:pPr>
            <w:r>
              <w:rPr>
                <w:rFonts w:ascii="Arial" w:cs="Arial" w:eastAsia="Arial" w:hAnsi="Arial"/>
                <w:sz w:val="20"/>
                <w:szCs w:val="20"/>
                <w:color w:val="282A33"/>
              </w:rPr>
              <w:t>$34.01</w:t>
            </w:r>
          </w:p>
        </w:tc>
        <w:tc>
          <w:tcPr>
            <w:tcW w:w="1300" w:type="dxa"/>
            <w:vAlign w:val="bottom"/>
          </w:tcPr>
          <w:p>
            <w:pPr>
              <w:jc w:val="right"/>
              <w:ind w:right="159"/>
              <w:spacing w:after="0"/>
              <w:rPr>
                <w:sz w:val="20"/>
                <w:szCs w:val="20"/>
                <w:color w:val="auto"/>
              </w:rPr>
            </w:pPr>
            <w:r>
              <w:rPr>
                <w:rFonts w:ascii="Arial" w:cs="Arial" w:eastAsia="Arial" w:hAnsi="Arial"/>
                <w:sz w:val="20"/>
                <w:szCs w:val="20"/>
                <w:color w:val="282A33"/>
              </w:rPr>
              <w:t>$31.64</w:t>
            </w:r>
          </w:p>
        </w:tc>
        <w:tc>
          <w:tcPr>
            <w:tcW w:w="1040" w:type="dxa"/>
            <w:vAlign w:val="bottom"/>
          </w:tcPr>
          <w:p>
            <w:pPr>
              <w:jc w:val="right"/>
              <w:spacing w:after="0"/>
              <w:rPr>
                <w:sz w:val="20"/>
                <w:szCs w:val="20"/>
                <w:color w:val="auto"/>
              </w:rPr>
            </w:pPr>
            <w:r>
              <w:rPr>
                <w:rFonts w:ascii="Arial" w:cs="Arial" w:eastAsia="Arial" w:hAnsi="Arial"/>
                <w:sz w:val="20"/>
                <w:szCs w:val="20"/>
                <w:color w:val="282A33"/>
              </w:rPr>
              <w:t>$30.35</w:t>
            </w:r>
          </w:p>
        </w:tc>
      </w:tr>
      <w:tr>
        <w:trPr>
          <w:trHeight w:val="403"/>
        </w:trPr>
        <w:tc>
          <w:tcPr>
            <w:tcW w:w="4540" w:type="dxa"/>
            <w:vAlign w:val="bottom"/>
          </w:tcPr>
          <w:p>
            <w:pPr>
              <w:ind w:left="160"/>
              <w:spacing w:after="0"/>
              <w:rPr>
                <w:sz w:val="20"/>
                <w:szCs w:val="20"/>
                <w:color w:val="auto"/>
              </w:rPr>
            </w:pPr>
            <w:r>
              <w:rPr>
                <w:rFonts w:ascii="Arial" w:cs="Arial" w:eastAsia="Arial" w:hAnsi="Arial"/>
                <w:sz w:val="20"/>
                <w:szCs w:val="20"/>
                <w:color w:val="282A33"/>
              </w:rPr>
              <w:t>Average Common Shares Outstanding (000s)</w:t>
            </w:r>
          </w:p>
        </w:tc>
        <w:tc>
          <w:tcPr>
            <w:tcW w:w="1400" w:type="dxa"/>
            <w:vAlign w:val="bottom"/>
          </w:tcPr>
          <w:p>
            <w:pPr>
              <w:jc w:val="right"/>
              <w:ind w:right="139"/>
              <w:spacing w:after="0"/>
              <w:rPr>
                <w:sz w:val="20"/>
                <w:szCs w:val="20"/>
                <w:color w:val="auto"/>
              </w:rPr>
            </w:pPr>
            <w:r>
              <w:rPr>
                <w:rFonts w:ascii="Arial" w:cs="Arial" w:eastAsia="Arial" w:hAnsi="Arial"/>
                <w:sz w:val="20"/>
                <w:szCs w:val="20"/>
                <w:color w:val="282A33"/>
              </w:rPr>
              <w:t>16,788</w:t>
            </w:r>
          </w:p>
        </w:tc>
        <w:tc>
          <w:tcPr>
            <w:tcW w:w="1300" w:type="dxa"/>
            <w:vAlign w:val="bottom"/>
          </w:tcPr>
          <w:p>
            <w:pPr>
              <w:jc w:val="right"/>
              <w:ind w:right="159"/>
              <w:spacing w:after="0"/>
              <w:rPr>
                <w:sz w:val="20"/>
                <w:szCs w:val="20"/>
                <w:color w:val="auto"/>
              </w:rPr>
            </w:pPr>
            <w:r>
              <w:rPr>
                <w:rFonts w:ascii="Arial" w:cs="Arial" w:eastAsia="Arial" w:hAnsi="Arial"/>
                <w:sz w:val="20"/>
                <w:szCs w:val="20"/>
                <w:color w:val="282A33"/>
              </w:rPr>
              <w:t>16,109</w:t>
            </w:r>
          </w:p>
        </w:tc>
        <w:tc>
          <w:tcPr>
            <w:tcW w:w="1040" w:type="dxa"/>
            <w:vAlign w:val="bottom"/>
          </w:tcPr>
          <w:p>
            <w:pPr>
              <w:jc w:val="right"/>
              <w:spacing w:after="0"/>
              <w:rPr>
                <w:sz w:val="20"/>
                <w:szCs w:val="20"/>
                <w:color w:val="auto"/>
              </w:rPr>
            </w:pPr>
            <w:r>
              <w:rPr>
                <w:rFonts w:ascii="Arial" w:cs="Arial" w:eastAsia="Arial" w:hAnsi="Arial"/>
                <w:sz w:val="20"/>
                <w:szCs w:val="20"/>
                <w:color w:val="282A33"/>
              </w:rPr>
              <w:t>16,053</w:t>
            </w:r>
          </w:p>
        </w:tc>
      </w:tr>
      <w:tr>
        <w:trPr>
          <w:trHeight w:val="436"/>
        </w:trPr>
        <w:tc>
          <w:tcPr>
            <w:tcW w:w="4540" w:type="dxa"/>
            <w:vAlign w:val="bottom"/>
          </w:tcPr>
          <w:p>
            <w:pPr>
              <w:spacing w:after="0"/>
              <w:rPr>
                <w:sz w:val="20"/>
                <w:szCs w:val="20"/>
                <w:color w:val="auto"/>
              </w:rPr>
            </w:pPr>
            <w:r>
              <w:rPr>
                <w:rFonts w:ascii="Arial" w:cs="Arial" w:eastAsia="Arial" w:hAnsi="Arial"/>
                <w:sz w:val="24"/>
                <w:szCs w:val="24"/>
                <w:color w:val="282A33"/>
              </w:rPr>
              <w:t>Operating Data</w:t>
            </w: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0"/>
        </w:trPr>
        <w:tc>
          <w:tcPr>
            <w:tcW w:w="4540" w:type="dxa"/>
            <w:vAlign w:val="bottom"/>
          </w:tcPr>
          <w:p>
            <w:pPr>
              <w:ind w:left="160"/>
              <w:spacing w:after="0"/>
              <w:rPr>
                <w:sz w:val="20"/>
                <w:szCs w:val="20"/>
                <w:color w:val="auto"/>
              </w:rPr>
            </w:pPr>
            <w:r>
              <w:rPr>
                <w:rFonts w:ascii="Arial" w:cs="Arial" w:eastAsia="Arial" w:hAnsi="Arial"/>
                <w:sz w:val="20"/>
                <w:szCs w:val="20"/>
                <w:color w:val="282A33"/>
              </w:rPr>
              <w:t>Electric Distribution Sales (Millions of kWh)</w:t>
            </w:r>
          </w:p>
        </w:tc>
        <w:tc>
          <w:tcPr>
            <w:tcW w:w="1400" w:type="dxa"/>
            <w:vAlign w:val="bottom"/>
          </w:tcPr>
          <w:p>
            <w:pPr>
              <w:jc w:val="right"/>
              <w:ind w:right="139"/>
              <w:spacing w:after="0"/>
              <w:rPr>
                <w:sz w:val="20"/>
                <w:szCs w:val="20"/>
                <w:color w:val="auto"/>
              </w:rPr>
            </w:pPr>
            <w:r>
              <w:rPr>
                <w:rFonts w:ascii="Arial" w:cs="Arial" w:eastAsia="Arial" w:hAnsi="Arial"/>
                <w:sz w:val="20"/>
                <w:szCs w:val="20"/>
                <w:color w:val="282A33"/>
              </w:rPr>
              <w:t>1,574</w:t>
            </w:r>
          </w:p>
        </w:tc>
        <w:tc>
          <w:tcPr>
            <w:tcW w:w="1300" w:type="dxa"/>
            <w:vAlign w:val="bottom"/>
          </w:tcPr>
          <w:p>
            <w:pPr>
              <w:jc w:val="right"/>
              <w:ind w:right="159"/>
              <w:spacing w:after="0"/>
              <w:rPr>
                <w:sz w:val="20"/>
                <w:szCs w:val="20"/>
                <w:color w:val="auto"/>
              </w:rPr>
            </w:pPr>
            <w:r>
              <w:rPr>
                <w:rFonts w:ascii="Arial" w:cs="Arial" w:eastAsia="Arial" w:hAnsi="Arial"/>
                <w:sz w:val="20"/>
                <w:szCs w:val="20"/>
                <w:color w:val="282A33"/>
              </w:rPr>
              <w:t>1,584</w:t>
            </w:r>
          </w:p>
        </w:tc>
        <w:tc>
          <w:tcPr>
            <w:tcW w:w="1040" w:type="dxa"/>
            <w:vAlign w:val="bottom"/>
          </w:tcPr>
          <w:p>
            <w:pPr>
              <w:jc w:val="right"/>
              <w:spacing w:after="0"/>
              <w:rPr>
                <w:sz w:val="20"/>
                <w:szCs w:val="20"/>
                <w:color w:val="auto"/>
              </w:rPr>
            </w:pPr>
            <w:r>
              <w:rPr>
                <w:rFonts w:ascii="Arial" w:cs="Arial" w:eastAsia="Arial" w:hAnsi="Arial"/>
                <w:sz w:val="20"/>
                <w:szCs w:val="20"/>
                <w:color w:val="282A33"/>
              </w:rPr>
              <w:t>1,564</w:t>
            </w:r>
          </w:p>
        </w:tc>
      </w:tr>
      <w:tr>
        <w:trPr>
          <w:trHeight w:val="403"/>
        </w:trPr>
        <w:tc>
          <w:tcPr>
            <w:tcW w:w="4540" w:type="dxa"/>
            <w:vAlign w:val="bottom"/>
          </w:tcPr>
          <w:p>
            <w:pPr>
              <w:ind w:left="160"/>
              <w:spacing w:after="0"/>
              <w:rPr>
                <w:sz w:val="20"/>
                <w:szCs w:val="20"/>
                <w:color w:val="auto"/>
              </w:rPr>
            </w:pPr>
            <w:r>
              <w:rPr>
                <w:rFonts w:ascii="Arial" w:cs="Arial" w:eastAsia="Arial" w:hAnsi="Arial"/>
                <w:sz w:val="20"/>
                <w:szCs w:val="20"/>
                <w:color w:val="282A33"/>
              </w:rPr>
              <w:t>Gas Distribution Sales (Millions of Therms)</w:t>
            </w:r>
          </w:p>
        </w:tc>
        <w:tc>
          <w:tcPr>
            <w:tcW w:w="1400" w:type="dxa"/>
            <w:vAlign w:val="bottom"/>
          </w:tcPr>
          <w:p>
            <w:pPr>
              <w:jc w:val="right"/>
              <w:ind w:right="139"/>
              <w:spacing w:after="0"/>
              <w:rPr>
                <w:sz w:val="20"/>
                <w:szCs w:val="20"/>
                <w:color w:val="auto"/>
              </w:rPr>
            </w:pPr>
            <w:r>
              <w:rPr>
                <w:rFonts w:ascii="Arial" w:cs="Arial" w:eastAsia="Arial" w:hAnsi="Arial"/>
                <w:sz w:val="20"/>
                <w:szCs w:val="20"/>
                <w:color w:val="282A33"/>
              </w:rPr>
              <w:t>279</w:t>
            </w:r>
          </w:p>
        </w:tc>
        <w:tc>
          <w:tcPr>
            <w:tcW w:w="1300" w:type="dxa"/>
            <w:vAlign w:val="bottom"/>
          </w:tcPr>
          <w:p>
            <w:pPr>
              <w:jc w:val="right"/>
              <w:ind w:right="159"/>
              <w:spacing w:after="0"/>
              <w:rPr>
                <w:sz w:val="20"/>
                <w:szCs w:val="20"/>
                <w:color w:val="auto"/>
              </w:rPr>
            </w:pPr>
            <w:r>
              <w:rPr>
                <w:rFonts w:ascii="Arial" w:cs="Arial" w:eastAsia="Arial" w:hAnsi="Arial"/>
                <w:sz w:val="20"/>
                <w:szCs w:val="20"/>
                <w:color w:val="282A33"/>
              </w:rPr>
              <w:t>220</w:t>
            </w:r>
          </w:p>
        </w:tc>
        <w:tc>
          <w:tcPr>
            <w:tcW w:w="1040" w:type="dxa"/>
            <w:vAlign w:val="bottom"/>
          </w:tcPr>
          <w:p>
            <w:pPr>
              <w:jc w:val="right"/>
              <w:spacing w:after="0"/>
              <w:rPr>
                <w:sz w:val="20"/>
                <w:szCs w:val="20"/>
                <w:color w:val="auto"/>
              </w:rPr>
            </w:pPr>
            <w:r>
              <w:rPr>
                <w:rFonts w:ascii="Arial" w:cs="Arial" w:eastAsia="Arial" w:hAnsi="Arial"/>
                <w:sz w:val="20"/>
                <w:szCs w:val="20"/>
                <w:color w:val="282A33"/>
              </w:rPr>
              <w:t>222</w:t>
            </w:r>
          </w:p>
        </w:tc>
      </w:tr>
      <w:tr>
        <w:trPr>
          <w:trHeight w:val="403"/>
        </w:trPr>
        <w:tc>
          <w:tcPr>
            <w:tcW w:w="4540" w:type="dxa"/>
            <w:vAlign w:val="bottom"/>
          </w:tcPr>
          <w:p>
            <w:pPr>
              <w:ind w:left="160"/>
              <w:spacing w:after="0"/>
              <w:rPr>
                <w:sz w:val="20"/>
                <w:szCs w:val="20"/>
                <w:color w:val="auto"/>
              </w:rPr>
            </w:pPr>
            <w:r>
              <w:rPr>
                <w:rFonts w:ascii="Arial" w:cs="Arial" w:eastAsia="Arial" w:hAnsi="Arial"/>
                <w:sz w:val="20"/>
                <w:szCs w:val="20"/>
                <w:color w:val="282A33"/>
              </w:rPr>
              <w:t>Customers Served (Year-End)</w:t>
            </w:r>
          </w:p>
        </w:tc>
        <w:tc>
          <w:tcPr>
            <w:tcW w:w="1400" w:type="dxa"/>
            <w:vAlign w:val="bottom"/>
          </w:tcPr>
          <w:p>
            <w:pPr>
              <w:jc w:val="right"/>
              <w:ind w:right="139"/>
              <w:spacing w:after="0"/>
              <w:rPr>
                <w:sz w:val="20"/>
                <w:szCs w:val="20"/>
                <w:color w:val="auto"/>
              </w:rPr>
            </w:pPr>
            <w:r>
              <w:rPr>
                <w:rFonts w:ascii="Arial" w:cs="Arial" w:eastAsia="Arial" w:hAnsi="Arial"/>
                <w:sz w:val="20"/>
                <w:szCs w:val="20"/>
                <w:color w:val="282A33"/>
              </w:rPr>
              <w:t>215,100</w:t>
            </w:r>
          </w:p>
        </w:tc>
        <w:tc>
          <w:tcPr>
            <w:tcW w:w="1300" w:type="dxa"/>
            <w:vAlign w:val="bottom"/>
          </w:tcPr>
          <w:p>
            <w:pPr>
              <w:jc w:val="right"/>
              <w:ind w:right="159"/>
              <w:spacing w:after="0"/>
              <w:rPr>
                <w:sz w:val="20"/>
                <w:szCs w:val="20"/>
                <w:color w:val="auto"/>
              </w:rPr>
            </w:pPr>
            <w:r>
              <w:rPr>
                <w:rFonts w:ascii="Arial" w:cs="Arial" w:eastAsia="Arial" w:hAnsi="Arial"/>
                <w:sz w:val="20"/>
                <w:szCs w:val="20"/>
                <w:color w:val="282A33"/>
              </w:rPr>
              <w:t>198,500</w:t>
            </w:r>
          </w:p>
        </w:tc>
        <w:tc>
          <w:tcPr>
            <w:tcW w:w="1040" w:type="dxa"/>
            <w:vAlign w:val="bottom"/>
          </w:tcPr>
          <w:p>
            <w:pPr>
              <w:jc w:val="right"/>
              <w:spacing w:after="0"/>
              <w:rPr>
                <w:sz w:val="20"/>
                <w:szCs w:val="20"/>
                <w:color w:val="auto"/>
              </w:rPr>
            </w:pPr>
            <w:r>
              <w:rPr>
                <w:rFonts w:ascii="Arial" w:cs="Arial" w:eastAsia="Arial" w:hAnsi="Arial"/>
                <w:sz w:val="20"/>
                <w:szCs w:val="20"/>
                <w:color w:val="282A33"/>
              </w:rPr>
              <w:t>196,900</w:t>
            </w:r>
          </w:p>
        </w:tc>
      </w:tr>
      <w:tr>
        <w:trPr>
          <w:trHeight w:val="403"/>
        </w:trPr>
        <w:tc>
          <w:tcPr>
            <w:tcW w:w="4540" w:type="dxa"/>
            <w:vAlign w:val="bottom"/>
          </w:tcPr>
          <w:p>
            <w:pPr>
              <w:ind w:left="580"/>
              <w:spacing w:after="0"/>
              <w:rPr>
                <w:sz w:val="20"/>
                <w:szCs w:val="20"/>
                <w:color w:val="auto"/>
              </w:rPr>
            </w:pPr>
            <w:r>
              <w:rPr>
                <w:rFonts w:ascii="Arial" w:cs="Arial" w:eastAsia="Arial" w:hAnsi="Arial"/>
                <w:sz w:val="20"/>
                <w:szCs w:val="20"/>
                <w:color w:val="282A33"/>
              </w:rPr>
              <w:t>– Electric Customers Served (Year-End)</w:t>
            </w:r>
          </w:p>
        </w:tc>
        <w:tc>
          <w:tcPr>
            <w:tcW w:w="1400" w:type="dxa"/>
            <w:vAlign w:val="bottom"/>
          </w:tcPr>
          <w:p>
            <w:pPr>
              <w:jc w:val="right"/>
              <w:ind w:right="139"/>
              <w:spacing w:after="0"/>
              <w:rPr>
                <w:sz w:val="20"/>
                <w:szCs w:val="20"/>
                <w:color w:val="auto"/>
              </w:rPr>
            </w:pPr>
            <w:r>
              <w:rPr>
                <w:rFonts w:ascii="Arial" w:cs="Arial" w:eastAsia="Arial" w:hAnsi="Arial"/>
                <w:sz w:val="20"/>
                <w:szCs w:val="20"/>
                <w:color w:val="282A33"/>
              </w:rPr>
              <w:t>110,100</w:t>
            </w:r>
          </w:p>
        </w:tc>
        <w:tc>
          <w:tcPr>
            <w:tcW w:w="1300" w:type="dxa"/>
            <w:vAlign w:val="bottom"/>
          </w:tcPr>
          <w:p>
            <w:pPr>
              <w:jc w:val="right"/>
              <w:ind w:right="159"/>
              <w:spacing w:after="0"/>
              <w:rPr>
                <w:sz w:val="20"/>
                <w:szCs w:val="20"/>
                <w:color w:val="auto"/>
              </w:rPr>
            </w:pPr>
            <w:r>
              <w:rPr>
                <w:rFonts w:ascii="Arial" w:cs="Arial" w:eastAsia="Arial" w:hAnsi="Arial"/>
                <w:sz w:val="20"/>
                <w:szCs w:val="20"/>
                <w:color w:val="282A33"/>
              </w:rPr>
              <w:t>109,400</w:t>
            </w:r>
          </w:p>
        </w:tc>
        <w:tc>
          <w:tcPr>
            <w:tcW w:w="1040" w:type="dxa"/>
            <w:vAlign w:val="bottom"/>
          </w:tcPr>
          <w:p>
            <w:pPr>
              <w:jc w:val="right"/>
              <w:spacing w:after="0"/>
              <w:rPr>
                <w:sz w:val="20"/>
                <w:szCs w:val="20"/>
                <w:color w:val="auto"/>
              </w:rPr>
            </w:pPr>
            <w:r>
              <w:rPr>
                <w:rFonts w:ascii="Arial" w:cs="Arial" w:eastAsia="Arial" w:hAnsi="Arial"/>
                <w:sz w:val="20"/>
                <w:szCs w:val="20"/>
                <w:color w:val="282A33"/>
              </w:rPr>
              <w:t>108,500</w:t>
            </w:r>
          </w:p>
        </w:tc>
      </w:tr>
      <w:tr>
        <w:trPr>
          <w:trHeight w:val="403"/>
        </w:trPr>
        <w:tc>
          <w:tcPr>
            <w:tcW w:w="4540" w:type="dxa"/>
            <w:vAlign w:val="bottom"/>
          </w:tcPr>
          <w:p>
            <w:pPr>
              <w:ind w:left="580"/>
              <w:spacing w:after="0"/>
              <w:rPr>
                <w:sz w:val="20"/>
                <w:szCs w:val="20"/>
                <w:color w:val="auto"/>
              </w:rPr>
            </w:pPr>
            <w:r>
              <w:rPr>
                <w:rFonts w:ascii="Arial" w:cs="Arial" w:eastAsia="Arial" w:hAnsi="Arial"/>
                <w:sz w:val="20"/>
                <w:szCs w:val="20"/>
                <w:color w:val="282A33"/>
              </w:rPr>
              <w:t>– Gas Customers Served (Year-End)</w:t>
            </w:r>
          </w:p>
        </w:tc>
        <w:tc>
          <w:tcPr>
            <w:tcW w:w="1400" w:type="dxa"/>
            <w:vAlign w:val="bottom"/>
          </w:tcPr>
          <w:p>
            <w:pPr>
              <w:jc w:val="right"/>
              <w:ind w:right="139"/>
              <w:spacing w:after="0"/>
              <w:rPr>
                <w:sz w:val="20"/>
                <w:szCs w:val="20"/>
                <w:color w:val="auto"/>
              </w:rPr>
            </w:pPr>
            <w:r>
              <w:rPr>
                <w:rFonts w:ascii="Arial" w:cs="Arial" w:eastAsia="Arial" w:hAnsi="Arial"/>
                <w:sz w:val="20"/>
                <w:szCs w:val="20"/>
                <w:color w:val="282A33"/>
              </w:rPr>
              <w:t>105,000</w:t>
            </w:r>
          </w:p>
        </w:tc>
        <w:tc>
          <w:tcPr>
            <w:tcW w:w="1300" w:type="dxa"/>
            <w:vAlign w:val="bottom"/>
          </w:tcPr>
          <w:p>
            <w:pPr>
              <w:jc w:val="right"/>
              <w:ind w:right="159"/>
              <w:spacing w:after="0"/>
              <w:rPr>
                <w:sz w:val="20"/>
                <w:szCs w:val="20"/>
                <w:color w:val="auto"/>
              </w:rPr>
            </w:pPr>
            <w:r>
              <w:rPr>
                <w:rFonts w:ascii="Arial" w:cs="Arial" w:eastAsia="Arial" w:hAnsi="Arial"/>
                <w:sz w:val="20"/>
                <w:szCs w:val="20"/>
                <w:color w:val="282A33"/>
              </w:rPr>
              <w:t>89,100</w:t>
            </w:r>
          </w:p>
        </w:tc>
        <w:tc>
          <w:tcPr>
            <w:tcW w:w="1040" w:type="dxa"/>
            <w:vAlign w:val="bottom"/>
          </w:tcPr>
          <w:p>
            <w:pPr>
              <w:jc w:val="right"/>
              <w:spacing w:after="0"/>
              <w:rPr>
                <w:sz w:val="20"/>
                <w:szCs w:val="20"/>
                <w:color w:val="auto"/>
              </w:rPr>
            </w:pPr>
            <w:r>
              <w:rPr>
                <w:rFonts w:ascii="Arial" w:cs="Arial" w:eastAsia="Arial" w:hAnsi="Arial"/>
                <w:sz w:val="20"/>
                <w:szCs w:val="20"/>
                <w:color w:val="282A33"/>
              </w:rPr>
              <w:t>88,400</w:t>
            </w:r>
          </w:p>
        </w:tc>
      </w:tr>
    </w:tbl>
    <w:p>
      <w:pPr>
        <w:spacing w:after="0" w:line="357" w:lineRule="exact"/>
        <w:rPr>
          <w:sz w:val="20"/>
          <w:szCs w:val="20"/>
          <w:color w:val="auto"/>
        </w:rPr>
      </w:pPr>
    </w:p>
    <w:p>
      <w:pPr>
        <w:ind w:left="1360" w:hanging="77"/>
        <w:spacing w:after="0"/>
        <w:tabs>
          <w:tab w:leader="none" w:pos="1360" w:val="left"/>
        </w:tabs>
        <w:numPr>
          <w:ilvl w:val="0"/>
          <w:numId w:val="1"/>
        </w:numPr>
        <w:rPr>
          <w:rFonts w:ascii="Arial" w:cs="Arial" w:eastAsia="Arial" w:hAnsi="Arial"/>
          <w:sz w:val="17"/>
          <w:szCs w:val="17"/>
          <w:i w:val="1"/>
          <w:iCs w:val="1"/>
          <w:color w:val="3D3935"/>
          <w:vertAlign w:val="superscript"/>
        </w:rPr>
      </w:pPr>
      <w:r>
        <w:rPr>
          <w:rFonts w:ascii="Arial" w:cs="Arial" w:eastAsia="Arial" w:hAnsi="Arial"/>
          <w:sz w:val="15"/>
          <w:szCs w:val="15"/>
          <w:i w:val="1"/>
          <w:iCs w:val="1"/>
          <w:color w:val="3D3935"/>
        </w:rPr>
        <w:t>The Company has reconciled Adjusted Gross Margin to GAAP Gross Margin at page 25 of its 2025 SEC Form 10-K.</w:t>
      </w:r>
    </w:p>
    <w:p>
      <w:pPr>
        <w:spacing w:after="0" w:line="96" w:lineRule="exact"/>
        <w:rPr>
          <w:sz w:val="20"/>
          <w:szCs w:val="20"/>
          <w:color w:val="auto"/>
        </w:rPr>
      </w:pPr>
    </w:p>
    <w:p>
      <w:pPr>
        <w:ind w:left="1280" w:right="760" w:firstLine="3"/>
        <w:spacing w:after="0" w:line="276" w:lineRule="auto"/>
        <w:tabs>
          <w:tab w:leader="none" w:pos="1360" w:val="left"/>
        </w:tabs>
        <w:numPr>
          <w:ilvl w:val="0"/>
          <w:numId w:val="2"/>
        </w:numPr>
        <w:rPr>
          <w:rFonts w:ascii="Arial" w:cs="Arial" w:eastAsia="Arial" w:hAnsi="Arial"/>
          <w:sz w:val="17"/>
          <w:szCs w:val="17"/>
          <w:i w:val="1"/>
          <w:iCs w:val="1"/>
          <w:color w:val="3D3935"/>
          <w:vertAlign w:val="superscript"/>
        </w:rPr>
      </w:pPr>
      <w:r>
        <w:rPr>
          <w:rFonts w:ascii="Arial" w:cs="Arial" w:eastAsia="Arial" w:hAnsi="Arial"/>
          <w:sz w:val="15"/>
          <w:szCs w:val="15"/>
          <w:i w:val="1"/>
          <w:iCs w:val="1"/>
          <w:color w:val="3D3935"/>
        </w:rPr>
        <w:t>On January 28, 2026, the Board of Directors raised the quarterly dividend to $0.475 per share, increasing the annualized dividend from $1.80 to $1.90 per share.</w:t>
      </w:r>
    </w:p>
    <w:p>
      <w:pPr>
        <w:sectPr>
          <w:pgSz w:w="12240" w:h="15840" w:orient="portrait"/>
          <w:cols w:equalWidth="0" w:num="1">
            <w:col w:w="10420"/>
          </w:cols>
          <w:pgMar w:left="380" w:top="131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color w:val="282A33"/>
        </w:rPr>
        <w:t xml:space="preserve">PG </w:t>
      </w:r>
      <w:r>
        <w:rPr>
          <w:rFonts w:ascii="Arial" w:cs="Arial" w:eastAsia="Arial" w:hAnsi="Arial"/>
          <w:sz w:val="16"/>
          <w:szCs w:val="16"/>
          <w:color w:val="282A33"/>
        </w:rPr>
        <w:t>| 2</w:t>
      </w:r>
      <w:r>
        <w:rPr>
          <w:sz w:val="20"/>
          <w:szCs w:val="20"/>
          <w:color w:val="auto"/>
        </w:rPr>
        <w:tab/>
      </w:r>
      <w:r>
        <w:rPr>
          <w:rFonts w:ascii="Times New Roman" w:cs="Times New Roman" w:eastAsia="Times New Roman" w:hAnsi="Times New Roman"/>
          <w:sz w:val="16"/>
          <w:szCs w:val="16"/>
          <w:color w:val="468AC9"/>
        </w:rPr>
        <w:t xml:space="preserve">2025 </w:t>
      </w:r>
      <w:r>
        <w:rPr>
          <w:rFonts w:ascii="Times New Roman" w:cs="Times New Roman" w:eastAsia="Times New Roman" w:hAnsi="Times New Roman"/>
          <w:sz w:val="16"/>
          <w:szCs w:val="16"/>
          <w:color w:val="282A33"/>
        </w:rPr>
        <w:t>Annual Report</w:t>
      </w:r>
    </w:p>
    <w:p>
      <w:pPr>
        <w:sectPr>
          <w:pgSz w:w="12240" w:h="15840" w:orient="portrait"/>
          <w:cols w:equalWidth="0" w:num="1">
            <w:col w:w="10420"/>
          </w:cols>
          <w:pgMar w:left="380" w:top="1317" w:right="1440" w:bottom="0" w:gutter="0" w:footer="0" w:header="0"/>
          <w:type w:val="continuous"/>
        </w:sectPr>
      </w:pPr>
    </w:p>
    <w:bookmarkStart w:id="2" w:name="page3"/>
    <w:bookmarkEnd w:id="2"/>
    <w:p>
      <w:pPr>
        <w:ind w:left="1280"/>
        <w:spacing w:after="0"/>
        <w:rPr>
          <w:sz w:val="20"/>
          <w:szCs w:val="20"/>
          <w:color w:val="auto"/>
        </w:rPr>
      </w:pPr>
      <w:r>
        <w:rPr>
          <w:rFonts w:ascii="Times New Roman" w:cs="Times New Roman" w:eastAsia="Times New Roman" w:hAnsi="Times New Roman"/>
          <w:sz w:val="84"/>
          <w:szCs w:val="84"/>
          <w:color w:val="3D3935"/>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t>Our Service Areas</w:t>
      </w:r>
    </w:p>
    <w:p>
      <w:pPr>
        <w:spacing w:after="0" w:line="200" w:lineRule="exact"/>
        <w:rPr>
          <w:sz w:val="20"/>
          <w:szCs w:val="20"/>
          <w:color w:val="auto"/>
        </w:rPr>
      </w:pPr>
    </w:p>
    <w:p>
      <w:pPr>
        <w:spacing w:after="0" w:line="398" w:lineRule="exact"/>
        <w:rPr>
          <w:sz w:val="20"/>
          <w:szCs w:val="20"/>
          <w:color w:val="auto"/>
        </w:rPr>
      </w:pPr>
    </w:p>
    <w:p>
      <w:pPr>
        <w:ind w:left="1220"/>
        <w:spacing w:after="0"/>
        <w:rPr>
          <w:sz w:val="20"/>
          <w:szCs w:val="20"/>
          <w:color w:val="auto"/>
        </w:rPr>
      </w:pPr>
      <w:r>
        <w:rPr>
          <w:sz w:val="1"/>
          <w:szCs w:val="1"/>
          <w:color w:val="auto"/>
        </w:rPr>
        <w:drawing>
          <wp:inline distT="0" distB="0" distL="0" distR="0">
            <wp:extent cx="630555" cy="4705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0555" cy="470535"/>
                    </a:xfrm>
                    <a:prstGeom prst="rect">
                      <a:avLst/>
                    </a:prstGeom>
                    <a:noFill/>
                    <a:ln>
                      <a:noFill/>
                    </a:ln>
                  </pic:spPr>
                </pic:pic>
              </a:graphicData>
            </a:graphic>
          </wp:inline>
        </w:drawing>
      </w:r>
      <w:r>
        <w:rPr>
          <w:rFonts w:ascii="Times New Roman" w:cs="Times New Roman" w:eastAsia="Times New Roman" w:hAnsi="Times New Roman"/>
          <w:sz w:val="72"/>
          <w:szCs w:val="72"/>
          <w:color w:val="282A33"/>
        </w:rPr>
        <w:t xml:space="preserve"> 110,100   </w:t>
      </w:r>
      <w:r>
        <w:rPr>
          <w:sz w:val="1"/>
          <w:szCs w:val="1"/>
          <w:color w:val="auto"/>
        </w:rPr>
        <w:drawing>
          <wp:inline distT="0" distB="0" distL="0" distR="0">
            <wp:extent cx="716915" cy="5143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915" cy="514350"/>
                    </a:xfrm>
                    <a:prstGeom prst="rect">
                      <a:avLst/>
                    </a:prstGeom>
                    <a:noFill/>
                    <a:ln>
                      <a:noFill/>
                    </a:ln>
                  </pic:spPr>
                </pic:pic>
              </a:graphicData>
            </a:graphic>
          </wp:inline>
        </w:drawing>
      </w:r>
      <w:r>
        <w:rPr>
          <w:rFonts w:ascii="Times New Roman" w:cs="Times New Roman" w:eastAsia="Times New Roman" w:hAnsi="Times New Roman"/>
          <w:sz w:val="72"/>
          <w:szCs w:val="72"/>
          <w:color w:val="282A33"/>
        </w:rPr>
        <w:t xml:space="preserve"> 105,000</w:t>
      </w:r>
    </w:p>
    <w:p>
      <w:pPr>
        <w:jc w:val="right"/>
        <w:ind w:right="1100"/>
        <w:spacing w:after="0" w:line="224" w:lineRule="auto"/>
        <w:tabs>
          <w:tab w:leader="none" w:pos="2640" w:val="left"/>
        </w:tabs>
        <w:rPr>
          <w:sz w:val="20"/>
          <w:szCs w:val="20"/>
          <w:color w:val="auto"/>
        </w:rPr>
      </w:pPr>
      <w:r>
        <w:rPr>
          <w:rFonts w:ascii="Arial" w:cs="Arial" w:eastAsia="Arial" w:hAnsi="Arial"/>
          <w:sz w:val="26"/>
          <w:szCs w:val="26"/>
          <w:color w:val="3D3935"/>
        </w:rPr>
        <w:t>Electric customers</w:t>
      </w:r>
      <w:r>
        <w:rPr>
          <w:sz w:val="20"/>
          <w:szCs w:val="20"/>
          <w:color w:val="auto"/>
        </w:rPr>
        <w:tab/>
      </w:r>
      <w:r>
        <w:rPr>
          <w:rFonts w:ascii="Arial" w:cs="Arial" w:eastAsia="Arial" w:hAnsi="Arial"/>
          <w:sz w:val="26"/>
          <w:szCs w:val="26"/>
          <w:color w:val="3D3935"/>
        </w:rPr>
        <w:t>Natural gas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282A33"/>
        </w:rPr>
        <w:t>Electric Service</w:t>
      </w:r>
    </w:p>
    <w:p>
      <w:pPr>
        <w:spacing w:after="0" w:line="253" w:lineRule="exact"/>
        <w:rPr>
          <w:sz w:val="20"/>
          <w:szCs w:val="20"/>
          <w:color w:val="auto"/>
        </w:rPr>
      </w:pPr>
    </w:p>
    <w:p>
      <w:pPr>
        <w:jc w:val="right"/>
        <w:ind w:right="1540"/>
        <w:spacing w:after="0"/>
        <w:rPr>
          <w:sz w:val="20"/>
          <w:szCs w:val="20"/>
          <w:color w:val="auto"/>
        </w:rPr>
      </w:pPr>
      <w:r>
        <w:rPr>
          <w:rFonts w:ascii="Arial" w:cs="Arial" w:eastAsia="Arial" w:hAnsi="Arial"/>
          <w:sz w:val="18"/>
          <w:szCs w:val="18"/>
          <w:color w:val="282A33"/>
        </w:rPr>
        <w:t>Natural Gas Service</w:t>
      </w:r>
    </w:p>
    <w:p>
      <w:pPr>
        <w:spacing w:after="0" w:line="253" w:lineRule="exact"/>
        <w:rPr>
          <w:sz w:val="20"/>
          <w:szCs w:val="20"/>
          <w:color w:val="auto"/>
        </w:rPr>
      </w:pPr>
    </w:p>
    <w:p>
      <w:pPr>
        <w:ind w:left="7320"/>
        <w:spacing w:after="0"/>
        <w:rPr>
          <w:sz w:val="20"/>
          <w:szCs w:val="20"/>
          <w:color w:val="auto"/>
        </w:rPr>
      </w:pPr>
      <w:r>
        <w:rPr>
          <w:rFonts w:ascii="Arial" w:cs="Arial" w:eastAsia="Arial" w:hAnsi="Arial"/>
          <w:sz w:val="18"/>
          <w:szCs w:val="18"/>
          <w:color w:val="282A33"/>
        </w:rPr>
        <w:t>Dual Service</w:t>
      </w:r>
    </w:p>
    <w:p>
      <w:pPr>
        <w:spacing w:after="0" w:line="253" w:lineRule="exact"/>
        <w:rPr>
          <w:sz w:val="20"/>
          <w:szCs w:val="20"/>
          <w:color w:val="auto"/>
        </w:rPr>
      </w:pPr>
    </w:p>
    <w:p>
      <w:pPr>
        <w:ind w:left="7320"/>
        <w:spacing w:after="0"/>
        <w:rPr>
          <w:sz w:val="20"/>
          <w:szCs w:val="20"/>
          <w:color w:val="auto"/>
        </w:rPr>
      </w:pPr>
      <w:r>
        <w:rPr>
          <w:rFonts w:ascii="Arial" w:cs="Arial" w:eastAsia="Arial" w:hAnsi="Arial"/>
          <w:sz w:val="18"/>
          <w:szCs w:val="18"/>
          <w:color w:val="282A33"/>
        </w:rPr>
        <w:t>Interstate Gas</w:t>
      </w:r>
    </w:p>
    <w:p>
      <w:pPr>
        <w:spacing w:after="0" w:line="20" w:lineRule="exact"/>
        <w:rPr>
          <w:sz w:val="20"/>
          <w:szCs w:val="20"/>
          <w:color w:val="auto"/>
        </w:rPr>
      </w:pPr>
    </w:p>
    <w:p>
      <w:pPr>
        <w:ind w:left="7320"/>
        <w:spacing w:after="0"/>
        <w:rPr>
          <w:sz w:val="20"/>
          <w:szCs w:val="20"/>
          <w:color w:val="auto"/>
        </w:rPr>
      </w:pPr>
      <w:r>
        <w:rPr>
          <w:rFonts w:ascii="Arial" w:cs="Arial" w:eastAsia="Arial" w:hAnsi="Arial"/>
          <w:sz w:val="18"/>
          <w:szCs w:val="18"/>
          <w:color w:val="282A33"/>
        </w:rPr>
        <w:t>Pipeline</w:t>
      </w:r>
    </w:p>
    <w:p>
      <w:pPr>
        <w:spacing w:after="0" w:line="226" w:lineRule="exact"/>
        <w:rPr>
          <w:sz w:val="20"/>
          <w:szCs w:val="20"/>
          <w:color w:val="auto"/>
        </w:rPr>
      </w:pPr>
    </w:p>
    <w:p>
      <w:pPr>
        <w:ind w:left="7320"/>
        <w:spacing w:after="0"/>
        <w:rPr>
          <w:sz w:val="20"/>
          <w:szCs w:val="20"/>
          <w:color w:val="auto"/>
        </w:rPr>
      </w:pPr>
      <w:r>
        <w:rPr>
          <w:rFonts w:ascii="Arial" w:cs="Arial" w:eastAsia="Arial" w:hAnsi="Arial"/>
          <w:sz w:val="18"/>
          <w:szCs w:val="18"/>
          <w:color w:val="282A33"/>
        </w:rPr>
        <w:t>Distribution</w:t>
      </w:r>
    </w:p>
    <w:p>
      <w:pPr>
        <w:spacing w:after="0" w:line="20" w:lineRule="exact"/>
        <w:rPr>
          <w:sz w:val="20"/>
          <w:szCs w:val="20"/>
          <w:color w:val="auto"/>
        </w:rPr>
      </w:pPr>
    </w:p>
    <w:p>
      <w:pPr>
        <w:ind w:left="7320"/>
        <w:spacing w:after="0"/>
        <w:rPr>
          <w:sz w:val="20"/>
          <w:szCs w:val="20"/>
          <w:color w:val="auto"/>
        </w:rPr>
      </w:pPr>
      <w:r>
        <w:rPr>
          <w:rFonts w:ascii="Arial" w:cs="Arial" w:eastAsia="Arial" w:hAnsi="Arial"/>
          <w:sz w:val="18"/>
          <w:szCs w:val="18"/>
          <w:color w:val="282A33"/>
        </w:rPr>
        <w:t>Operation Center</w:t>
      </w:r>
    </w:p>
    <w:p>
      <w:pPr>
        <w:spacing w:after="0" w:line="126" w:lineRule="exact"/>
        <w:rPr>
          <w:sz w:val="20"/>
          <w:szCs w:val="20"/>
          <w:color w:val="auto"/>
        </w:rPr>
      </w:pPr>
    </w:p>
    <w:p>
      <w:pPr>
        <w:ind w:left="7320"/>
        <w:spacing w:after="0"/>
        <w:rPr>
          <w:sz w:val="20"/>
          <w:szCs w:val="20"/>
          <w:color w:val="auto"/>
        </w:rPr>
      </w:pPr>
      <w:r>
        <w:rPr>
          <w:rFonts w:ascii="Arial" w:cs="Arial" w:eastAsia="Arial" w:hAnsi="Arial"/>
          <w:sz w:val="18"/>
          <w:szCs w:val="18"/>
          <w:color w:val="282A33"/>
        </w:rPr>
        <w:t>Corporate</w:t>
      </w:r>
    </w:p>
    <w:p>
      <w:pPr>
        <w:spacing w:after="0" w:line="20" w:lineRule="exact"/>
        <w:rPr>
          <w:sz w:val="20"/>
          <w:szCs w:val="20"/>
          <w:color w:val="auto"/>
        </w:rPr>
      </w:pPr>
    </w:p>
    <w:p>
      <w:pPr>
        <w:ind w:left="7320"/>
        <w:spacing w:after="0"/>
        <w:rPr>
          <w:sz w:val="20"/>
          <w:szCs w:val="20"/>
          <w:color w:val="auto"/>
        </w:rPr>
      </w:pPr>
      <w:r>
        <w:rPr>
          <w:rFonts w:ascii="Arial" w:cs="Arial" w:eastAsia="Arial" w:hAnsi="Arial"/>
          <w:sz w:val="18"/>
          <w:szCs w:val="18"/>
          <w:color w:val="282A33"/>
        </w:rPr>
        <w:t>Headquarters</w:t>
      </w:r>
    </w:p>
    <w:p>
      <w:pPr>
        <w:sectPr>
          <w:pgSz w:w="12240" w:h="15840" w:orient="portrait"/>
          <w:cols w:equalWidth="0" w:num="1">
            <w:col w:w="10440"/>
          </w:cols>
          <w:pgMar w:left="1440" w:top="1153"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0020"/>
        <w:spacing w:after="0"/>
        <w:rPr>
          <w:sz w:val="20"/>
          <w:szCs w:val="20"/>
          <w:color w:val="auto"/>
        </w:rPr>
      </w:pPr>
      <w:r>
        <w:rPr>
          <w:rFonts w:ascii="Times New Roman" w:cs="Times New Roman" w:eastAsia="Times New Roman" w:hAnsi="Times New Roman"/>
          <w:sz w:val="15"/>
          <w:szCs w:val="15"/>
          <w:b w:val="1"/>
          <w:bCs w:val="1"/>
          <w:color w:val="282A33"/>
        </w:rPr>
        <w:t xml:space="preserve">PG </w:t>
      </w:r>
      <w:r>
        <w:rPr>
          <w:rFonts w:ascii="Arial" w:cs="Arial" w:eastAsia="Arial" w:hAnsi="Arial"/>
          <w:sz w:val="15"/>
          <w:szCs w:val="15"/>
          <w:b w:val="1"/>
          <w:bCs w:val="1"/>
          <w:color w:val="282A33"/>
        </w:rPr>
        <w:t>| 3</w:t>
      </w:r>
    </w:p>
    <w:p>
      <w:pPr>
        <w:sectPr>
          <w:pgSz w:w="12240" w:h="15840" w:orient="portrait"/>
          <w:cols w:equalWidth="0" w:num="1">
            <w:col w:w="10440"/>
          </w:cols>
          <w:pgMar w:left="1440" w:top="1153" w:right="360" w:bottom="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100" w:right="800"/>
        <w:spacing w:after="0" w:line="264" w:lineRule="auto"/>
        <w:rPr>
          <w:sz w:val="20"/>
          <w:szCs w:val="20"/>
          <w:color w:val="auto"/>
        </w:rPr>
      </w:pPr>
      <w:r>
        <w:rPr>
          <w:rFonts w:ascii="Times New Roman" w:cs="Times New Roman" w:eastAsia="Times New Roman" w:hAnsi="Times New Roman"/>
          <w:sz w:val="36"/>
          <w:szCs w:val="36"/>
          <w:color w:val="3D3935"/>
        </w:rPr>
        <w:t>Our success in 2025 was grounded in a simple but powerful formula: focus on operational excellence, deliver exceptional service to customers, and invest strategically to modernize our systems and expand our platform.”</w:t>
      </w:r>
    </w:p>
    <w:p>
      <w:pPr>
        <w:spacing w:after="0" w:line="229" w:lineRule="exact"/>
        <w:rPr>
          <w:sz w:val="20"/>
          <w:szCs w:val="20"/>
          <w:color w:val="auto"/>
        </w:rPr>
      </w:pPr>
    </w:p>
    <w:p>
      <w:pPr>
        <w:ind w:left="2100"/>
        <w:spacing w:after="0"/>
        <w:rPr>
          <w:sz w:val="20"/>
          <w:szCs w:val="20"/>
          <w:color w:val="auto"/>
        </w:rPr>
      </w:pPr>
      <w:r>
        <w:rPr>
          <w:rFonts w:ascii="Arial" w:cs="Arial" w:eastAsia="Arial" w:hAnsi="Arial"/>
          <w:sz w:val="36"/>
          <w:szCs w:val="36"/>
          <w:b w:val="1"/>
          <w:bCs w:val="1"/>
          <w:color w:val="E67324"/>
        </w:rPr>
        <w:t>Tom Meissner</w:t>
      </w:r>
    </w:p>
    <w:p>
      <w:pPr>
        <w:spacing w:after="0" w:line="105" w:lineRule="exact"/>
        <w:rPr>
          <w:sz w:val="20"/>
          <w:szCs w:val="20"/>
          <w:color w:val="auto"/>
        </w:rPr>
      </w:pPr>
    </w:p>
    <w:p>
      <w:pPr>
        <w:ind w:left="2100"/>
        <w:spacing w:after="0"/>
        <w:rPr>
          <w:sz w:val="20"/>
          <w:szCs w:val="20"/>
          <w:color w:val="auto"/>
        </w:rPr>
      </w:pPr>
      <w:r>
        <w:rPr>
          <w:rFonts w:ascii="Arial" w:cs="Arial" w:eastAsia="Arial" w:hAnsi="Arial"/>
          <w:sz w:val="22"/>
          <w:szCs w:val="22"/>
          <w:i w:val="1"/>
          <w:iCs w:val="1"/>
          <w:color w:val="3D3935"/>
        </w:rPr>
        <w:t>Chairman of the Board</w:t>
      </w:r>
    </w:p>
    <w:p>
      <w:pPr>
        <w:spacing w:after="0" w:line="46" w:lineRule="exact"/>
        <w:rPr>
          <w:sz w:val="20"/>
          <w:szCs w:val="20"/>
          <w:color w:val="auto"/>
        </w:rPr>
      </w:pPr>
    </w:p>
    <w:p>
      <w:pPr>
        <w:ind w:left="2100"/>
        <w:spacing w:after="0"/>
        <w:rPr>
          <w:sz w:val="20"/>
          <w:szCs w:val="20"/>
          <w:color w:val="auto"/>
        </w:rPr>
      </w:pPr>
      <w:r>
        <w:rPr>
          <w:rFonts w:ascii="Arial" w:cs="Arial" w:eastAsia="Arial" w:hAnsi="Arial"/>
          <w:sz w:val="22"/>
          <w:szCs w:val="22"/>
          <w:i w:val="1"/>
          <w:iCs w:val="1"/>
          <w:color w:val="3D3935"/>
        </w:rPr>
        <w:t>and Chief Executive Officer</w:t>
      </w:r>
    </w:p>
    <w:p>
      <w:pPr>
        <w:sectPr>
          <w:pgSz w:w="12240" w:h="15840" w:orient="portrait"/>
          <w:cols w:equalWidth="0" w:num="1">
            <w:col w:w="10420"/>
          </w:cols>
          <w:pgMar w:left="38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color w:val="282A33"/>
        </w:rPr>
        <w:t xml:space="preserve">PG </w:t>
      </w:r>
      <w:r>
        <w:rPr>
          <w:rFonts w:ascii="Arial" w:cs="Arial" w:eastAsia="Arial" w:hAnsi="Arial"/>
          <w:sz w:val="16"/>
          <w:szCs w:val="16"/>
          <w:color w:val="282A33"/>
        </w:rPr>
        <w:t>| 4</w:t>
      </w:r>
      <w:r>
        <w:rPr>
          <w:sz w:val="20"/>
          <w:szCs w:val="20"/>
          <w:color w:val="auto"/>
        </w:rPr>
        <w:tab/>
      </w:r>
      <w:r>
        <w:rPr>
          <w:rFonts w:ascii="Times New Roman" w:cs="Times New Roman" w:eastAsia="Times New Roman" w:hAnsi="Times New Roman"/>
          <w:sz w:val="16"/>
          <w:szCs w:val="16"/>
          <w:color w:val="468AC9"/>
        </w:rPr>
        <w:t xml:space="preserve">2025 </w:t>
      </w:r>
      <w:r>
        <w:rPr>
          <w:rFonts w:ascii="Times New Roman" w:cs="Times New Roman" w:eastAsia="Times New Roman" w:hAnsi="Times New Roman"/>
          <w:sz w:val="16"/>
          <w:szCs w:val="16"/>
          <w:color w:val="282A33"/>
        </w:rPr>
        <w:t>Annual Report</w:t>
      </w:r>
    </w:p>
    <w:p>
      <w:pPr>
        <w:sectPr>
          <w:pgSz w:w="12240" w:h="15840" w:orient="portrait"/>
          <w:cols w:equalWidth="0" w:num="1">
            <w:col w:w="10420"/>
          </w:cols>
          <w:pgMar w:left="380" w:top="1440" w:right="1440" w:bottom="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41865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772400" cy="41865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96"/>
          <w:szCs w:val="96"/>
          <w:color w:val="FFFFFF"/>
        </w:rPr>
        <w:t>Chairman’s Letter</w:t>
      </w:r>
    </w:p>
    <w:p>
      <w:pPr>
        <w:spacing w:after="0" w:line="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52"/>
          <w:szCs w:val="52"/>
          <w:color w:val="FFFFFF"/>
        </w:rPr>
        <w:t>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1700530</wp:posOffset>
            </wp:positionV>
            <wp:extent cx="7772400" cy="58712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72400" cy="5871210"/>
                    </a:xfrm>
                    <a:prstGeom prst="rect">
                      <a:avLst/>
                    </a:prstGeom>
                    <a:noFill/>
                  </pic:spPr>
                </pic:pic>
              </a:graphicData>
            </a:graphic>
          </wp:anchor>
        </w:drawing>
      </w:r>
    </w:p>
    <w:p>
      <w:pPr>
        <w:sectPr>
          <w:pgSz w:w="12240" w:h="15840" w:orient="portrait"/>
          <w:cols w:equalWidth="0" w:num="1">
            <w:col w:w="10440"/>
          </w:cols>
          <w:pgMar w:left="1440" w:top="1440"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36"/>
          <w:szCs w:val="36"/>
          <w:color w:val="3D3935"/>
        </w:rPr>
        <w:t>Fellow Shareholders,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40" w:right="120"/>
        <w:spacing w:after="0" w:line="306" w:lineRule="auto"/>
        <w:rPr>
          <w:sz w:val="20"/>
          <w:szCs w:val="20"/>
          <w:color w:val="auto"/>
        </w:rPr>
      </w:pPr>
      <w:r>
        <w:rPr>
          <w:rFonts w:ascii="Arial" w:cs="Arial" w:eastAsia="Arial" w:hAnsi="Arial"/>
          <w:sz w:val="22"/>
          <w:szCs w:val="22"/>
          <w:color w:val="3D3935"/>
        </w:rPr>
        <w:t>I am pleased to report that 2025 was a defining year for our Company. Across every part of our business, we delivered record performance, expanded our regulated platform, and made disciplined investments that strengthen our ability to serve customers and create value for shareholders well into the future. From strategic acquisitions to major infrastructure initiatives, the progress we achieved reflects a company executing with clarity, confidence, and purpose.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340"/>
        <w:spacing w:after="0" w:line="306" w:lineRule="auto"/>
        <w:rPr>
          <w:sz w:val="20"/>
          <w:szCs w:val="20"/>
          <w:color w:val="auto"/>
        </w:rPr>
      </w:pPr>
      <w:r>
        <w:rPr>
          <w:rFonts w:ascii="Arial" w:cs="Arial" w:eastAsia="Arial" w:hAnsi="Arial"/>
          <w:sz w:val="22"/>
          <w:szCs w:val="22"/>
          <w:color w:val="3D3935"/>
        </w:rPr>
        <w:t>Our success in 2025 was grounded in a simple but powerful formula: focus on operational excellence, deliver exceptional service to customers, and invest strategically to modernize our systems and expand our platform. At the heart of our success is our employees, whose expertise, innovation, and dedication fuel every achievement. Together, these strengths allowed us not only to deliver strong financial and operational results, but also to position us for sustained, long-term success in an evolving energy landscape.</w:t>
      </w:r>
    </w:p>
    <w:p>
      <w:pPr>
        <w:spacing w:after="0" w:line="200" w:lineRule="exact"/>
        <w:rPr>
          <w:sz w:val="20"/>
          <w:szCs w:val="20"/>
          <w:color w:val="auto"/>
        </w:rPr>
      </w:pPr>
    </w:p>
    <w:p>
      <w:pPr>
        <w:sectPr>
          <w:pgSz w:w="12240" w:h="15840" w:orient="portrait"/>
          <w:cols w:equalWidth="0" w:num="2">
            <w:col w:w="4420" w:space="720"/>
            <w:col w:w="5300"/>
          </w:cols>
          <w:pgMar w:left="1440" w:top="1440" w:right="3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0020"/>
        <w:spacing w:after="0"/>
        <w:rPr>
          <w:sz w:val="20"/>
          <w:szCs w:val="20"/>
          <w:color w:val="auto"/>
        </w:rPr>
      </w:pPr>
      <w:r>
        <w:rPr>
          <w:rFonts w:ascii="Times New Roman" w:cs="Times New Roman" w:eastAsia="Times New Roman" w:hAnsi="Times New Roman"/>
          <w:sz w:val="15"/>
          <w:szCs w:val="15"/>
          <w:color w:val="282A33"/>
        </w:rPr>
        <w:t xml:space="preserve">PG </w:t>
      </w:r>
      <w:r>
        <w:rPr>
          <w:rFonts w:ascii="Arial" w:cs="Arial" w:eastAsia="Arial" w:hAnsi="Arial"/>
          <w:sz w:val="15"/>
          <w:szCs w:val="15"/>
          <w:color w:val="282A33"/>
        </w:rPr>
        <w:t>| 5</w:t>
      </w:r>
    </w:p>
    <w:p>
      <w:pPr>
        <w:sectPr>
          <w:pgSz w:w="12240" w:h="15840" w:orient="portrait"/>
          <w:cols w:equalWidth="0" w:num="1">
            <w:col w:w="10440"/>
          </w:cols>
          <w:pgMar w:left="1440" w:top="1440" w:right="360" w:bottom="0" w:gutter="0" w:footer="0" w:header="0"/>
          <w:type w:val="continuous"/>
        </w:sectPr>
      </w:pPr>
    </w:p>
    <w:bookmarkStart w:id="5" w:name="page6"/>
    <w:bookmarkEnd w:id="5"/>
    <w:p>
      <w:pPr>
        <w:ind w:left="1120"/>
        <w:spacing w:after="0"/>
        <w:rPr>
          <w:sz w:val="20"/>
          <w:szCs w:val="20"/>
          <w:color w:val="auto"/>
        </w:rPr>
      </w:pPr>
      <w:r>
        <w:rPr>
          <w:rFonts w:ascii="Times New Roman" w:cs="Times New Roman" w:eastAsia="Times New Roman" w:hAnsi="Times New Roman"/>
          <w:sz w:val="84"/>
          <w:szCs w:val="84"/>
          <w:color w:val="3D3935"/>
        </w:rPr>
        <w:drawing>
          <wp:anchor simplePos="0" relativeHeight="251657728" behindDoc="1" locked="0" layoutInCell="0" allowOverlap="1">
            <wp:simplePos x="0" y="0"/>
            <wp:positionH relativeFrom="page">
              <wp:posOffset>0</wp:posOffset>
            </wp:positionH>
            <wp:positionV relativeFrom="page">
              <wp:posOffset>0</wp:posOffset>
            </wp:positionV>
            <wp:extent cx="7772400" cy="6943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72400" cy="6943725"/>
                    </a:xfrm>
                    <a:prstGeom prst="rect">
                      <a:avLst/>
                    </a:prstGeom>
                    <a:noFill/>
                  </pic:spPr>
                </pic:pic>
              </a:graphicData>
            </a:graphic>
          </wp:anchor>
        </w:drawing>
        <w:t xml:space="preserve">Company Successes: </w:t>
      </w:r>
      <w:r>
        <w:rPr>
          <w:rFonts w:ascii="Times New Roman" w:cs="Times New Roman" w:eastAsia="Times New Roman" w:hAnsi="Times New Roman"/>
          <w:sz w:val="84"/>
          <w:szCs w:val="84"/>
          <w:color w:val="468AC9"/>
        </w:rPr>
        <w:t>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52"/>
          <w:szCs w:val="52"/>
          <w:color w:val="3D3935"/>
        </w:rPr>
        <w:t>Financial Integrity</w:t>
      </w:r>
    </w:p>
    <w:p>
      <w:pPr>
        <w:sectPr>
          <w:pgSz w:w="12240" w:h="15840" w:orient="portrait"/>
          <w:cols w:equalWidth="0" w:num="1">
            <w:col w:w="10420"/>
          </w:cols>
          <w:pgMar w:left="380" w:top="1170"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69"/>
          <w:szCs w:val="69"/>
          <w:color w:val="282A33"/>
          <w:vertAlign w:val="superscript"/>
        </w:rPr>
        <w:t>$</w:t>
      </w:r>
      <w:r>
        <w:rPr>
          <w:rFonts w:ascii="Times New Roman" w:cs="Times New Roman" w:eastAsia="Times New Roman" w:hAnsi="Times New Roman"/>
          <w:sz w:val="60"/>
          <w:szCs w:val="60"/>
          <w:color w:val="282A33"/>
        </w:rPr>
        <w:t>2.97</w:t>
      </w:r>
    </w:p>
    <w:p>
      <w:pPr>
        <w:ind w:left="1040"/>
        <w:spacing w:after="0" w:line="238" w:lineRule="auto"/>
        <w:rPr>
          <w:sz w:val="20"/>
          <w:szCs w:val="20"/>
          <w:color w:val="auto"/>
        </w:rPr>
      </w:pPr>
      <w:r>
        <w:rPr>
          <w:rFonts w:ascii="Arial" w:cs="Arial" w:eastAsia="Arial" w:hAnsi="Arial"/>
          <w:sz w:val="24"/>
          <w:szCs w:val="24"/>
          <w:color w:val="3D3935"/>
        </w:rPr>
        <w:t>GAAP Earnings</w:t>
      </w:r>
    </w:p>
    <w:p>
      <w:pPr>
        <w:ind w:left="1040"/>
        <w:spacing w:after="0" w:line="228" w:lineRule="auto"/>
        <w:rPr>
          <w:sz w:val="20"/>
          <w:szCs w:val="20"/>
          <w:color w:val="auto"/>
        </w:rPr>
      </w:pPr>
      <w:r>
        <w:rPr>
          <w:rFonts w:ascii="Arial" w:cs="Arial" w:eastAsia="Arial" w:hAnsi="Arial"/>
          <w:sz w:val="24"/>
          <w:szCs w:val="24"/>
          <w:color w:val="3D3935"/>
        </w:rPr>
        <w:t>Per Share</w:t>
      </w:r>
    </w:p>
    <w:p>
      <w:pPr>
        <w:spacing w:after="0" w:line="17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69"/>
          <w:szCs w:val="69"/>
          <w:color w:val="282A33"/>
          <w:vertAlign w:val="superscript"/>
        </w:rPr>
        <w:t>$</w:t>
      </w:r>
      <w:r>
        <w:rPr>
          <w:rFonts w:ascii="Times New Roman" w:cs="Times New Roman" w:eastAsia="Times New Roman" w:hAnsi="Times New Roman"/>
          <w:sz w:val="60"/>
          <w:szCs w:val="60"/>
          <w:color w:val="282A33"/>
        </w:rPr>
        <w:t>3.16</w:t>
      </w:r>
    </w:p>
    <w:p>
      <w:pPr>
        <w:ind w:left="1040"/>
        <w:spacing w:after="0" w:line="238" w:lineRule="auto"/>
        <w:rPr>
          <w:sz w:val="20"/>
          <w:szCs w:val="20"/>
          <w:color w:val="auto"/>
        </w:rPr>
      </w:pPr>
      <w:r>
        <w:rPr>
          <w:rFonts w:ascii="Arial" w:cs="Arial" w:eastAsia="Arial" w:hAnsi="Arial"/>
          <w:sz w:val="24"/>
          <w:szCs w:val="24"/>
          <w:color w:val="3D3935"/>
        </w:rPr>
        <w:t>Adjusted Earnings</w:t>
      </w:r>
    </w:p>
    <w:p>
      <w:pPr>
        <w:ind w:left="1040"/>
        <w:spacing w:after="0" w:line="226" w:lineRule="auto"/>
        <w:rPr>
          <w:sz w:val="20"/>
          <w:szCs w:val="20"/>
          <w:color w:val="auto"/>
        </w:rPr>
      </w:pPr>
      <w:r>
        <w:rPr>
          <w:rFonts w:ascii="Arial" w:cs="Arial" w:eastAsia="Arial" w:hAnsi="Arial"/>
          <w:sz w:val="24"/>
          <w:szCs w:val="24"/>
          <w:color w:val="3D3935"/>
        </w:rPr>
        <w:t>Per Share</w:t>
      </w:r>
    </w:p>
    <w:p>
      <w:pPr>
        <w:spacing w:after="0" w:line="325" w:lineRule="exact"/>
        <w:rPr>
          <w:sz w:val="20"/>
          <w:szCs w:val="20"/>
          <w:color w:val="auto"/>
        </w:rPr>
      </w:pPr>
    </w:p>
    <w:p>
      <w:pPr>
        <w:ind w:left="1040"/>
        <w:spacing w:after="0" w:line="307" w:lineRule="auto"/>
        <w:rPr>
          <w:sz w:val="20"/>
          <w:szCs w:val="20"/>
          <w:color w:val="auto"/>
        </w:rPr>
      </w:pPr>
      <w:r>
        <w:rPr>
          <w:rFonts w:ascii="Arial" w:cs="Arial" w:eastAsia="Arial" w:hAnsi="Arial"/>
          <w:sz w:val="19"/>
          <w:szCs w:val="19"/>
          <w:color w:val="3D3935"/>
        </w:rPr>
        <w:t>Our GAAP net income, which includes transaction costs, increased by 6.6% to $50.2 million, with a GAAP EPS of $2.97.</w:t>
      </w:r>
      <w:r>
        <w:rPr>
          <w:rFonts w:ascii="Arial" w:cs="Arial" w:eastAsia="Arial" w:hAnsi="Arial"/>
          <w:sz w:val="22"/>
          <w:szCs w:val="22"/>
          <w:color w:val="3D3935"/>
          <w:vertAlign w:val="superscript"/>
        </w:rPr>
        <w:t>3</w:t>
      </w:r>
      <w:r>
        <w:rPr>
          <w:rFonts w:ascii="Arial" w:cs="Arial" w:eastAsia="Arial" w:hAnsi="Arial"/>
          <w:sz w:val="19"/>
          <w:szCs w:val="19"/>
          <w:color w:val="3D3935"/>
        </w:rPr>
        <w:t xml:space="preserve"> Adjusted Net Income rose by 11.5% to $53.3 million, increasing adjusted EPS by 6.4%.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60"/>
          <w:szCs w:val="60"/>
          <w:color w:val="282A33"/>
        </w:rPr>
        <w:t>8.9</w:t>
      </w:r>
      <w:r>
        <w:rPr>
          <w:rFonts w:ascii="Times New Roman" w:cs="Times New Roman" w:eastAsia="Times New Roman" w:hAnsi="Times New Roman"/>
          <w:sz w:val="69"/>
          <w:szCs w:val="69"/>
          <w:color w:val="282A33"/>
          <w:vertAlign w:val="superscript"/>
        </w:rPr>
        <w:t>%</w:t>
      </w:r>
    </w:p>
    <w:p>
      <w:pPr>
        <w:spacing w:after="0" w:line="18" w:lineRule="exact"/>
        <w:rPr>
          <w:sz w:val="20"/>
          <w:szCs w:val="20"/>
          <w:color w:val="auto"/>
        </w:rPr>
      </w:pPr>
    </w:p>
    <w:p>
      <w:pPr>
        <w:ind w:right="1040"/>
        <w:spacing w:after="0" w:line="251" w:lineRule="auto"/>
        <w:rPr>
          <w:sz w:val="20"/>
          <w:szCs w:val="20"/>
          <w:color w:val="auto"/>
        </w:rPr>
      </w:pPr>
      <w:r>
        <w:rPr>
          <w:rFonts w:ascii="Arial" w:cs="Arial" w:eastAsia="Arial" w:hAnsi="Arial"/>
          <w:sz w:val="22"/>
          <w:szCs w:val="22"/>
          <w:color w:val="3D3935"/>
        </w:rPr>
        <w:t>GAAP Return on Equity (ROE)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60"/>
          <w:szCs w:val="60"/>
          <w:color w:val="282A33"/>
        </w:rPr>
        <w:t>9.5</w:t>
      </w:r>
      <w:r>
        <w:rPr>
          <w:rFonts w:ascii="Times New Roman" w:cs="Times New Roman" w:eastAsia="Times New Roman" w:hAnsi="Times New Roman"/>
          <w:sz w:val="69"/>
          <w:szCs w:val="69"/>
          <w:color w:val="282A33"/>
          <w:vertAlign w:val="superscript"/>
        </w:rPr>
        <w:t>%</w:t>
      </w:r>
    </w:p>
    <w:p>
      <w:pPr>
        <w:spacing w:after="0" w:line="18" w:lineRule="exact"/>
        <w:rPr>
          <w:sz w:val="20"/>
          <w:szCs w:val="20"/>
          <w:color w:val="auto"/>
        </w:rPr>
      </w:pPr>
    </w:p>
    <w:p>
      <w:pPr>
        <w:jc w:val="both"/>
        <w:ind w:right="940"/>
        <w:spacing w:after="0" w:line="224" w:lineRule="auto"/>
        <w:rPr>
          <w:sz w:val="20"/>
          <w:szCs w:val="20"/>
          <w:color w:val="auto"/>
        </w:rPr>
      </w:pPr>
      <w:r>
        <w:rPr>
          <w:rFonts w:ascii="Arial" w:cs="Arial" w:eastAsia="Arial" w:hAnsi="Arial"/>
          <w:sz w:val="24"/>
          <w:szCs w:val="24"/>
          <w:color w:val="3D3935"/>
        </w:rPr>
        <w:t>Adjusted Return on Equity (ROE)</w:t>
      </w:r>
    </w:p>
    <w:p>
      <w:pPr>
        <w:spacing w:after="0" w:line="326" w:lineRule="exact"/>
        <w:rPr>
          <w:sz w:val="20"/>
          <w:szCs w:val="20"/>
          <w:color w:val="auto"/>
        </w:rPr>
      </w:pPr>
    </w:p>
    <w:p>
      <w:pPr>
        <w:ind w:right="120"/>
        <w:spacing w:after="0" w:line="297" w:lineRule="auto"/>
        <w:rPr>
          <w:sz w:val="20"/>
          <w:szCs w:val="20"/>
          <w:color w:val="auto"/>
        </w:rPr>
      </w:pPr>
      <w:r>
        <w:rPr>
          <w:rFonts w:ascii="Arial" w:cs="Arial" w:eastAsia="Arial" w:hAnsi="Arial"/>
          <w:sz w:val="20"/>
          <w:szCs w:val="20"/>
          <w:color w:val="3D3935"/>
        </w:rPr>
        <w:t>Based on consolidated GAAP net income, which includes transaction costs, our consolidated ROE was 8.9%. Our Adjusted consolidated earned ROE of 9.5% exceeded our weighted average authorized return.</w:t>
      </w:r>
      <w:r>
        <w:rPr>
          <w:rFonts w:ascii="Arial" w:cs="Arial" w:eastAsia="Arial" w:hAnsi="Arial"/>
          <w:sz w:val="23"/>
          <w:szCs w:val="23"/>
          <w:color w:val="3D3935"/>
          <w:vertAlign w:val="superscript"/>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69"/>
          <w:szCs w:val="69"/>
          <w:color w:val="282A33"/>
          <w:vertAlign w:val="superscript"/>
        </w:rPr>
        <w:t>$</w:t>
      </w:r>
      <w:r>
        <w:rPr>
          <w:rFonts w:ascii="Times New Roman" w:cs="Times New Roman" w:eastAsia="Times New Roman" w:hAnsi="Times New Roman"/>
          <w:sz w:val="60"/>
          <w:szCs w:val="60"/>
          <w:color w:val="282A33"/>
        </w:rPr>
        <w:t>1.80</w:t>
      </w:r>
    </w:p>
    <w:p>
      <w:pPr>
        <w:spacing w:after="0" w:line="238" w:lineRule="auto"/>
        <w:rPr>
          <w:sz w:val="20"/>
          <w:szCs w:val="20"/>
          <w:color w:val="auto"/>
        </w:rPr>
      </w:pPr>
      <w:r>
        <w:rPr>
          <w:rFonts w:ascii="Arial" w:cs="Arial" w:eastAsia="Arial" w:hAnsi="Arial"/>
          <w:sz w:val="24"/>
          <w:szCs w:val="24"/>
          <w:color w:val="3D3935"/>
        </w:rPr>
        <w:t>2025 Annual</w:t>
      </w:r>
    </w:p>
    <w:p>
      <w:pPr>
        <w:spacing w:after="0" w:line="228" w:lineRule="auto"/>
        <w:rPr>
          <w:sz w:val="20"/>
          <w:szCs w:val="20"/>
          <w:color w:val="auto"/>
        </w:rPr>
      </w:pPr>
      <w:r>
        <w:rPr>
          <w:rFonts w:ascii="Arial" w:cs="Arial" w:eastAsia="Arial" w:hAnsi="Arial"/>
          <w:sz w:val="24"/>
          <w:szCs w:val="24"/>
          <w:color w:val="3D3935"/>
        </w:rPr>
        <w:t>Dividend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60"/>
          <w:szCs w:val="60"/>
          <w:color w:val="282A33"/>
        </w:rPr>
        <w:t>5.9</w:t>
      </w:r>
      <w:r>
        <w:rPr>
          <w:rFonts w:ascii="Times New Roman" w:cs="Times New Roman" w:eastAsia="Times New Roman" w:hAnsi="Times New Roman"/>
          <w:sz w:val="69"/>
          <w:szCs w:val="69"/>
          <w:color w:val="282A33"/>
          <w:vertAlign w:val="superscript"/>
        </w:rPr>
        <w:t>%</w:t>
      </w:r>
    </w:p>
    <w:p>
      <w:pPr>
        <w:spacing w:after="0" w:line="238" w:lineRule="auto"/>
        <w:rPr>
          <w:sz w:val="20"/>
          <w:szCs w:val="20"/>
          <w:color w:val="auto"/>
        </w:rPr>
      </w:pPr>
      <w:r>
        <w:rPr>
          <w:rFonts w:ascii="Arial" w:cs="Arial" w:eastAsia="Arial" w:hAnsi="Arial"/>
          <w:sz w:val="24"/>
          <w:szCs w:val="24"/>
          <w:color w:val="3D3935"/>
        </w:rPr>
        <w:t>Annual Dividend</w:t>
      </w:r>
    </w:p>
    <w:p>
      <w:pPr>
        <w:spacing w:after="0" w:line="226" w:lineRule="auto"/>
        <w:rPr>
          <w:sz w:val="20"/>
          <w:szCs w:val="20"/>
          <w:color w:val="auto"/>
        </w:rPr>
      </w:pPr>
      <w:r>
        <w:rPr>
          <w:rFonts w:ascii="Arial" w:cs="Arial" w:eastAsia="Arial" w:hAnsi="Arial"/>
          <w:sz w:val="24"/>
          <w:szCs w:val="24"/>
          <w:color w:val="3D3935"/>
        </w:rPr>
        <w:t>Increase</w:t>
      </w:r>
    </w:p>
    <w:p>
      <w:pPr>
        <w:spacing w:after="0" w:line="325" w:lineRule="exact"/>
        <w:rPr>
          <w:sz w:val="20"/>
          <w:szCs w:val="20"/>
          <w:color w:val="auto"/>
        </w:rPr>
      </w:pPr>
    </w:p>
    <w:p>
      <w:pPr>
        <w:ind w:right="360"/>
        <w:spacing w:after="0" w:line="316" w:lineRule="auto"/>
        <w:rPr>
          <w:sz w:val="20"/>
          <w:szCs w:val="20"/>
          <w:color w:val="auto"/>
        </w:rPr>
      </w:pPr>
      <w:r>
        <w:rPr>
          <w:rFonts w:ascii="Arial" w:cs="Arial" w:eastAsia="Arial" w:hAnsi="Arial"/>
          <w:sz w:val="19"/>
          <w:szCs w:val="19"/>
          <w:color w:val="3D3935"/>
        </w:rPr>
        <w:t>We increased the annual dividend by $0.10 per share, or 5.9%, while maintaining a payout ratio near the lower end of our targeted payout range of 55% - 65%.</w:t>
      </w:r>
    </w:p>
    <w:p>
      <w:pPr>
        <w:spacing w:after="0" w:line="793" w:lineRule="exact"/>
        <w:rPr>
          <w:sz w:val="20"/>
          <w:szCs w:val="20"/>
          <w:color w:val="auto"/>
        </w:rPr>
      </w:pPr>
    </w:p>
    <w:p>
      <w:pPr>
        <w:sectPr>
          <w:pgSz w:w="12240" w:h="15840" w:orient="portrait"/>
          <w:cols w:equalWidth="0" w:num="3">
            <w:col w:w="3420" w:space="720"/>
            <w:col w:w="2700" w:space="720"/>
            <w:col w:w="2860"/>
          </w:cols>
          <w:pgMar w:left="380" w:top="1170" w:right="1440" w:bottom="0" w:gutter="0" w:footer="0" w:header="0"/>
          <w:type w:val="continuous"/>
        </w:sectPr>
      </w:pPr>
    </w:p>
    <w:p>
      <w:pPr>
        <w:spacing w:after="0" w:line="129" w:lineRule="exact"/>
        <w:rPr>
          <w:sz w:val="20"/>
          <w:szCs w:val="20"/>
          <w:color w:val="auto"/>
        </w:rPr>
      </w:pPr>
    </w:p>
    <w:p>
      <w:pPr>
        <w:ind w:left="1100" w:hanging="69"/>
        <w:spacing w:after="0"/>
        <w:tabs>
          <w:tab w:leader="none" w:pos="1100" w:val="left"/>
        </w:tabs>
        <w:numPr>
          <w:ilvl w:val="0"/>
          <w:numId w:val="3"/>
        </w:numPr>
        <w:rPr>
          <w:rFonts w:ascii="Arial" w:cs="Arial" w:eastAsia="Arial" w:hAnsi="Arial"/>
          <w:sz w:val="16"/>
          <w:szCs w:val="16"/>
          <w:color w:val="3D3935"/>
          <w:vertAlign w:val="superscript"/>
        </w:rPr>
      </w:pPr>
      <w:r>
        <w:rPr>
          <w:rFonts w:ascii="Arial" w:cs="Arial" w:eastAsia="Arial" w:hAnsi="Arial"/>
          <w:sz w:val="14"/>
          <w:szCs w:val="14"/>
          <w:color w:val="3D3935"/>
        </w:rPr>
        <w:t>The Company has reconciled Adjusted Net Income to GAAP Net Income at page 24 of its 2025 SEC Form 10-K.</w:t>
      </w:r>
    </w:p>
    <w:p>
      <w:pPr>
        <w:spacing w:after="0" w:line="32" w:lineRule="exact"/>
        <w:rPr>
          <w:sz w:val="20"/>
          <w:szCs w:val="20"/>
          <w:color w:val="auto"/>
        </w:rPr>
      </w:pPr>
    </w:p>
    <w:p>
      <w:pPr>
        <w:ind w:left="1040"/>
        <w:spacing w:after="0"/>
        <w:rPr>
          <w:sz w:val="20"/>
          <w:szCs w:val="20"/>
          <w:color w:val="auto"/>
        </w:rPr>
      </w:pPr>
      <w:r>
        <w:rPr>
          <w:rFonts w:ascii="Arial" w:cs="Arial" w:eastAsia="Arial" w:hAnsi="Arial"/>
          <w:sz w:val="16"/>
          <w:szCs w:val="16"/>
          <w:color w:val="3D3935"/>
          <w:vertAlign w:val="superscript"/>
        </w:rPr>
        <w:t>4</w:t>
      </w:r>
      <w:r>
        <w:rPr>
          <w:rFonts w:ascii="Arial" w:cs="Arial" w:eastAsia="Arial" w:hAnsi="Arial"/>
          <w:sz w:val="14"/>
          <w:szCs w:val="14"/>
          <w:color w:val="3D3935"/>
        </w:rPr>
        <w:t xml:space="preserve"> Adjusted ROE is calculated as the ratio of 2025 Adjusted Net Income to average 2025 Total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448945</wp:posOffset>
            </wp:positionV>
            <wp:extent cx="7772400" cy="31146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72400" cy="311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84"/>
          <w:szCs w:val="84"/>
          <w:color w:val="FFFFFF"/>
        </w:rPr>
        <w:t>4</w:t>
      </w:r>
    </w:p>
    <w:p>
      <w:pPr>
        <w:spacing w:after="0" w:line="78" w:lineRule="exact"/>
        <w:rPr>
          <w:sz w:val="20"/>
          <w:szCs w:val="20"/>
          <w:color w:val="auto"/>
        </w:rPr>
      </w:pPr>
    </w:p>
    <w:p>
      <w:pPr>
        <w:ind w:left="4740"/>
        <w:spacing w:after="0"/>
        <w:rPr>
          <w:sz w:val="20"/>
          <w:szCs w:val="20"/>
          <w:color w:val="auto"/>
        </w:rPr>
      </w:pPr>
      <w:r>
        <w:rPr>
          <w:rFonts w:ascii="Arial" w:cs="Arial" w:eastAsia="Arial" w:hAnsi="Arial"/>
          <w:sz w:val="26"/>
          <w:szCs w:val="26"/>
          <w:color w:val="FFFFFF"/>
        </w:rPr>
        <w:t>Consecutive Years</w:t>
      </w:r>
    </w:p>
    <w:p>
      <w:pPr>
        <w:spacing w:after="0" w:line="222" w:lineRule="exact"/>
        <w:rPr>
          <w:sz w:val="20"/>
          <w:szCs w:val="20"/>
          <w:color w:val="auto"/>
        </w:rPr>
      </w:pPr>
    </w:p>
    <w:p>
      <w:pPr>
        <w:jc w:val="both"/>
        <w:ind w:left="4740" w:right="920"/>
        <w:spacing w:after="0" w:line="311" w:lineRule="auto"/>
        <w:rPr>
          <w:sz w:val="20"/>
          <w:szCs w:val="20"/>
          <w:color w:val="auto"/>
        </w:rPr>
      </w:pPr>
      <w:r>
        <w:rPr>
          <w:rFonts w:ascii="Arial" w:cs="Arial" w:eastAsia="Arial" w:hAnsi="Arial"/>
          <w:sz w:val="22"/>
          <w:szCs w:val="22"/>
          <w:color w:val="FFFFFF"/>
        </w:rPr>
        <w:t xml:space="preserve">For the fourth consecutive year, we were ranked as one of the best companies to work for in New Hampshire by </w:t>
      </w:r>
      <w:r>
        <w:rPr>
          <w:rFonts w:ascii="Arial" w:cs="Arial" w:eastAsia="Arial" w:hAnsi="Arial"/>
          <w:sz w:val="22"/>
          <w:szCs w:val="22"/>
          <w:i w:val="1"/>
          <w:iCs w:val="1"/>
          <w:color w:val="FFFFFF"/>
        </w:rPr>
        <w:t>Business NH Magazine</w:t>
      </w:r>
      <w:r>
        <w:rPr>
          <w:rFonts w:ascii="Arial" w:cs="Arial" w:eastAsia="Arial" w:hAnsi="Arial"/>
          <w:sz w:val="22"/>
          <w:szCs w:val="22"/>
          <w:color w:val="FFFFFF"/>
        </w:rPr>
        <w:t>, earning us “Hall of Fame” status and solidifying our position as a coveted employer in the region.</w:t>
      </w:r>
    </w:p>
    <w:p>
      <w:pPr>
        <w:sectPr>
          <w:pgSz w:w="12240" w:h="15840" w:orient="portrait"/>
          <w:cols w:equalWidth="0" w:num="1">
            <w:col w:w="10420"/>
          </w:cols>
          <w:pgMar w:left="380" w:top="117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color w:val="282A33"/>
        </w:rPr>
        <w:t xml:space="preserve">PG </w:t>
      </w:r>
      <w:r>
        <w:rPr>
          <w:rFonts w:ascii="Arial" w:cs="Arial" w:eastAsia="Arial" w:hAnsi="Arial"/>
          <w:sz w:val="16"/>
          <w:szCs w:val="16"/>
          <w:color w:val="282A33"/>
        </w:rPr>
        <w:t>| 6</w:t>
      </w:r>
      <w:r>
        <w:rPr>
          <w:sz w:val="20"/>
          <w:szCs w:val="20"/>
          <w:color w:val="auto"/>
        </w:rPr>
        <w:tab/>
      </w:r>
      <w:r>
        <w:rPr>
          <w:rFonts w:ascii="Times New Roman" w:cs="Times New Roman" w:eastAsia="Times New Roman" w:hAnsi="Times New Roman"/>
          <w:sz w:val="16"/>
          <w:szCs w:val="16"/>
          <w:color w:val="468AC9"/>
        </w:rPr>
        <w:t xml:space="preserve">2025 </w:t>
      </w:r>
      <w:r>
        <w:rPr>
          <w:rFonts w:ascii="Times New Roman" w:cs="Times New Roman" w:eastAsia="Times New Roman" w:hAnsi="Times New Roman"/>
          <w:sz w:val="16"/>
          <w:szCs w:val="16"/>
          <w:color w:val="282A33"/>
        </w:rPr>
        <w:t>Annual Report</w:t>
      </w:r>
    </w:p>
    <w:p>
      <w:pPr>
        <w:sectPr>
          <w:pgSz w:w="12240" w:h="15840" w:orient="portrait"/>
          <w:cols w:equalWidth="0" w:num="1">
            <w:col w:w="10420"/>
          </w:cols>
          <w:pgMar w:left="380" w:top="1170" w:right="1440" w:bottom="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673735</wp:posOffset>
            </wp:positionV>
            <wp:extent cx="7772400" cy="9201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72400" cy="920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52"/>
          <w:szCs w:val="52"/>
          <w:color w:val="3D3935"/>
        </w:rPr>
        <w:t>Operational Excellence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-47625</wp:posOffset>
            </wp:positionV>
            <wp:extent cx="7772400" cy="7835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72400" cy="7835900"/>
                    </a:xfrm>
                    <a:prstGeom prst="rect">
                      <a:avLst/>
                    </a:prstGeom>
                    <a:noFill/>
                  </pic:spPr>
                </pic:pic>
              </a:graphicData>
            </a:graphic>
          </wp:anchor>
        </w:drawing>
      </w:r>
    </w:p>
    <w:p>
      <w:pPr>
        <w:spacing w:after="0" w:line="3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72"/>
          <w:szCs w:val="72"/>
          <w:color w:val="282A33"/>
        </w:rPr>
        <w:t>87</w:t>
      </w:r>
      <w:r>
        <w:rPr>
          <w:rFonts w:ascii="Times New Roman" w:cs="Times New Roman" w:eastAsia="Times New Roman" w:hAnsi="Times New Roman"/>
          <w:sz w:val="83"/>
          <w:szCs w:val="83"/>
          <w:color w:val="282A33"/>
          <w:vertAlign w:val="superscript"/>
        </w:rPr>
        <w:t>%</w:t>
      </w:r>
    </w:p>
    <w:p>
      <w:pPr>
        <w:ind w:left="500"/>
        <w:spacing w:after="0" w:line="222" w:lineRule="auto"/>
        <w:rPr>
          <w:sz w:val="20"/>
          <w:szCs w:val="20"/>
          <w:color w:val="auto"/>
        </w:rPr>
      </w:pPr>
      <w:r>
        <w:rPr>
          <w:rFonts w:ascii="Arial" w:cs="Arial" w:eastAsia="Arial" w:hAnsi="Arial"/>
          <w:sz w:val="26"/>
          <w:szCs w:val="26"/>
          <w:color w:val="3D3935"/>
        </w:rPr>
        <w:t>Customer Satisfaction Rating</w:t>
      </w:r>
    </w:p>
    <w:p>
      <w:pPr>
        <w:spacing w:after="0" w:line="230" w:lineRule="exact"/>
        <w:rPr>
          <w:sz w:val="20"/>
          <w:szCs w:val="20"/>
          <w:color w:val="auto"/>
        </w:rPr>
      </w:pPr>
    </w:p>
    <w:p>
      <w:pPr>
        <w:ind w:left="500" w:right="580"/>
        <w:spacing w:after="0" w:line="299" w:lineRule="auto"/>
        <w:rPr>
          <w:sz w:val="20"/>
          <w:szCs w:val="20"/>
          <w:color w:val="auto"/>
        </w:rPr>
      </w:pPr>
      <w:r>
        <w:rPr>
          <w:rFonts w:ascii="Arial" w:cs="Arial" w:eastAsia="Arial" w:hAnsi="Arial"/>
          <w:sz w:val="20"/>
          <w:szCs w:val="20"/>
          <w:color w:val="3D3935"/>
        </w:rPr>
        <w:t>We delivered exceptional service to customers, achieving a customer satisfaction rating of 87% compared to the national benchmark of 83%, despite high energy costs in the Northeast relative to other areas of the 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00" w:right="1160"/>
        <w:spacing w:after="0" w:line="303" w:lineRule="auto"/>
        <w:rPr>
          <w:sz w:val="20"/>
          <w:szCs w:val="20"/>
          <w:color w:val="auto"/>
        </w:rPr>
      </w:pPr>
      <w:r>
        <w:rPr>
          <w:rFonts w:ascii="Arial" w:cs="Arial" w:eastAsia="Arial" w:hAnsi="Arial"/>
          <w:sz w:val="20"/>
          <w:szCs w:val="20"/>
          <w:color w:val="3D3935"/>
        </w:rPr>
        <w:t>We achieved top quartile electric service reliability, marking four consecutive years of top-quartile reliability performance and five out of the last seven years.</w:t>
      </w:r>
      <w:r>
        <w:rPr>
          <w:rFonts w:ascii="Arial" w:cs="Arial" w:eastAsia="Arial" w:hAnsi="Arial"/>
          <w:sz w:val="23"/>
          <w:szCs w:val="23"/>
          <w:color w:val="3D3935"/>
          <w:vertAlign w:val="superscript"/>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42"/>
          <w:szCs w:val="42"/>
          <w:color w:val="282A33"/>
        </w:rPr>
        <w:t xml:space="preserve">TOP </w:t>
      </w:r>
      <w:r>
        <w:rPr>
          <w:rFonts w:ascii="Times New Roman" w:cs="Times New Roman" w:eastAsia="Times New Roman" w:hAnsi="Times New Roman"/>
          <w:sz w:val="72"/>
          <w:szCs w:val="72"/>
          <w:color w:val="282A33"/>
        </w:rPr>
        <w:t>10</w:t>
      </w:r>
    </w:p>
    <w:p>
      <w:pPr>
        <w:spacing w:after="0" w:line="88" w:lineRule="exact"/>
        <w:rPr>
          <w:sz w:val="20"/>
          <w:szCs w:val="20"/>
          <w:color w:val="auto"/>
        </w:rPr>
      </w:pPr>
    </w:p>
    <w:p>
      <w:pPr>
        <w:ind w:left="500"/>
        <w:spacing w:after="0"/>
        <w:rPr>
          <w:sz w:val="20"/>
          <w:szCs w:val="20"/>
          <w:color w:val="auto"/>
        </w:rPr>
      </w:pPr>
      <w:r>
        <w:rPr>
          <w:rFonts w:ascii="Arial" w:cs="Arial" w:eastAsia="Arial" w:hAnsi="Arial"/>
          <w:sz w:val="26"/>
          <w:szCs w:val="26"/>
          <w:color w:val="3D3935"/>
        </w:rPr>
        <w:t>AGA’s Best Practice Program</w:t>
      </w:r>
    </w:p>
    <w:p>
      <w:pPr>
        <w:spacing w:after="0" w:line="229" w:lineRule="exact"/>
        <w:rPr>
          <w:sz w:val="20"/>
          <w:szCs w:val="20"/>
          <w:color w:val="auto"/>
        </w:rPr>
      </w:pPr>
    </w:p>
    <w:p>
      <w:pPr>
        <w:ind w:left="500" w:right="800"/>
        <w:spacing w:after="0" w:line="318" w:lineRule="auto"/>
        <w:rPr>
          <w:sz w:val="20"/>
          <w:szCs w:val="20"/>
          <w:color w:val="auto"/>
        </w:rPr>
      </w:pPr>
      <w:r>
        <w:rPr>
          <w:rFonts w:ascii="Arial" w:cs="Arial" w:eastAsia="Arial" w:hAnsi="Arial"/>
          <w:sz w:val="19"/>
          <w:szCs w:val="19"/>
          <w:color w:val="3D3935"/>
        </w:rPr>
        <w:t>We once again placed in the top 10 in the American Gas Association’s (AGA) Best Practices Program for emergency response including average response time, response within 60 minutes, and response within 30 minutes.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00" w:right="640" w:firstLine="2"/>
        <w:spacing w:after="0" w:line="293" w:lineRule="auto"/>
        <w:tabs>
          <w:tab w:leader="none" w:pos="567" w:val="left"/>
        </w:tabs>
        <w:numPr>
          <w:ilvl w:val="0"/>
          <w:numId w:val="4"/>
        </w:numPr>
        <w:rPr>
          <w:rFonts w:ascii="Arial" w:cs="Arial" w:eastAsia="Arial" w:hAnsi="Arial"/>
          <w:sz w:val="16"/>
          <w:szCs w:val="16"/>
          <w:color w:val="3D3935"/>
          <w:vertAlign w:val="superscript"/>
        </w:rPr>
      </w:pPr>
      <w:r>
        <w:rPr>
          <w:rFonts w:ascii="Arial" w:cs="Arial" w:eastAsia="Arial" w:hAnsi="Arial"/>
          <w:sz w:val="14"/>
          <w:szCs w:val="14"/>
          <w:color w:val="3D3935"/>
        </w:rPr>
        <w:t>Measured by the System Average Interruption Frequency Index (SAIFI) and the System Average Interruption Duration Index (SAIDI).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42"/>
          <w:szCs w:val="42"/>
          <w:color w:val="282A33"/>
        </w:rPr>
        <w:t>#</w:t>
      </w:r>
      <w:r>
        <w:rPr>
          <w:rFonts w:ascii="Times New Roman" w:cs="Times New Roman" w:eastAsia="Times New Roman" w:hAnsi="Times New Roman"/>
          <w:sz w:val="144"/>
          <w:szCs w:val="144"/>
          <w:color w:val="282A33"/>
          <w:vertAlign w:val="subscript"/>
        </w:rPr>
        <w:t>2</w:t>
      </w:r>
    </w:p>
    <w:p>
      <w:pPr>
        <w:spacing w:after="0" w:line="33" w:lineRule="exact"/>
        <w:rPr>
          <w:sz w:val="20"/>
          <w:szCs w:val="20"/>
          <w:color w:val="auto"/>
        </w:rPr>
      </w:pPr>
    </w:p>
    <w:p>
      <w:pPr>
        <w:spacing w:after="0"/>
        <w:rPr>
          <w:sz w:val="20"/>
          <w:szCs w:val="20"/>
          <w:color w:val="auto"/>
        </w:rPr>
      </w:pPr>
      <w:r>
        <w:rPr>
          <w:rFonts w:ascii="Arial" w:cs="Arial" w:eastAsia="Arial" w:hAnsi="Arial"/>
          <w:sz w:val="26"/>
          <w:szCs w:val="26"/>
          <w:color w:val="3D3935"/>
        </w:rPr>
        <w:t>Ranked in Northeast</w:t>
      </w:r>
    </w:p>
    <w:p>
      <w:pPr>
        <w:spacing w:after="0" w:line="229" w:lineRule="exact"/>
        <w:rPr>
          <w:sz w:val="20"/>
          <w:szCs w:val="20"/>
          <w:color w:val="auto"/>
        </w:rPr>
      </w:pPr>
    </w:p>
    <w:p>
      <w:pPr>
        <w:ind w:right="1500"/>
        <w:spacing w:after="0" w:line="299" w:lineRule="auto"/>
        <w:rPr>
          <w:sz w:val="20"/>
          <w:szCs w:val="20"/>
          <w:color w:val="auto"/>
        </w:rPr>
      </w:pPr>
      <w:r>
        <w:rPr>
          <w:rFonts w:ascii="Arial" w:cs="Arial" w:eastAsia="Arial" w:hAnsi="Arial"/>
          <w:sz w:val="20"/>
          <w:szCs w:val="20"/>
          <w:color w:val="3D3935"/>
        </w:rPr>
        <w:t>In overall customer satisfaction, we ranked as the #2 utility in the Northeast and continued to rank first in the Northeast as “A company you can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380"/>
        <w:spacing w:after="0" w:line="299" w:lineRule="auto"/>
        <w:rPr>
          <w:sz w:val="20"/>
          <w:szCs w:val="20"/>
          <w:color w:val="auto"/>
        </w:rPr>
      </w:pPr>
      <w:r>
        <w:rPr>
          <w:rFonts w:ascii="Arial" w:cs="Arial" w:eastAsia="Arial" w:hAnsi="Arial"/>
          <w:sz w:val="20"/>
          <w:szCs w:val="20"/>
          <w:color w:val="3D3935"/>
        </w:rPr>
        <w:t>We were selected as a “Best Practice Operator” at the AGA’s Best Practices Conference for our regulator station design and over-pressure protection program.</w:t>
      </w:r>
    </w:p>
    <w:p>
      <w:pPr>
        <w:spacing w:after="0" w:line="4559" w:lineRule="exact"/>
        <w:rPr>
          <w:sz w:val="20"/>
          <w:szCs w:val="20"/>
          <w:color w:val="auto"/>
        </w:rPr>
      </w:pPr>
    </w:p>
    <w:p>
      <w:pPr>
        <w:sectPr>
          <w:pgSz w:w="12240" w:h="15840" w:orient="portrait"/>
          <w:cols w:equalWidth="0" w:num="2">
            <w:col w:w="5580" w:space="440"/>
            <w:col w:w="4420"/>
          </w:cols>
          <w:pgMar w:left="1440" w:top="1440"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020"/>
        <w:spacing w:after="0"/>
        <w:rPr>
          <w:sz w:val="20"/>
          <w:szCs w:val="20"/>
          <w:color w:val="auto"/>
        </w:rPr>
      </w:pPr>
      <w:r>
        <w:rPr>
          <w:rFonts w:ascii="Times New Roman" w:cs="Times New Roman" w:eastAsia="Times New Roman" w:hAnsi="Times New Roman"/>
          <w:sz w:val="15"/>
          <w:szCs w:val="15"/>
          <w:color w:val="282A33"/>
        </w:rPr>
        <w:t xml:space="preserve">PG </w:t>
      </w:r>
      <w:r>
        <w:rPr>
          <w:rFonts w:ascii="Arial" w:cs="Arial" w:eastAsia="Arial" w:hAnsi="Arial"/>
          <w:sz w:val="15"/>
          <w:szCs w:val="15"/>
          <w:color w:val="282A33"/>
        </w:rPr>
        <w:t>| 7</w:t>
      </w:r>
    </w:p>
    <w:p>
      <w:pPr>
        <w:sectPr>
          <w:pgSz w:w="12240" w:h="15840" w:orient="portrait"/>
          <w:cols w:equalWidth="0" w:num="1">
            <w:col w:w="10440"/>
          </w:cols>
          <w:pgMar w:left="1440" w:top="1440" w:right="360" w:bottom="0" w:gutter="0" w:footer="0" w:header="0"/>
          <w:type w:val="continuous"/>
        </w:sectPr>
      </w:pPr>
    </w:p>
    <w:bookmarkStart w:id="7" w:name="page8"/>
    <w:bookmarkEnd w:id="7"/>
    <w:p>
      <w:pPr>
        <w:ind w:left="1440"/>
        <w:spacing w:after="0"/>
        <w:rPr>
          <w:sz w:val="20"/>
          <w:szCs w:val="20"/>
          <w:color w:val="auto"/>
        </w:rPr>
      </w:pPr>
      <w:r>
        <w:rPr>
          <w:rFonts w:ascii="Times New Roman" w:cs="Times New Roman" w:eastAsia="Times New Roman" w:hAnsi="Times New Roman"/>
          <w:sz w:val="36"/>
          <w:szCs w:val="36"/>
          <w:color w:val="3D3935"/>
        </w:rPr>
        <mc:AlternateContent>
          <mc:Choice Requires="wps">
            <w:drawing>
              <wp:anchor simplePos="0" relativeHeight="251657728" behindDoc="1" locked="0" layoutInCell="0" allowOverlap="1">
                <wp:simplePos x="0" y="0"/>
                <wp:positionH relativeFrom="page">
                  <wp:posOffset>0</wp:posOffset>
                </wp:positionH>
                <wp:positionV relativeFrom="page">
                  <wp:posOffset>673735</wp:posOffset>
                </wp:positionV>
                <wp:extent cx="4480560" cy="920115"/>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80560" cy="920115"/>
                        </a:xfrm>
                        <a:prstGeom prst="rect">
                          <a:avLst/>
                        </a:prstGeom>
                        <a:solidFill>
                          <a:srgbClr val="E7ECF7"/>
                        </a:solidFill>
                      </wps:spPr>
                      <wps:bodyPr/>
                    </wps:wsp>
                  </a:graphicData>
                </a:graphic>
              </wp:anchor>
            </w:drawing>
          </mc:Choice>
          <mc:Fallback>
            <w:pict>
              <v:rect id="Shape 13" o:spid="_x0000_s1038" style="position:absolute;margin-left:0pt;margin-top:53.05pt;width:352.8pt;height:72.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E7ECF7" stroked="f">
                <w10:wrap anchorx="page" anchory="page"/>
              </v:rect>
            </w:pict>
          </mc:Fallback>
        </mc:AlternateContent>
        <w:t xml:space="preserve">Company Successes: </w:t>
      </w:r>
      <w:r>
        <w:rPr>
          <w:rFonts w:ascii="Times New Roman" w:cs="Times New Roman" w:eastAsia="Times New Roman" w:hAnsi="Times New Roman"/>
          <w:sz w:val="36"/>
          <w:szCs w:val="36"/>
          <w:color w:val="468AC9"/>
        </w:rPr>
        <w:t>2025</w:t>
      </w:r>
    </w:p>
    <w:p>
      <w:pPr>
        <w:spacing w:after="0" w:line="73" w:lineRule="exact"/>
        <w:rPr>
          <w:sz w:val="20"/>
          <w:szCs w:val="20"/>
          <w:color w:val="auto"/>
        </w:rPr>
      </w:pPr>
    </w:p>
    <w:p>
      <w:pPr>
        <w:ind w:left="1440"/>
        <w:spacing w:after="0"/>
        <w:rPr>
          <w:sz w:val="20"/>
          <w:szCs w:val="20"/>
          <w:color w:val="auto"/>
        </w:rPr>
      </w:pPr>
      <w:r>
        <w:rPr>
          <w:rFonts w:ascii="Arial" w:cs="Arial" w:eastAsia="Arial" w:hAnsi="Arial"/>
          <w:sz w:val="26"/>
          <w:szCs w:val="26"/>
          <w:color w:val="3D3935"/>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52"/>
          <w:szCs w:val="52"/>
          <w:color w:val="3D3935"/>
        </w:rPr>
        <w:t>Strategy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588645</wp:posOffset>
            </wp:positionV>
            <wp:extent cx="620395" cy="620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extLst>
                    </a:blip>
                    <a:srcRect/>
                    <a:stretch>
                      <a:fillRect/>
                    </a:stretch>
                  </pic:blipFill>
                  <pic:spPr bwMode="auto">
                    <a:xfrm>
                      <a:off x="0" y="0"/>
                      <a:ext cx="620395" cy="620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440" w:right="780"/>
        <w:spacing w:after="0" w:line="296" w:lineRule="auto"/>
        <w:rPr>
          <w:sz w:val="20"/>
          <w:szCs w:val="20"/>
          <w:color w:val="auto"/>
        </w:rPr>
      </w:pPr>
      <w:r>
        <w:rPr>
          <w:rFonts w:ascii="Arial" w:cs="Arial" w:eastAsia="Arial" w:hAnsi="Arial"/>
          <w:sz w:val="20"/>
          <w:szCs w:val="20"/>
          <w:color w:val="3D3935"/>
        </w:rPr>
        <w:t>We closed our acquisitions of Bangor Natural Gas (BNG) and Maine Natural Gas (MNG) during 2025. With the integration of BNG fully complete and MNG in process, we are well positioned to deliver the excellent reliability and service our customers throughout Northern New England have come to expect from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391795</wp:posOffset>
            </wp:positionV>
            <wp:extent cx="620395" cy="620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extLst>
                    </a:blip>
                    <a:srcRect/>
                    <a:stretch>
                      <a:fillRect/>
                    </a:stretch>
                  </pic:blipFill>
                  <pic:spPr bwMode="auto">
                    <a:xfrm>
                      <a:off x="0" y="0"/>
                      <a:ext cx="620395" cy="620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440"/>
        <w:spacing w:after="0"/>
        <w:rPr>
          <w:sz w:val="20"/>
          <w:szCs w:val="20"/>
          <w:color w:val="auto"/>
        </w:rPr>
      </w:pPr>
      <w:r>
        <w:rPr>
          <w:rFonts w:ascii="Arial" w:cs="Arial" w:eastAsia="Arial" w:hAnsi="Arial"/>
          <w:sz w:val="20"/>
          <w:szCs w:val="20"/>
          <w:color w:val="3D3935"/>
        </w:rPr>
        <w:t>We commenced work on a five-year,</w:t>
      </w:r>
    </w:p>
    <w:p>
      <w:pPr>
        <w:spacing w:after="0" w:line="50" w:lineRule="exact"/>
        <w:rPr>
          <w:sz w:val="20"/>
          <w:szCs w:val="20"/>
          <w:color w:val="auto"/>
        </w:rPr>
      </w:pPr>
    </w:p>
    <w:p>
      <w:pPr>
        <w:ind w:left="1440" w:right="600"/>
        <w:spacing w:after="0" w:line="292" w:lineRule="auto"/>
        <w:rPr>
          <w:sz w:val="20"/>
          <w:szCs w:val="20"/>
          <w:color w:val="auto"/>
        </w:rPr>
      </w:pPr>
      <w:r>
        <w:rPr>
          <w:rFonts w:ascii="Arial" w:cs="Arial" w:eastAsia="Arial" w:hAnsi="Arial"/>
          <w:sz w:val="20"/>
          <w:szCs w:val="20"/>
          <w:color w:val="3D3935"/>
        </w:rPr>
        <w:t>$20 million Electric Sector Modernization Plan in Massachusetts. Investment</w:t>
      </w:r>
    </w:p>
    <w:p>
      <w:pPr>
        <w:ind w:left="1440" w:right="780"/>
        <w:spacing w:after="0" w:line="296" w:lineRule="auto"/>
        <w:rPr>
          <w:sz w:val="20"/>
          <w:szCs w:val="20"/>
          <w:color w:val="auto"/>
        </w:rPr>
      </w:pPr>
      <w:r>
        <w:rPr>
          <w:rFonts w:ascii="Arial" w:cs="Arial" w:eastAsia="Arial" w:hAnsi="Arial"/>
          <w:sz w:val="20"/>
          <w:szCs w:val="20"/>
          <w:color w:val="3D3935"/>
        </w:rPr>
        <w:t>in electric systems is necessary to prepare for the level of electrification and interconnection of distributed energy resources needed in the future. Investments in the Plan focus on the overall grid capacity and resiliency as well as technological improvements necessary to support future needs through 2050.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640"/>
        <w:spacing w:after="0" w:line="296" w:lineRule="auto"/>
        <w:rPr>
          <w:sz w:val="20"/>
          <w:szCs w:val="20"/>
          <w:color w:val="auto"/>
        </w:rPr>
      </w:pPr>
      <w:r>
        <w:rPr>
          <w:rFonts w:ascii="Arial" w:cs="Arial" w:eastAsia="Arial" w:hAnsi="Arial"/>
          <w:sz w:val="20"/>
          <w:szCs w:val="20"/>
          <w:color w:val="3D3935"/>
        </w:rPr>
        <w:t>We negotiated the acquisition of Aquarion Water Company of Massachusetts, Aquarion Water Company of New Hampshire, and Abenaki Water Company and obtained regulatory approvals in three states. We remain optimistic that the transaction will be completed in the first half of 2026, subject to final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-5250180</wp:posOffset>
            </wp:positionV>
            <wp:extent cx="3676650" cy="97815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extLst>
                    </a:blip>
                    <a:srcRect/>
                    <a:stretch>
                      <a:fillRect/>
                    </a:stretch>
                  </pic:blipFill>
                  <pic:spPr bwMode="auto">
                    <a:xfrm>
                      <a:off x="0" y="0"/>
                      <a:ext cx="3676650" cy="978154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-5250180</wp:posOffset>
            </wp:positionV>
            <wp:extent cx="3676650" cy="97815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extLst>
                    </a:blip>
                    <a:srcRect/>
                    <a:stretch>
                      <a:fillRect/>
                    </a:stretch>
                  </pic:blipFill>
                  <pic:spPr bwMode="auto">
                    <a:xfrm>
                      <a:off x="0" y="0"/>
                      <a:ext cx="3676650" cy="978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740"/>
        <w:spacing w:after="0" w:line="296" w:lineRule="auto"/>
        <w:rPr>
          <w:sz w:val="20"/>
          <w:szCs w:val="20"/>
          <w:color w:val="auto"/>
        </w:rPr>
      </w:pPr>
      <w:r>
        <w:rPr>
          <w:rFonts w:ascii="Arial" w:cs="Arial" w:eastAsia="Arial" w:hAnsi="Arial"/>
          <w:sz w:val="20"/>
          <w:szCs w:val="20"/>
          <w:color w:val="3D3935"/>
        </w:rPr>
        <w:t>We completed the first year of a multi-year upgrade and replacement of our Advanced Metering Infrastructure system, originally installed in 2007. The new system incorporates real-time data and data visibility, enhanced customer offerings and service, rapid outage and restoration detection, and enhanced system security.</w:t>
      </w:r>
    </w:p>
    <w:p>
      <w:pPr>
        <w:spacing w:after="0" w:line="1039" w:lineRule="exact"/>
        <w:rPr>
          <w:sz w:val="20"/>
          <w:szCs w:val="20"/>
          <w:color w:val="auto"/>
        </w:rPr>
      </w:pPr>
    </w:p>
    <w:p>
      <w:pPr>
        <w:sectPr>
          <w:pgSz w:w="12240" w:h="15840" w:orient="portrait"/>
          <w:cols w:equalWidth="0" w:num="2">
            <w:col w:w="5660" w:space="440"/>
            <w:col w:w="4320"/>
          </w:cols>
          <w:pgMar w:left="380" w:top="134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color w:val="282A33"/>
        </w:rPr>
        <w:t xml:space="preserve">PG </w:t>
      </w:r>
      <w:r>
        <w:rPr>
          <w:rFonts w:ascii="Arial" w:cs="Arial" w:eastAsia="Arial" w:hAnsi="Arial"/>
          <w:sz w:val="16"/>
          <w:szCs w:val="16"/>
          <w:color w:val="282A33"/>
        </w:rPr>
        <w:t>| 8</w:t>
      </w:r>
      <w:r>
        <w:rPr>
          <w:sz w:val="20"/>
          <w:szCs w:val="20"/>
          <w:color w:val="auto"/>
        </w:rPr>
        <w:tab/>
      </w:r>
      <w:r>
        <w:rPr>
          <w:rFonts w:ascii="Times New Roman" w:cs="Times New Roman" w:eastAsia="Times New Roman" w:hAnsi="Times New Roman"/>
          <w:sz w:val="16"/>
          <w:szCs w:val="16"/>
          <w:color w:val="468AC9"/>
        </w:rPr>
        <w:t xml:space="preserve">2025 </w:t>
      </w:r>
      <w:r>
        <w:rPr>
          <w:rFonts w:ascii="Times New Roman" w:cs="Times New Roman" w:eastAsia="Times New Roman" w:hAnsi="Times New Roman"/>
          <w:sz w:val="16"/>
          <w:szCs w:val="16"/>
          <w:color w:val="282A33"/>
        </w:rPr>
        <w:t>Annual Report</w:t>
      </w:r>
    </w:p>
    <w:p>
      <w:pPr>
        <w:sectPr>
          <w:pgSz w:w="12240" w:h="15840" w:orient="portrait"/>
          <w:cols w:equalWidth="0" w:num="1">
            <w:col w:w="10420"/>
          </w:cols>
          <w:pgMar w:left="380" w:top="1345" w:right="1440" w:bottom="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68567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extLst>
                    </a:blip>
                    <a:srcRect/>
                    <a:stretch>
                      <a:fillRect/>
                    </a:stretch>
                  </pic:blipFill>
                  <pic:spPr bwMode="auto">
                    <a:xfrm>
                      <a:off x="0" y="0"/>
                      <a:ext cx="7772400" cy="6856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spacing w:after="0"/>
        <w:rPr>
          <w:sz w:val="20"/>
          <w:szCs w:val="20"/>
          <w:color w:val="auto"/>
        </w:rPr>
      </w:pPr>
      <w:r>
        <w:rPr>
          <w:rFonts w:ascii="Arial" w:cs="Arial" w:eastAsia="Arial" w:hAnsi="Arial"/>
          <w:sz w:val="16"/>
          <w:szCs w:val="16"/>
          <w:color w:val="FFFFFF"/>
        </w:rPr>
        <w:t>Representatives of Unitil and</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6"/>
          <w:szCs w:val="16"/>
          <w:color w:val="FFFFFF"/>
        </w:rPr>
        <w:t>Revision Energy celebrate the</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6"/>
          <w:szCs w:val="16"/>
          <w:color w:val="FFFFFF"/>
        </w:rPr>
        <w:t>ribbon cutting of the Kingston</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6"/>
          <w:szCs w:val="16"/>
          <w:color w:val="FFFFFF"/>
        </w:rPr>
        <w:t>solar facility with family and</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6"/>
          <w:szCs w:val="16"/>
          <w:color w:val="FFFFFF"/>
        </w:rPr>
        <w:t>community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2089785</wp:posOffset>
            </wp:positionV>
            <wp:extent cx="7772400" cy="3201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extLst>
                    </a:blip>
                    <a:srcRect/>
                    <a:stretch>
                      <a:fillRect/>
                    </a:stretch>
                  </pic:blipFill>
                  <pic:spPr bwMode="auto">
                    <a:xfrm>
                      <a:off x="0" y="0"/>
                      <a:ext cx="7772400" cy="3201035"/>
                    </a:xfrm>
                    <a:prstGeom prst="rect">
                      <a:avLst/>
                    </a:prstGeom>
                    <a:noFill/>
                  </pic:spPr>
                </pic:pic>
              </a:graphicData>
            </a:graphic>
          </wp:anchor>
        </w:drawing>
      </w:r>
    </w:p>
    <w:p>
      <w:pPr>
        <w:sectPr>
          <w:pgSz w:w="12240" w:h="15840" w:orient="portrait"/>
          <w:cols w:equalWidth="0" w:num="1">
            <w:col w:w="10440"/>
          </w:cols>
          <w:pgMar w:left="1440" w:top="1440"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60" w:right="120"/>
        <w:spacing w:after="0" w:line="298" w:lineRule="auto"/>
        <w:rPr>
          <w:sz w:val="20"/>
          <w:szCs w:val="20"/>
          <w:color w:val="auto"/>
        </w:rPr>
      </w:pPr>
      <w:r>
        <w:rPr>
          <w:rFonts w:ascii="Arial" w:cs="Arial" w:eastAsia="Arial" w:hAnsi="Arial"/>
          <w:sz w:val="20"/>
          <w:szCs w:val="20"/>
          <w:color w:val="3D3935"/>
        </w:rPr>
        <w:t>We completed construction and commissioned the Kingston Solar Project, which is presently the largest solar facility in New Hampshire. The project received the NH Energy Week Project of the Year Award and was nominated for multiple awards by DistribuTech Northeast. Notably, electricity production from the facility has been 5% -10% higher than originally estimated.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66"/>
          <w:szCs w:val="66"/>
          <w:color w:val="282A33"/>
        </w:rPr>
        <w:t>4.9</w:t>
      </w:r>
      <w:r>
        <w:rPr>
          <w:rFonts w:ascii="Times New Roman" w:cs="Times New Roman" w:eastAsia="Times New Roman" w:hAnsi="Times New Roman"/>
          <w:sz w:val="38"/>
          <w:szCs w:val="38"/>
          <w:color w:val="282A33"/>
        </w:rPr>
        <w:t>MW</w:t>
      </w:r>
    </w:p>
    <w:p>
      <w:pPr>
        <w:spacing w:after="0" w:line="157" w:lineRule="exact"/>
        <w:rPr>
          <w:sz w:val="20"/>
          <w:szCs w:val="20"/>
          <w:color w:val="auto"/>
        </w:rPr>
      </w:pPr>
    </w:p>
    <w:p>
      <w:pPr>
        <w:spacing w:after="0"/>
        <w:rPr>
          <w:sz w:val="20"/>
          <w:szCs w:val="20"/>
          <w:color w:val="auto"/>
        </w:rPr>
      </w:pPr>
      <w:r>
        <w:rPr>
          <w:rFonts w:ascii="Arial" w:cs="Arial" w:eastAsia="Arial" w:hAnsi="Arial"/>
          <w:sz w:val="26"/>
          <w:szCs w:val="26"/>
          <w:color w:val="3D3935"/>
        </w:rPr>
        <w:t>Solar Array</w:t>
      </w:r>
    </w:p>
    <w:p>
      <w:pPr>
        <w:spacing w:after="0" w:line="560" w:lineRule="exact"/>
        <w:rPr>
          <w:sz w:val="20"/>
          <w:szCs w:val="20"/>
          <w:color w:val="auto"/>
        </w:rPr>
      </w:pPr>
    </w:p>
    <w:p>
      <w:pPr>
        <w:sectPr>
          <w:pgSz w:w="12240" w:h="15840" w:orient="portrait"/>
          <w:cols w:equalWidth="0" w:num="2">
            <w:col w:w="6320" w:space="720"/>
            <w:col w:w="3400"/>
          </w:cols>
          <w:pgMar w:left="1440" w:top="1440" w:right="3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0020"/>
        <w:spacing w:after="0"/>
        <w:rPr>
          <w:sz w:val="20"/>
          <w:szCs w:val="20"/>
          <w:color w:val="auto"/>
        </w:rPr>
      </w:pPr>
      <w:r>
        <w:rPr>
          <w:rFonts w:ascii="Times New Roman" w:cs="Times New Roman" w:eastAsia="Times New Roman" w:hAnsi="Times New Roman"/>
          <w:sz w:val="15"/>
          <w:szCs w:val="15"/>
          <w:color w:val="282A33"/>
        </w:rPr>
        <w:t xml:space="preserve">PG </w:t>
      </w:r>
      <w:r>
        <w:rPr>
          <w:rFonts w:ascii="Arial" w:cs="Arial" w:eastAsia="Arial" w:hAnsi="Arial"/>
          <w:sz w:val="15"/>
          <w:szCs w:val="15"/>
          <w:color w:val="282A33"/>
        </w:rPr>
        <w:t>| 9</w:t>
      </w:r>
    </w:p>
    <w:p>
      <w:pPr>
        <w:sectPr>
          <w:pgSz w:w="12240" w:h="15840" w:orient="portrait"/>
          <w:cols w:equalWidth="0" w:num="1">
            <w:col w:w="10440"/>
          </w:cols>
          <w:pgMar w:left="1440" w:top="1440" w:right="360" w:bottom="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7200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extLst>
                    </a:blip>
                    <a:srcRect/>
                    <a:stretch>
                      <a:fillRect/>
                    </a:stretch>
                  </pic:blipFill>
                  <pic:spPr bwMode="auto">
                    <a:xfrm>
                      <a:off x="0" y="0"/>
                      <a:ext cx="7772400" cy="7200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52"/>
          <w:szCs w:val="52"/>
          <w:color w:val="3D3935"/>
        </w:rPr>
        <w:t>Strategic Growth and Expansion</w:t>
      </w:r>
    </w:p>
    <w:p>
      <w:pPr>
        <w:sectPr>
          <w:pgSz w:w="12240" w:h="15840" w:orient="portrait"/>
          <w:cols w:equalWidth="0" w:num="1">
            <w:col w:w="10460"/>
          </w:cols>
          <w:pgMar w:left="3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00" w:right="80"/>
        <w:spacing w:after="0" w:line="321" w:lineRule="auto"/>
        <w:rPr>
          <w:sz w:val="20"/>
          <w:szCs w:val="20"/>
          <w:color w:val="auto"/>
        </w:rPr>
      </w:pPr>
      <w:r>
        <w:rPr>
          <w:rFonts w:ascii="Arial" w:cs="Arial" w:eastAsia="Arial" w:hAnsi="Arial"/>
          <w:sz w:val="21"/>
          <w:szCs w:val="21"/>
          <w:color w:val="3D3935"/>
        </w:rPr>
        <w:t>Our growth in 2025 was anchored by key acquisitions that expand our reach and diversify our regulated utility platform. The successful acquisitions of Bangor Natural Gas Company and Maine Natural Gas Corporation expanded our footprint, increased operational scale, and enhanced our ability to create long-term value for customers and shareholders. As the most affordable fuel choice for home heating, natural gas delivers tremendous value to our growing customer base in Maine.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20"/>
        <w:spacing w:after="0" w:line="306" w:lineRule="auto"/>
        <w:rPr>
          <w:sz w:val="20"/>
          <w:szCs w:val="20"/>
          <w:color w:val="auto"/>
        </w:rPr>
      </w:pPr>
      <w:r>
        <w:rPr>
          <w:rFonts w:ascii="Arial" w:cs="Arial" w:eastAsia="Arial" w:hAnsi="Arial"/>
          <w:sz w:val="22"/>
          <w:szCs w:val="22"/>
          <w:color w:val="3D3935"/>
        </w:rPr>
        <w:t>We also advanced our acquisition of Aquarion Water Company of Massachusetts, Aquarion Water Company of New Hampshire, and Abenaki Water Co., securing regulatory approvals across three states. We remain optimistic this transaction will close in the first half of 2026, subject to final approvals, further strengthening and diversifying our regulated utility portfolio. Together, these acquisitions reflect a disciplined strategy: invest in high-quality regulated assets, expand where we can add value, and elevate financial and operating performance.</w:t>
      </w:r>
    </w:p>
    <w:p>
      <w:pPr>
        <w:spacing w:after="0" w:line="204" w:lineRule="exact"/>
        <w:rPr>
          <w:sz w:val="20"/>
          <w:szCs w:val="20"/>
          <w:color w:val="auto"/>
        </w:rPr>
      </w:pPr>
    </w:p>
    <w:p>
      <w:pPr>
        <w:sectPr>
          <w:pgSz w:w="12240" w:h="15840" w:orient="portrait"/>
          <w:cols w:equalWidth="0" w:num="2">
            <w:col w:w="5140" w:space="720"/>
            <w:col w:w="4600"/>
          </w:cols>
          <w:pgMar w:left="340" w:top="144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6"/>
          <w:szCs w:val="16"/>
          <w:color w:val="282A33"/>
        </w:rPr>
        <w:t xml:space="preserve">PG </w:t>
      </w:r>
      <w:r>
        <w:rPr>
          <w:rFonts w:ascii="Arial" w:cs="Arial" w:eastAsia="Arial" w:hAnsi="Arial"/>
          <w:sz w:val="16"/>
          <w:szCs w:val="16"/>
          <w:color w:val="282A33"/>
        </w:rPr>
        <w:t>| 10</w:t>
      </w:r>
      <w:r>
        <w:rPr>
          <w:sz w:val="20"/>
          <w:szCs w:val="20"/>
          <w:color w:val="auto"/>
        </w:rPr>
        <w:tab/>
      </w:r>
      <w:r>
        <w:rPr>
          <w:rFonts w:ascii="Times New Roman" w:cs="Times New Roman" w:eastAsia="Times New Roman" w:hAnsi="Times New Roman"/>
          <w:sz w:val="16"/>
          <w:szCs w:val="16"/>
          <w:color w:val="468AC9"/>
        </w:rPr>
        <w:t xml:space="preserve">2025 </w:t>
      </w:r>
      <w:r>
        <w:rPr>
          <w:rFonts w:ascii="Times New Roman" w:cs="Times New Roman" w:eastAsia="Times New Roman" w:hAnsi="Times New Roman"/>
          <w:sz w:val="16"/>
          <w:szCs w:val="16"/>
          <w:color w:val="282A33"/>
        </w:rPr>
        <w:t>Annual Report</w:t>
      </w:r>
    </w:p>
    <w:p>
      <w:pPr>
        <w:sectPr>
          <w:pgSz w:w="12240" w:h="15840" w:orient="portrait"/>
          <w:cols w:equalWidth="0" w:num="1">
            <w:col w:w="10460"/>
          </w:cols>
          <w:pgMar w:left="340" w:top="1440" w:right="1440" w:bottom="0" w:gutter="0" w:footer="0" w:header="0"/>
          <w:type w:val="continuous"/>
        </w:sectPr>
      </w:pPr>
    </w:p>
    <w:bookmarkStart w:id="10" w:name="page11"/>
    <w:bookmarkEnd w:id="10"/>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5227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extLst>
                    </a:blip>
                    <a:srcRect/>
                    <a:stretch>
                      <a:fillRect/>
                    </a:stretch>
                  </pic:blipFill>
                  <pic:spPr bwMode="auto">
                    <a:xfrm>
                      <a:off x="0" y="0"/>
                      <a:ext cx="7772400" cy="5227955"/>
                    </a:xfrm>
                    <a:prstGeom prst="rect">
                      <a:avLst/>
                    </a:prstGeom>
                    <a:noFill/>
                  </pic:spPr>
                </pic:pic>
              </a:graphicData>
            </a:graphic>
          </wp:anchor>
        </w:drawing>
      </w:r>
    </w:p>
    <w:p>
      <w:pPr>
        <w:ind w:left="140" w:right="4040"/>
        <w:spacing w:after="0" w:line="247" w:lineRule="auto"/>
        <w:rPr>
          <w:sz w:val="20"/>
          <w:szCs w:val="20"/>
          <w:color w:val="auto"/>
        </w:rPr>
      </w:pPr>
      <w:r>
        <w:rPr>
          <w:rFonts w:ascii="Times New Roman" w:cs="Times New Roman" w:eastAsia="Times New Roman" w:hAnsi="Times New Roman"/>
          <w:sz w:val="52"/>
          <w:szCs w:val="52"/>
          <w:color w:val="FFFFFF"/>
        </w:rPr>
        <w:t>Lowering Energy Costs and Expanding Customer Choice</w:t>
      </w:r>
    </w:p>
    <w:p>
      <w:pPr>
        <w:sectPr>
          <w:pgSz w:w="12240" w:h="15840" w:orient="portrait"/>
          <w:cols w:equalWidth="0" w:num="1">
            <w:col w:w="10480"/>
          </w:cols>
          <w:pgMar w:left="1440" w:top="1440" w:right="320" w:bottom="0" w:gutter="0" w:footer="0" w:header="0"/>
        </w:sectPr>
      </w:pPr>
    </w:p>
    <w:p>
      <w:pPr>
        <w:spacing w:after="0" w:line="200" w:lineRule="exact"/>
        <w:rPr>
          <w:sz w:val="20"/>
          <w:szCs w:val="20"/>
          <w:color w:val="auto"/>
        </w:rPr>
      </w:pPr>
    </w:p>
    <w:p>
      <w:pPr>
        <w:spacing w:after="0" w:line="210" w:lineRule="exact"/>
        <w:rPr>
          <w:sz w:val="20"/>
          <w:szCs w:val="20"/>
          <w:color w:val="auto"/>
        </w:rPr>
      </w:pPr>
    </w:p>
    <w:p>
      <w:pPr>
        <w:ind w:left="140" w:right="20"/>
        <w:spacing w:after="0" w:line="303" w:lineRule="auto"/>
        <w:rPr>
          <w:sz w:val="20"/>
          <w:szCs w:val="20"/>
          <w:color w:val="auto"/>
        </w:rPr>
      </w:pPr>
      <w:r>
        <w:rPr>
          <w:rFonts w:ascii="Arial" w:cs="Arial" w:eastAsia="Arial" w:hAnsi="Arial"/>
          <w:sz w:val="22"/>
          <w:szCs w:val="22"/>
          <w:color w:val="FFFFFF"/>
        </w:rPr>
        <w:t>Helping customers manage energy costs remains central to our mission. Across Northern New England, expanding access to natural gas offers one of the most cost-effective ways to reduce household energy expenses while also lowering emissions. In a region still heavily dependent on fuel oil, conversion to natural gas presents</w:t>
      </w:r>
    </w:p>
    <w:p>
      <w:pPr>
        <w:spacing w:after="0" w:line="6" w:lineRule="exact"/>
        <w:rPr>
          <w:sz w:val="20"/>
          <w:szCs w:val="20"/>
          <w:color w:val="auto"/>
        </w:rPr>
      </w:pPr>
    </w:p>
    <w:p>
      <w:pPr>
        <w:ind w:left="140" w:right="140"/>
        <w:spacing w:after="0" w:line="335" w:lineRule="auto"/>
        <w:rPr>
          <w:sz w:val="20"/>
          <w:szCs w:val="20"/>
          <w:color w:val="auto"/>
        </w:rPr>
      </w:pPr>
      <w:r>
        <w:rPr>
          <w:rFonts w:ascii="Arial" w:cs="Arial" w:eastAsia="Arial" w:hAnsi="Arial"/>
          <w:sz w:val="22"/>
          <w:szCs w:val="22"/>
          <w:color w:val="FFFFFF"/>
        </w:rPr>
        <w:t>a compelling opportunity to improve affordability for thousands of households.</w:t>
      </w:r>
    </w:p>
    <w:p>
      <w:pPr>
        <w:spacing w:after="0" w:line="204" w:lineRule="exact"/>
        <w:rPr>
          <w:sz w:val="20"/>
          <w:szCs w:val="20"/>
          <w:color w:val="auto"/>
        </w:rPr>
      </w:pPr>
    </w:p>
    <w:p>
      <w:pPr>
        <w:ind w:left="140" w:right="40"/>
        <w:spacing w:after="0" w:line="319" w:lineRule="auto"/>
        <w:rPr>
          <w:sz w:val="20"/>
          <w:szCs w:val="20"/>
          <w:color w:val="auto"/>
        </w:rPr>
      </w:pPr>
      <w:r>
        <w:rPr>
          <w:rFonts w:ascii="Arial" w:cs="Arial" w:eastAsia="Arial" w:hAnsi="Arial"/>
          <w:sz w:val="22"/>
          <w:szCs w:val="22"/>
          <w:color w:val="FFFFFF"/>
        </w:rPr>
        <w:t>At the same time, we are investing in our electric systems to support new technologies and expand customer choice.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397510</wp:posOffset>
            </wp:positionV>
            <wp:extent cx="7772400" cy="48298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extLst>
                    </a:blip>
                    <a:srcRect/>
                    <a:stretch>
                      <a:fillRect/>
                    </a:stretch>
                  </pic:blipFill>
                  <pic:spPr bwMode="auto">
                    <a:xfrm>
                      <a:off x="0" y="0"/>
                      <a:ext cx="7772400" cy="48298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right="1200"/>
        <w:spacing w:after="0" w:line="306" w:lineRule="auto"/>
        <w:rPr>
          <w:sz w:val="20"/>
          <w:szCs w:val="20"/>
          <w:color w:val="auto"/>
        </w:rPr>
      </w:pPr>
      <w:r>
        <w:rPr>
          <w:rFonts w:ascii="Arial" w:cs="Arial" w:eastAsia="Arial" w:hAnsi="Arial"/>
          <w:sz w:val="22"/>
          <w:szCs w:val="22"/>
          <w:color w:val="FFFFFF"/>
        </w:rPr>
        <w:t>The completion of the Kingston Solar Project — the largest solar facility in New Hampshire — illustrates this commitment. In addition to adding clean generation, the project improves supply diversity, supports price stability, and reinforces our long-term strategy to build a balanced and resilient energy portfolio. Alongside this investment, we expanded programs that support customer-owned generation and strengthened energy efficiency incentives, giving customers more control over their energy use and costs.</w:t>
      </w:r>
    </w:p>
    <w:p>
      <w:pPr>
        <w:spacing w:after="0" w:line="486" w:lineRule="exact"/>
        <w:rPr>
          <w:sz w:val="20"/>
          <w:szCs w:val="20"/>
          <w:color w:val="auto"/>
        </w:rPr>
      </w:pPr>
    </w:p>
    <w:p>
      <w:pPr>
        <w:sectPr>
          <w:pgSz w:w="12240" w:h="15840" w:orient="portrait"/>
          <w:cols w:equalWidth="0" w:num="2">
            <w:col w:w="4360" w:space="720"/>
            <w:col w:w="5400"/>
          </w:cols>
          <w:pgMar w:left="1440" w:top="1440" w:right="3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40"/>
        <w:spacing w:after="0"/>
        <w:rPr>
          <w:sz w:val="20"/>
          <w:szCs w:val="20"/>
          <w:color w:val="auto"/>
        </w:rPr>
      </w:pPr>
      <w:r>
        <w:rPr>
          <w:rFonts w:ascii="Arial" w:cs="Arial" w:eastAsia="Arial" w:hAnsi="Arial"/>
          <w:sz w:val="16"/>
          <w:szCs w:val="16"/>
          <w:color w:val="FFFFFF"/>
        </w:rPr>
        <w:t>An aerial view of the Kingston Solar Project, New Hampshire’s largest solar facility.</w:t>
      </w:r>
    </w:p>
    <w:p>
      <w:pPr>
        <w:sectPr>
          <w:pgSz w:w="12240" w:h="15840" w:orient="portrait"/>
          <w:cols w:equalWidth="0" w:num="1">
            <w:col w:w="10480"/>
          </w:cols>
          <w:pgMar w:left="1440" w:top="1440" w:right="3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5"/>
          <w:szCs w:val="15"/>
          <w:color w:val="282A33"/>
        </w:rPr>
        <w:t xml:space="preserve">PG </w:t>
      </w:r>
      <w:r>
        <w:rPr>
          <w:rFonts w:ascii="Arial" w:cs="Arial" w:eastAsia="Arial" w:hAnsi="Arial"/>
          <w:sz w:val="15"/>
          <w:szCs w:val="15"/>
          <w:color w:val="282A33"/>
        </w:rPr>
        <w:t>| 11</w:t>
      </w:r>
    </w:p>
    <w:p>
      <w:pPr>
        <w:sectPr>
          <w:pgSz w:w="12240" w:h="15840" w:orient="portrait"/>
          <w:cols w:equalWidth="0" w:num="1">
            <w:col w:w="10480"/>
          </w:cols>
          <w:pgMar w:left="1440" w:top="1440" w:right="320" w:bottom="0" w:gutter="0" w:footer="0" w:header="0"/>
          <w:type w:val="continuous"/>
        </w:sectPr>
      </w:pPr>
    </w:p>
    <w:bookmarkStart w:id="11" w:name="page12"/>
    <w:bookmarkEnd w:id="11"/>
    <w:p>
      <w:pPr>
        <w:ind w:left="1140" w:right="5080"/>
        <w:spacing w:after="0" w:line="232" w:lineRule="auto"/>
        <w:rPr>
          <w:sz w:val="20"/>
          <w:szCs w:val="20"/>
          <w:color w:val="auto"/>
        </w:rPr>
      </w:pPr>
      <w:r>
        <w:rPr>
          <w:rFonts w:ascii="Times New Roman" w:cs="Times New Roman" w:eastAsia="Times New Roman" w:hAnsi="Times New Roman"/>
          <w:sz w:val="52"/>
          <w:szCs w:val="52"/>
          <w:color w:val="3D3935"/>
        </w:rPr>
        <w:drawing>
          <wp:anchor simplePos="0" relativeHeight="251657728" behindDoc="1" locked="0" layoutInCell="0" allowOverlap="1">
            <wp:simplePos x="0" y="0"/>
            <wp:positionH relativeFrom="page">
              <wp:posOffset>2477770</wp:posOffset>
            </wp:positionH>
            <wp:positionV relativeFrom="page">
              <wp:posOffset>0</wp:posOffset>
            </wp:positionV>
            <wp:extent cx="5294630" cy="10057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extLst>
                    </a:blip>
                    <a:srcRect/>
                    <a:stretch>
                      <a:fillRect/>
                    </a:stretch>
                  </pic:blipFill>
                  <pic:spPr bwMode="auto">
                    <a:xfrm>
                      <a:off x="0" y="0"/>
                      <a:ext cx="5294630" cy="10057765"/>
                    </a:xfrm>
                    <a:prstGeom prst="rect">
                      <a:avLst/>
                    </a:prstGeom>
                    <a:noFill/>
                  </pic:spPr>
                </pic:pic>
              </a:graphicData>
            </a:graphic>
          </wp:anchor>
        </w:drawing>
        <w:t>Modernizing Infrastructure and Technology</w:t>
      </w:r>
    </w:p>
    <w:p>
      <w:pPr>
        <w:spacing w:after="0" w:line="200" w:lineRule="exact"/>
        <w:rPr>
          <w:sz w:val="20"/>
          <w:szCs w:val="20"/>
          <w:color w:val="auto"/>
        </w:rPr>
      </w:pPr>
    </w:p>
    <w:p>
      <w:pPr>
        <w:spacing w:after="0" w:line="345" w:lineRule="exact"/>
        <w:rPr>
          <w:sz w:val="20"/>
          <w:szCs w:val="20"/>
          <w:color w:val="auto"/>
        </w:rPr>
      </w:pPr>
    </w:p>
    <w:p>
      <w:pPr>
        <w:ind w:left="1140" w:right="2300"/>
        <w:spacing w:after="0" w:line="309" w:lineRule="auto"/>
        <w:rPr>
          <w:sz w:val="20"/>
          <w:szCs w:val="20"/>
          <w:color w:val="auto"/>
        </w:rPr>
      </w:pPr>
      <w:r>
        <w:rPr>
          <w:rFonts w:ascii="Arial" w:cs="Arial" w:eastAsia="Arial" w:hAnsi="Arial"/>
          <w:sz w:val="22"/>
          <w:szCs w:val="22"/>
          <w:color w:val="3D3935"/>
        </w:rPr>
        <w:t>Our long-term success is underpinned by our ability to make thoughtful, strategic investments in infrastructure and technologies that ensure reliability, resilience, and innovation. In 2025, we completed the first phase of our multi-year Advanced Metering Infrastructure replacement, a transformative initiative that will improve system visibility, accelerate outage response, enable innovative rate designs and provide customers with clearer insights into their energy use.</w:t>
      </w:r>
    </w:p>
    <w:p>
      <w:pPr>
        <w:spacing w:after="0" w:line="231" w:lineRule="exact"/>
        <w:rPr>
          <w:sz w:val="20"/>
          <w:szCs w:val="20"/>
          <w:color w:val="auto"/>
        </w:rPr>
      </w:pPr>
    </w:p>
    <w:p>
      <w:pPr>
        <w:ind w:left="1140" w:right="2400"/>
        <w:spacing w:after="0" w:line="303" w:lineRule="auto"/>
        <w:rPr>
          <w:sz w:val="20"/>
          <w:szCs w:val="20"/>
          <w:color w:val="auto"/>
        </w:rPr>
      </w:pPr>
      <w:r>
        <w:rPr>
          <w:rFonts w:ascii="Arial" w:cs="Arial" w:eastAsia="Arial" w:hAnsi="Arial"/>
          <w:sz w:val="22"/>
          <w:szCs w:val="22"/>
          <w:color w:val="3D3935"/>
        </w:rPr>
        <w:t>Across both our electric and natural gas operations, our investments in infrastructure modernization and emerging technologies will improve safety and reliability, reduce emissions, and strengthen our ability</w:t>
      </w:r>
    </w:p>
    <w:p>
      <w:pPr>
        <w:spacing w:after="0" w:line="2" w:lineRule="exact"/>
        <w:rPr>
          <w:sz w:val="20"/>
          <w:szCs w:val="20"/>
          <w:color w:val="auto"/>
        </w:rPr>
      </w:pPr>
    </w:p>
    <w:p>
      <w:pPr>
        <w:ind w:left="1140" w:right="2560"/>
        <w:spacing w:after="0" w:line="319" w:lineRule="auto"/>
        <w:rPr>
          <w:sz w:val="20"/>
          <w:szCs w:val="20"/>
          <w:color w:val="auto"/>
        </w:rPr>
      </w:pPr>
      <w:r>
        <w:rPr>
          <w:rFonts w:ascii="Arial" w:cs="Arial" w:eastAsia="Arial" w:hAnsi="Arial"/>
          <w:sz w:val="22"/>
          <w:szCs w:val="22"/>
          <w:color w:val="3D3935"/>
        </w:rPr>
        <w:t>to meet evolving customer needs. These investments support our commitment to reduce greenhouse gas emissions by at least 50% by 2030 and to achieve net-zero emissions by 2050.</w:t>
      </w:r>
    </w:p>
    <w:p>
      <w:pPr>
        <w:sectPr>
          <w:pgSz w:w="12240" w:h="15840" w:orient="portrait"/>
          <w:cols w:equalWidth="0" w:num="1">
            <w:col w:w="10460"/>
          </w:cols>
          <w:pgMar w:left="340" w:top="129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40"/>
          <w:szCs w:val="40"/>
          <w:color w:val="3D3935"/>
        </w:rPr>
        <w:t>Operational Excellence:</w:t>
      </w:r>
    </w:p>
    <w:p>
      <w:pPr>
        <w:spacing w:after="0" w:line="74" w:lineRule="exact"/>
        <w:rPr>
          <w:sz w:val="20"/>
          <w:szCs w:val="20"/>
          <w:color w:val="auto"/>
        </w:rPr>
      </w:pPr>
    </w:p>
    <w:p>
      <w:pPr>
        <w:ind w:left="1140" w:right="320"/>
        <w:spacing w:after="0" w:line="215" w:lineRule="auto"/>
        <w:rPr>
          <w:sz w:val="20"/>
          <w:szCs w:val="20"/>
          <w:color w:val="auto"/>
        </w:rPr>
      </w:pPr>
      <w:r>
        <w:rPr>
          <w:rFonts w:ascii="Times New Roman" w:cs="Times New Roman" w:eastAsia="Times New Roman" w:hAnsi="Times New Roman"/>
          <w:sz w:val="52"/>
          <w:szCs w:val="52"/>
          <w:color w:val="3D3935"/>
        </w:rPr>
        <w:t>Our Competitive Advantage</w:t>
      </w:r>
    </w:p>
    <w:p>
      <w:pPr>
        <w:spacing w:after="0" w:line="200" w:lineRule="exact"/>
        <w:rPr>
          <w:sz w:val="20"/>
          <w:szCs w:val="20"/>
          <w:color w:val="auto"/>
        </w:rPr>
      </w:pPr>
    </w:p>
    <w:p>
      <w:pPr>
        <w:spacing w:after="0" w:line="388" w:lineRule="exact"/>
        <w:rPr>
          <w:sz w:val="20"/>
          <w:szCs w:val="20"/>
          <w:color w:val="auto"/>
        </w:rPr>
      </w:pPr>
    </w:p>
    <w:p>
      <w:pPr>
        <w:ind w:left="1140" w:right="220"/>
        <w:spacing w:after="0" w:line="307" w:lineRule="auto"/>
        <w:rPr>
          <w:sz w:val="20"/>
          <w:szCs w:val="20"/>
          <w:color w:val="auto"/>
        </w:rPr>
      </w:pPr>
      <w:r>
        <w:rPr>
          <w:rFonts w:ascii="Arial" w:cs="Arial" w:eastAsia="Arial" w:hAnsi="Arial"/>
          <w:sz w:val="22"/>
          <w:szCs w:val="22"/>
          <w:color w:val="3D3935"/>
        </w:rPr>
        <w:t>Consistent operational performance is a cornerstone of our value proposition and a defining strength of our Company. In 2025, we again achieved top-quartile electric reliability, marking four consecutive years of leading performance. Our natural gas safety programs and emergency response capabilities continue to rank among the best in the 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520"/>
        <w:spacing w:after="0" w:line="306" w:lineRule="auto"/>
        <w:rPr>
          <w:sz w:val="20"/>
          <w:szCs w:val="20"/>
          <w:color w:val="auto"/>
        </w:rPr>
      </w:pPr>
      <w:r>
        <w:rPr>
          <w:rFonts w:ascii="Arial" w:cs="Arial" w:eastAsia="Arial" w:hAnsi="Arial"/>
          <w:sz w:val="22"/>
          <w:szCs w:val="22"/>
          <w:color w:val="3D3935"/>
        </w:rPr>
        <w:t>Equally important is the trust we maintain with our customers and communities. Independent surveys consistently rank us as the most trusted energy provider in the Northeast. Customer satisfaction remains strong even amid broader concerns about energy affordability. This trust is not incidental—it is the result of disciplined execution, transparent communication, and a long-standing commitment to reliability and service.</w:t>
      </w:r>
    </w:p>
    <w:p>
      <w:pPr>
        <w:spacing w:after="0" w:line="200" w:lineRule="exact"/>
        <w:rPr>
          <w:sz w:val="20"/>
          <w:szCs w:val="20"/>
          <w:color w:val="auto"/>
        </w:rPr>
      </w:pPr>
    </w:p>
    <w:p>
      <w:pPr>
        <w:sectPr>
          <w:pgSz w:w="12240" w:h="15840" w:orient="portrait"/>
          <w:cols w:equalWidth="0" w:num="2">
            <w:col w:w="5140" w:space="680"/>
            <w:col w:w="4640"/>
          </w:cols>
          <w:pgMar w:left="340" w:top="129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6"/>
          <w:szCs w:val="16"/>
          <w:color w:val="282A33"/>
        </w:rPr>
        <w:t xml:space="preserve">PG </w:t>
      </w:r>
      <w:r>
        <w:rPr>
          <w:rFonts w:ascii="Arial" w:cs="Arial" w:eastAsia="Arial" w:hAnsi="Arial"/>
          <w:sz w:val="16"/>
          <w:szCs w:val="16"/>
          <w:color w:val="282A33"/>
        </w:rPr>
        <w:t>| 12</w:t>
      </w:r>
      <w:r>
        <w:rPr>
          <w:sz w:val="20"/>
          <w:szCs w:val="20"/>
          <w:color w:val="auto"/>
        </w:rPr>
        <w:tab/>
      </w:r>
      <w:r>
        <w:rPr>
          <w:rFonts w:ascii="Times New Roman" w:cs="Times New Roman" w:eastAsia="Times New Roman" w:hAnsi="Times New Roman"/>
          <w:sz w:val="16"/>
          <w:szCs w:val="16"/>
          <w:color w:val="468AC9"/>
        </w:rPr>
        <w:t xml:space="preserve">2025 </w:t>
      </w:r>
      <w:r>
        <w:rPr>
          <w:rFonts w:ascii="Times New Roman" w:cs="Times New Roman" w:eastAsia="Times New Roman" w:hAnsi="Times New Roman"/>
          <w:sz w:val="16"/>
          <w:szCs w:val="16"/>
          <w:color w:val="282A33"/>
        </w:rPr>
        <w:t>Annual Report</w:t>
      </w:r>
    </w:p>
    <w:p>
      <w:pPr>
        <w:sectPr>
          <w:pgSz w:w="12240" w:h="15840" w:orient="portrait"/>
          <w:cols w:equalWidth="0" w:num="1">
            <w:col w:w="10460"/>
          </w:cols>
          <w:pgMar w:left="340" w:top="1290" w:right="1440" w:bottom="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40"/>
          <w:szCs w:val="40"/>
          <w:color w:val="FFFFFF"/>
        </w:rPr>
        <w:t>Our People:</w:t>
      </w:r>
    </w:p>
    <w:p>
      <w:pPr>
        <w:spacing w:after="0" w:line="74" w:lineRule="exact"/>
        <w:rPr>
          <w:sz w:val="20"/>
          <w:szCs w:val="20"/>
          <w:color w:val="auto"/>
        </w:rPr>
      </w:pPr>
    </w:p>
    <w:p>
      <w:pPr>
        <w:ind w:left="600" w:right="5760"/>
        <w:spacing w:after="0" w:line="215" w:lineRule="auto"/>
        <w:rPr>
          <w:sz w:val="20"/>
          <w:szCs w:val="20"/>
          <w:color w:val="auto"/>
        </w:rPr>
      </w:pPr>
      <w:r>
        <w:rPr>
          <w:rFonts w:ascii="Times New Roman" w:cs="Times New Roman" w:eastAsia="Times New Roman" w:hAnsi="Times New Roman"/>
          <w:sz w:val="52"/>
          <w:szCs w:val="52"/>
          <w:color w:val="FFFFFF"/>
        </w:rPr>
        <w:t>The Engine Behind Our Success</w:t>
      </w:r>
    </w:p>
    <w:p>
      <w:pPr>
        <w:spacing w:after="0" w:line="200" w:lineRule="exact"/>
        <w:rPr>
          <w:sz w:val="20"/>
          <w:szCs w:val="20"/>
          <w:color w:val="auto"/>
        </w:rPr>
      </w:pPr>
    </w:p>
    <w:p>
      <w:pPr>
        <w:spacing w:after="0" w:line="227" w:lineRule="exact"/>
        <w:rPr>
          <w:sz w:val="20"/>
          <w:szCs w:val="20"/>
          <w:color w:val="auto"/>
        </w:rPr>
      </w:pPr>
    </w:p>
    <w:p>
      <w:pPr>
        <w:ind w:left="600" w:right="2020"/>
        <w:spacing w:after="0" w:line="309" w:lineRule="auto"/>
        <w:rPr>
          <w:sz w:val="20"/>
          <w:szCs w:val="20"/>
          <w:color w:val="auto"/>
        </w:rPr>
      </w:pPr>
      <w:r>
        <w:rPr>
          <w:rFonts w:ascii="Arial" w:cs="Arial" w:eastAsia="Arial" w:hAnsi="Arial"/>
          <w:sz w:val="22"/>
          <w:szCs w:val="22"/>
          <w:color w:val="FFFFFF"/>
        </w:rPr>
        <w:t>Behind every success story is a team of dedicated and talented individuals who bring vision to life. Their expertise, professionalism, and dedication to safety and service drive our performance every day. Our culture emphasizes accountability, collaboration, and continuous improvement, and it is this culture that enables us to adapt, innovate, and grow. Recognition as one of the region’s top employers reflects not only the strength of our workplace, but also the pride our employees take in serving our customers and communities.</w:t>
      </w:r>
    </w:p>
    <w:p>
      <w:pPr>
        <w:sectPr>
          <w:pgSz w:w="12240" w:h="15840" w:orient="portrait"/>
          <w:cols w:equalWidth="0" w:num="1">
            <w:col w:w="10480"/>
          </w:cols>
          <w:pgMar w:left="1440" w:top="1440"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5"/>
          <w:szCs w:val="15"/>
          <w:color w:val="282A33"/>
        </w:rPr>
        <w:t xml:space="preserve">PG </w:t>
      </w:r>
      <w:r>
        <w:rPr>
          <w:rFonts w:ascii="Arial" w:cs="Arial" w:eastAsia="Arial" w:hAnsi="Arial"/>
          <w:sz w:val="15"/>
          <w:szCs w:val="15"/>
          <w:color w:val="282A33"/>
        </w:rPr>
        <w:t>| 13</w:t>
      </w:r>
    </w:p>
    <w:p>
      <w:pPr>
        <w:sectPr>
          <w:pgSz w:w="12240" w:h="15840" w:orient="portrait"/>
          <w:cols w:equalWidth="0" w:num="1">
            <w:col w:w="10480"/>
          </w:cols>
          <w:pgMar w:left="1440" w:top="1440" w:right="320" w:bottom="0" w:gutter="0" w:footer="0" w:header="0"/>
          <w:type w:val="continuous"/>
        </w:sectPr>
      </w:pPr>
    </w:p>
    <w:bookmarkStart w:id="13" w:name="page14"/>
    <w:bookmarkEnd w:id="13"/>
    <w:p>
      <w:pPr>
        <w:ind w:left="1440"/>
        <w:spacing w:after="0"/>
        <w:rPr>
          <w:sz w:val="20"/>
          <w:szCs w:val="20"/>
          <w:color w:val="auto"/>
        </w:rPr>
      </w:pPr>
      <w:r>
        <w:rPr>
          <w:rFonts w:ascii="Times New Roman" w:cs="Times New Roman" w:eastAsia="Times New Roman" w:hAnsi="Times New Roman"/>
          <w:sz w:val="52"/>
          <w:szCs w:val="52"/>
          <w:color w:val="3D3935"/>
        </w:rPr>
        <w:drawing>
          <wp:anchor simplePos="0" relativeHeight="251657728" behindDoc="1" locked="0" layoutInCell="0" allowOverlap="1">
            <wp:simplePos x="0" y="0"/>
            <wp:positionH relativeFrom="page">
              <wp:posOffset>0</wp:posOffset>
            </wp:positionH>
            <wp:positionV relativeFrom="page">
              <wp:posOffset>0</wp:posOffset>
            </wp:positionV>
            <wp:extent cx="7772400" cy="60839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a:extLst>
                        <a:ext uri="{28A0092B-C50C-407E-A947-70E740481C1C}"/>
                      </a:extLst>
                    </a:blip>
                    <a:srcRect/>
                    <a:stretch>
                      <a:fillRect/>
                    </a:stretch>
                  </pic:blipFill>
                  <pic:spPr bwMode="auto">
                    <a:xfrm>
                      <a:off x="0" y="0"/>
                      <a:ext cx="7772400" cy="6083935"/>
                    </a:xfrm>
                    <a:prstGeom prst="rect">
                      <a:avLst/>
                    </a:prstGeom>
                    <a:noFill/>
                  </pic:spPr>
                </pic:pic>
              </a:graphicData>
            </a:graphic>
          </wp:anchor>
        </w:drawing>
        <w:t>Delivering</w:t>
      </w:r>
    </w:p>
    <w:p>
      <w:pPr>
        <w:spacing w:after="0" w:line="1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52"/>
          <w:szCs w:val="52"/>
          <w:color w:val="3D3935"/>
        </w:rPr>
        <w:t>Long-Term</w:t>
      </w:r>
    </w:p>
    <w:p>
      <w:pPr>
        <w:ind w:left="1440"/>
        <w:spacing w:after="0" w:line="208" w:lineRule="auto"/>
        <w:rPr>
          <w:sz w:val="20"/>
          <w:szCs w:val="20"/>
          <w:color w:val="auto"/>
        </w:rPr>
      </w:pPr>
      <w:r>
        <w:rPr>
          <w:rFonts w:ascii="Times New Roman" w:cs="Times New Roman" w:eastAsia="Times New Roman" w:hAnsi="Times New Roman"/>
          <w:sz w:val="52"/>
          <w:szCs w:val="52"/>
          <w:color w:val="3D3935"/>
        </w:rPr>
        <w:t>Sustainable</w:t>
      </w:r>
    </w:p>
    <w:p>
      <w:pPr>
        <w:ind w:left="1440"/>
        <w:spacing w:after="0" w:line="180" w:lineRule="auto"/>
        <w:tabs>
          <w:tab w:leader="none" w:pos="7040" w:val="left"/>
        </w:tabs>
        <w:rPr>
          <w:sz w:val="20"/>
          <w:szCs w:val="20"/>
          <w:color w:val="auto"/>
        </w:rPr>
      </w:pPr>
      <w:r>
        <w:rPr>
          <w:rFonts w:ascii="Times New Roman" w:cs="Times New Roman" w:eastAsia="Times New Roman" w:hAnsi="Times New Roman"/>
          <w:sz w:val="41"/>
          <w:szCs w:val="41"/>
          <w:color w:val="3D3935"/>
        </w:rPr>
        <w:t>Value</w:t>
      </w:r>
      <w:r>
        <w:rPr>
          <w:sz w:val="20"/>
          <w:szCs w:val="20"/>
          <w:color w:val="auto"/>
        </w:rPr>
        <w:tab/>
      </w:r>
      <w:r>
        <w:rPr>
          <w:rFonts w:ascii="Times New Roman" w:cs="Times New Roman" w:eastAsia="Times New Roman" w:hAnsi="Times New Roman"/>
          <w:sz w:val="90"/>
          <w:szCs w:val="90"/>
          <w:color w:val="282A33"/>
          <w:vertAlign w:val="subscript"/>
        </w:rPr>
        <w:t>6.5</w:t>
      </w:r>
      <w:r>
        <w:rPr>
          <w:rFonts w:ascii="Times New Roman" w:cs="Times New Roman" w:eastAsia="Times New Roman" w:hAnsi="Times New Roman"/>
          <w:sz w:val="35"/>
          <w:szCs w:val="35"/>
          <w:color w:val="282A33"/>
        </w:rPr>
        <w:t xml:space="preserve">% </w:t>
      </w:r>
      <w:r>
        <w:rPr>
          <w:rFonts w:ascii="Times New Roman" w:cs="Times New Roman" w:eastAsia="Times New Roman" w:hAnsi="Times New Roman"/>
          <w:sz w:val="90"/>
          <w:szCs w:val="90"/>
          <w:color w:val="282A33"/>
          <w:vertAlign w:val="subscript"/>
        </w:rPr>
        <w:t>- 8.5</w:t>
      </w:r>
      <w:r>
        <w:rPr>
          <w:rFonts w:ascii="Times New Roman" w:cs="Times New Roman" w:eastAsia="Times New Roman" w:hAnsi="Times New Roman"/>
          <w:sz w:val="35"/>
          <w:szCs w:val="35"/>
          <w:color w:val="282A33"/>
        </w:rPr>
        <w:t>%</w:t>
      </w:r>
    </w:p>
    <w:p>
      <w:pPr>
        <w:sectPr>
          <w:pgSz w:w="12240" w:h="15840" w:orient="portrait"/>
          <w:cols w:equalWidth="0" w:num="1">
            <w:col w:w="10460"/>
          </w:cols>
          <w:pgMar w:left="340" w:top="1290" w:right="1440" w:bottom="0" w:gutter="0" w:footer="0" w:header="0"/>
        </w:sectPr>
      </w:pPr>
    </w:p>
    <w:p>
      <w:pPr>
        <w:spacing w:after="0" w:line="321" w:lineRule="exact"/>
        <w:rPr>
          <w:sz w:val="20"/>
          <w:szCs w:val="20"/>
          <w:color w:val="auto"/>
        </w:rPr>
      </w:pPr>
    </w:p>
    <w:p>
      <w:pPr>
        <w:ind w:left="1440" w:right="700"/>
        <w:spacing w:after="0" w:line="321" w:lineRule="auto"/>
        <w:rPr>
          <w:sz w:val="20"/>
          <w:szCs w:val="20"/>
          <w:color w:val="auto"/>
        </w:rPr>
      </w:pPr>
      <w:r>
        <w:rPr>
          <w:rFonts w:ascii="Arial" w:cs="Arial" w:eastAsia="Arial" w:hAnsi="Arial"/>
          <w:sz w:val="21"/>
          <w:szCs w:val="21"/>
          <w:color w:val="3D3935"/>
        </w:rPr>
        <w:t>Our strategy is designed to produce consistent, long-term value for shareholders. In 2025, we accelerated our dividend growth while maintaining a sustainable payout ratio within the lower half of our target range. Looking ahead, we expect long-term earnings growth of 5% to 7%, with dividend growth aligned accordingly. Supported by a strong balance sheet, disciplined capital deployment, and a growing regulated asset base, we believe our Company remains well positioned to deliver stable, predictable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801370</wp:posOffset>
            </wp:positionV>
            <wp:extent cx="2477770" cy="3973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extLst>
                    </a:blip>
                    <a:srcRect/>
                    <a:stretch>
                      <a:fillRect/>
                    </a:stretch>
                  </pic:blipFill>
                  <pic:spPr bwMode="auto">
                    <a:xfrm>
                      <a:off x="0" y="0"/>
                      <a:ext cx="2477770" cy="397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52"/>
          <w:szCs w:val="52"/>
          <w:color w:val="FFFFFF"/>
        </w:rPr>
        <w:t>Looking Ahead</w:t>
      </w:r>
    </w:p>
    <w:p>
      <w:pPr>
        <w:spacing w:after="0" w:line="20" w:lineRule="exact"/>
        <w:rPr>
          <w:sz w:val="20"/>
          <w:szCs w:val="20"/>
          <w:color w:val="auto"/>
        </w:rPr>
      </w:pPr>
      <w:r>
        <w:rPr>
          <w:sz w:val="20"/>
          <w:szCs w:val="20"/>
          <w:color w:val="auto"/>
        </w:rPr>
        <w:br w:type="column"/>
      </w:r>
    </w:p>
    <w:p>
      <w:pPr>
        <w:ind w:right="980"/>
        <w:spacing w:after="0" w:line="296" w:lineRule="auto"/>
        <w:rPr>
          <w:sz w:val="20"/>
          <w:szCs w:val="20"/>
          <w:color w:val="auto"/>
        </w:rPr>
      </w:pPr>
      <w:r>
        <w:rPr>
          <w:rFonts w:ascii="Arial" w:cs="Arial" w:eastAsia="Arial" w:hAnsi="Arial"/>
          <w:sz w:val="25"/>
          <w:szCs w:val="25"/>
          <w:color w:val="3D3935"/>
        </w:rPr>
        <w:t>Expected Long-Term Rate Base Growth</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72"/>
          <w:szCs w:val="72"/>
          <w:color w:val="282A33"/>
        </w:rPr>
        <w:t>5</w:t>
      </w:r>
      <w:r>
        <w:rPr>
          <w:rFonts w:ascii="Times New Roman" w:cs="Times New Roman" w:eastAsia="Times New Roman" w:hAnsi="Times New Roman"/>
          <w:sz w:val="83"/>
          <w:szCs w:val="83"/>
          <w:color w:val="282A33"/>
          <w:vertAlign w:val="superscript"/>
        </w:rPr>
        <w:t>%</w:t>
      </w:r>
      <w:r>
        <w:rPr>
          <w:rFonts w:ascii="Times New Roman" w:cs="Times New Roman" w:eastAsia="Times New Roman" w:hAnsi="Times New Roman"/>
          <w:sz w:val="72"/>
          <w:szCs w:val="72"/>
          <w:color w:val="282A33"/>
        </w:rPr>
        <w:t xml:space="preserve"> - 7</w:t>
      </w:r>
      <w:r>
        <w:rPr>
          <w:rFonts w:ascii="Times New Roman" w:cs="Times New Roman" w:eastAsia="Times New Roman" w:hAnsi="Times New Roman"/>
          <w:sz w:val="83"/>
          <w:szCs w:val="83"/>
          <w:color w:val="282A33"/>
          <w:vertAlign w:val="superscript"/>
        </w:rPr>
        <w:t>%</w:t>
      </w:r>
    </w:p>
    <w:p>
      <w:pPr>
        <w:spacing w:after="0" w:line="72" w:lineRule="exact"/>
        <w:rPr>
          <w:sz w:val="20"/>
          <w:szCs w:val="20"/>
          <w:color w:val="auto"/>
        </w:rPr>
      </w:pPr>
    </w:p>
    <w:p>
      <w:pPr>
        <w:ind w:right="980"/>
        <w:spacing w:after="0" w:line="231" w:lineRule="auto"/>
        <w:rPr>
          <w:sz w:val="20"/>
          <w:szCs w:val="20"/>
          <w:color w:val="auto"/>
        </w:rPr>
      </w:pPr>
      <w:r>
        <w:rPr>
          <w:rFonts w:ascii="Arial" w:cs="Arial" w:eastAsia="Arial" w:hAnsi="Arial"/>
          <w:sz w:val="26"/>
          <w:szCs w:val="26"/>
          <w:color w:val="3D3935"/>
        </w:rPr>
        <w:t>Expected Long-Term EPS Growth</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62"/>
          <w:szCs w:val="62"/>
          <w:color w:val="282A33"/>
        </w:rPr>
        <w:t>55</w:t>
      </w:r>
      <w:r>
        <w:rPr>
          <w:rFonts w:ascii="Times New Roman" w:cs="Times New Roman" w:eastAsia="Times New Roman" w:hAnsi="Times New Roman"/>
          <w:sz w:val="71"/>
          <w:szCs w:val="71"/>
          <w:color w:val="282A33"/>
          <w:vertAlign w:val="superscript"/>
        </w:rPr>
        <w:t>%</w:t>
      </w:r>
      <w:r>
        <w:rPr>
          <w:rFonts w:ascii="Times New Roman" w:cs="Times New Roman" w:eastAsia="Times New Roman" w:hAnsi="Times New Roman"/>
          <w:sz w:val="62"/>
          <w:szCs w:val="62"/>
          <w:color w:val="282A33"/>
        </w:rPr>
        <w:t xml:space="preserve"> - 65</w:t>
      </w:r>
      <w:r>
        <w:rPr>
          <w:rFonts w:ascii="Times New Roman" w:cs="Times New Roman" w:eastAsia="Times New Roman" w:hAnsi="Times New Roman"/>
          <w:sz w:val="71"/>
          <w:szCs w:val="71"/>
          <w:color w:val="282A33"/>
          <w:vertAlign w:val="superscript"/>
        </w:rPr>
        <w:t>%</w:t>
      </w:r>
    </w:p>
    <w:p>
      <w:pPr>
        <w:spacing w:after="0" w:line="210" w:lineRule="exact"/>
        <w:rPr>
          <w:sz w:val="20"/>
          <w:szCs w:val="20"/>
          <w:color w:val="auto"/>
        </w:rPr>
      </w:pPr>
    </w:p>
    <w:p>
      <w:pPr>
        <w:ind w:right="840"/>
        <w:spacing w:after="0" w:line="242" w:lineRule="auto"/>
        <w:rPr>
          <w:sz w:val="20"/>
          <w:szCs w:val="20"/>
          <w:color w:val="auto"/>
        </w:rPr>
      </w:pPr>
      <w:r>
        <w:rPr>
          <w:rFonts w:ascii="Arial" w:cs="Arial" w:eastAsia="Arial" w:hAnsi="Arial"/>
          <w:sz w:val="25"/>
          <w:szCs w:val="25"/>
          <w:color w:val="3D3935"/>
        </w:rPr>
        <w:t>Targeted Long-Term Dividend Payout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-2220595</wp:posOffset>
            </wp:positionH>
            <wp:positionV relativeFrom="paragraph">
              <wp:posOffset>835660</wp:posOffset>
            </wp:positionV>
            <wp:extent cx="5294630" cy="3973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extLst>
                    </a:blip>
                    <a:srcRect/>
                    <a:stretch>
                      <a:fillRect/>
                    </a:stretch>
                  </pic:blipFill>
                  <pic:spPr bwMode="auto">
                    <a:xfrm>
                      <a:off x="0" y="0"/>
                      <a:ext cx="5294630" cy="3973830"/>
                    </a:xfrm>
                    <a:prstGeom prst="rect">
                      <a:avLst/>
                    </a:prstGeom>
                    <a:noFill/>
                  </pic:spPr>
                </pic:pic>
              </a:graphicData>
            </a:graphic>
          </wp:anchor>
        </w:drawing>
      </w:r>
    </w:p>
    <w:p>
      <w:pPr>
        <w:spacing w:after="0" w:line="2552" w:lineRule="exact"/>
        <w:rPr>
          <w:sz w:val="20"/>
          <w:szCs w:val="20"/>
          <w:color w:val="auto"/>
        </w:rPr>
      </w:pPr>
    </w:p>
    <w:p>
      <w:pPr>
        <w:sectPr>
          <w:pgSz w:w="12240" w:h="15840" w:orient="portrait"/>
          <w:cols w:equalWidth="0" w:num="2">
            <w:col w:w="6340" w:space="720"/>
            <w:col w:w="3400"/>
          </w:cols>
          <w:pgMar w:left="340" w:top="1290" w:right="1440" w:bottom="0" w:gutter="0" w:footer="0" w:header="0"/>
          <w:type w:val="continuous"/>
        </w:sectPr>
      </w:pPr>
    </w:p>
    <w:p>
      <w:pPr>
        <w:spacing w:after="0" w:line="351" w:lineRule="exact"/>
        <w:rPr>
          <w:sz w:val="20"/>
          <w:szCs w:val="20"/>
          <w:color w:val="auto"/>
        </w:rPr>
      </w:pPr>
    </w:p>
    <w:p>
      <w:pPr>
        <w:ind w:left="1440" w:right="880"/>
        <w:spacing w:after="0" w:line="310" w:lineRule="auto"/>
        <w:rPr>
          <w:sz w:val="20"/>
          <w:szCs w:val="20"/>
          <w:color w:val="auto"/>
        </w:rPr>
      </w:pPr>
      <w:r>
        <w:rPr>
          <w:rFonts w:ascii="Arial" w:cs="Arial" w:eastAsia="Arial" w:hAnsi="Arial"/>
          <w:sz w:val="22"/>
          <w:szCs w:val="22"/>
          <w:color w:val="FFFFFF"/>
        </w:rPr>
        <w:t>As we enter 2026, we do so with clarity, confidence, and momentum. The energy sector continues to evolve, shaped by technological innovation, regulatory change, and shifting customer expectations. Our path forward remains clear. By focusing on disciplined growth, modern infrastructure, operational excellence, and exceptional customer service, we are building a company designed not just to navigate change, but to lead through it.</w:t>
      </w:r>
    </w:p>
    <w:p>
      <w:pPr>
        <w:spacing w:after="0" w:line="230" w:lineRule="exact"/>
        <w:rPr>
          <w:sz w:val="20"/>
          <w:szCs w:val="20"/>
          <w:color w:val="auto"/>
        </w:rPr>
      </w:pPr>
    </w:p>
    <w:p>
      <w:pPr>
        <w:ind w:left="1440" w:right="1000"/>
        <w:spacing w:after="0" w:line="314" w:lineRule="auto"/>
        <w:rPr>
          <w:sz w:val="20"/>
          <w:szCs w:val="20"/>
          <w:color w:val="auto"/>
        </w:rPr>
      </w:pPr>
      <w:r>
        <w:rPr>
          <w:rFonts w:ascii="Arial" w:cs="Arial" w:eastAsia="Arial" w:hAnsi="Arial"/>
          <w:sz w:val="22"/>
          <w:szCs w:val="22"/>
          <w:color w:val="FFFFFF"/>
        </w:rPr>
        <w:t>On behalf of the Board of Directors and the entire management team, I thank you for your continued trust and support. Together, we are building a stronger, more resilient, and more diversified Company—one prepared to meet the opportunities and challenges of the future.</w:t>
      </w:r>
    </w:p>
    <w:p>
      <w:pPr>
        <w:sectPr>
          <w:pgSz w:w="12240" w:h="15840" w:orient="portrait"/>
          <w:cols w:equalWidth="0" w:num="1">
            <w:col w:w="10460"/>
          </w:cols>
          <w:pgMar w:left="340" w:top="129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6"/>
          <w:szCs w:val="16"/>
          <w:color w:val="282A33"/>
        </w:rPr>
        <w:t xml:space="preserve">PG </w:t>
      </w:r>
      <w:r>
        <w:rPr>
          <w:rFonts w:ascii="Arial" w:cs="Arial" w:eastAsia="Arial" w:hAnsi="Arial"/>
          <w:sz w:val="16"/>
          <w:szCs w:val="16"/>
          <w:color w:val="282A33"/>
        </w:rPr>
        <w:t>| 14</w:t>
      </w:r>
      <w:r>
        <w:rPr>
          <w:sz w:val="20"/>
          <w:szCs w:val="20"/>
          <w:color w:val="auto"/>
        </w:rPr>
        <w:tab/>
      </w:r>
      <w:r>
        <w:rPr>
          <w:rFonts w:ascii="Times New Roman" w:cs="Times New Roman" w:eastAsia="Times New Roman" w:hAnsi="Times New Roman"/>
          <w:sz w:val="16"/>
          <w:szCs w:val="16"/>
          <w:color w:val="468AC9"/>
        </w:rPr>
        <w:t xml:space="preserve">2025 </w:t>
      </w:r>
      <w:r>
        <w:rPr>
          <w:rFonts w:ascii="Times New Roman" w:cs="Times New Roman" w:eastAsia="Times New Roman" w:hAnsi="Times New Roman"/>
          <w:sz w:val="16"/>
          <w:szCs w:val="16"/>
          <w:color w:val="282A33"/>
        </w:rPr>
        <w:t>Annual Report</w:t>
      </w:r>
    </w:p>
    <w:p>
      <w:pPr>
        <w:sectPr>
          <w:pgSz w:w="12240" w:h="15840" w:orient="portrait"/>
          <w:cols w:equalWidth="0" w:num="1">
            <w:col w:w="10460"/>
          </w:cols>
          <w:pgMar w:left="340" w:top="1290" w:right="1440" w:bottom="0" w:gutter="0" w:footer="0" w:header="0"/>
          <w:type w:val="continuous"/>
        </w:sectPr>
      </w:pPr>
    </w:p>
    <w:bookmarkStart w:id="14" w:name="page15"/>
    <w:bookmarkEnd w:id="14"/>
    <w:p>
      <w:pPr>
        <w:spacing w:after="0"/>
        <w:tabs>
          <w:tab w:leader="none" w:pos="5140" w:val="left"/>
        </w:tabs>
        <w:rPr>
          <w:sz w:val="20"/>
          <w:szCs w:val="20"/>
          <w:color w:val="auto"/>
        </w:rPr>
      </w:pPr>
      <w:r>
        <w:rPr>
          <w:rFonts w:ascii="Times New Roman" w:cs="Times New Roman" w:eastAsia="Times New Roman" w:hAnsi="Times New Roman"/>
          <w:sz w:val="46"/>
          <w:szCs w:val="46"/>
          <w:color w:val="3D3935"/>
        </w:rPr>
        <w:drawing>
          <wp:anchor simplePos="0" relativeHeight="251657728" behindDoc="1" locked="0" layoutInCell="0" allowOverlap="1">
            <wp:simplePos x="0" y="0"/>
            <wp:positionH relativeFrom="page">
              <wp:posOffset>0</wp:posOffset>
            </wp:positionH>
            <wp:positionV relativeFrom="page">
              <wp:posOffset>0</wp:posOffset>
            </wp:positionV>
            <wp:extent cx="4986655" cy="10057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a:extLst>
                        <a:ext uri="{28A0092B-C50C-407E-A947-70E740481C1C}"/>
                      </a:extLst>
                    </a:blip>
                    <a:srcRect/>
                    <a:stretch>
                      <a:fillRect/>
                    </a:stretch>
                  </pic:blipFill>
                  <pic:spPr bwMode="auto">
                    <a:xfrm>
                      <a:off x="0" y="0"/>
                      <a:ext cx="4986655" cy="10057765"/>
                    </a:xfrm>
                    <a:prstGeom prst="rect">
                      <a:avLst/>
                    </a:prstGeom>
                    <a:noFill/>
                  </pic:spPr>
                </pic:pic>
              </a:graphicData>
            </a:graphic>
          </wp:anchor>
        </w:drawing>
        <w:t>Information for</w:t>
      </w:r>
      <w:r>
        <w:rPr>
          <w:sz w:val="20"/>
          <w:szCs w:val="20"/>
          <w:color w:val="auto"/>
        </w:rPr>
        <w:tab/>
      </w:r>
      <w:r>
        <w:rPr>
          <w:rFonts w:ascii="Times New Roman" w:cs="Times New Roman" w:eastAsia="Times New Roman" w:hAnsi="Times New Roman"/>
          <w:sz w:val="46"/>
          <w:szCs w:val="46"/>
          <w:color w:val="3D3935"/>
        </w:rPr>
        <w:t>Programs and</w:t>
      </w:r>
    </w:p>
    <w:p>
      <w:pPr>
        <w:spacing w:after="0" w:line="15" w:lineRule="exact"/>
        <w:rPr>
          <w:sz w:val="20"/>
          <w:szCs w:val="20"/>
          <w:color w:val="auto"/>
        </w:rPr>
      </w:pPr>
    </w:p>
    <w:p>
      <w:pPr>
        <w:spacing w:after="0"/>
        <w:tabs>
          <w:tab w:leader="none" w:pos="5140" w:val="left"/>
        </w:tabs>
        <w:rPr>
          <w:sz w:val="20"/>
          <w:szCs w:val="20"/>
          <w:color w:val="auto"/>
        </w:rPr>
      </w:pPr>
      <w:r>
        <w:rPr>
          <w:rFonts w:ascii="Times New Roman" w:cs="Times New Roman" w:eastAsia="Times New Roman" w:hAnsi="Times New Roman"/>
          <w:sz w:val="46"/>
          <w:szCs w:val="46"/>
          <w:color w:val="3D3935"/>
        </w:rPr>
        <w:t>Shareholders</w:t>
      </w:r>
      <w:r>
        <w:rPr>
          <w:sz w:val="20"/>
          <w:szCs w:val="20"/>
          <w:color w:val="auto"/>
        </w:rPr>
        <w:tab/>
      </w:r>
      <w:r>
        <w:rPr>
          <w:rFonts w:ascii="Times New Roman" w:cs="Times New Roman" w:eastAsia="Times New Roman" w:hAnsi="Times New Roman"/>
          <w:sz w:val="46"/>
          <w:szCs w:val="46"/>
          <w:color w:val="3D3935"/>
        </w:rPr>
        <w:t>Plans</w:t>
      </w:r>
    </w:p>
    <w:p>
      <w:pPr>
        <w:sectPr>
          <w:pgSz w:w="12240" w:h="15840" w:orient="portrait"/>
          <w:cols w:equalWidth="0" w:num="1">
            <w:col w:w="10500"/>
          </w:cols>
          <w:pgMar w:left="1420" w:top="986" w:right="320" w:bottom="0" w:gutter="0" w:footer="0" w:header="0"/>
        </w:sect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color w:val="3D3935"/>
        </w:rPr>
        <w:t>2026 Annual Meeting</w:t>
      </w:r>
    </w:p>
    <w:p>
      <w:pPr>
        <w:spacing w:after="0" w:line="243" w:lineRule="exact"/>
        <w:rPr>
          <w:sz w:val="20"/>
          <w:szCs w:val="20"/>
          <w:color w:val="auto"/>
        </w:rPr>
      </w:pPr>
    </w:p>
    <w:p>
      <w:pPr>
        <w:ind w:right="120"/>
        <w:spacing w:after="0" w:line="340" w:lineRule="auto"/>
        <w:rPr>
          <w:sz w:val="20"/>
          <w:szCs w:val="20"/>
          <w:color w:val="auto"/>
        </w:rPr>
      </w:pPr>
      <w:r>
        <w:rPr>
          <w:rFonts w:ascii="Arial" w:cs="Arial" w:eastAsia="Arial" w:hAnsi="Arial"/>
          <w:sz w:val="19"/>
          <w:szCs w:val="19"/>
          <w:color w:val="3D3935"/>
        </w:rPr>
        <w:t>The Annual Meeting of Shareholders (the “Annual Meeting”) is scheduled to be held on Wednesday, April 29, 2026, at 11:30 a.m. (EDT). The Annual Meeting will be held at our corporate office, 6 Liberty Lane West, Hampton, New Hampshire.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color w:val="3D3935"/>
        </w:rPr>
        <w:t>Transfer Agent</w:t>
      </w:r>
    </w:p>
    <w:p>
      <w:pPr>
        <w:spacing w:after="0" w:line="243" w:lineRule="exact"/>
        <w:rPr>
          <w:sz w:val="20"/>
          <w:szCs w:val="20"/>
          <w:color w:val="auto"/>
        </w:rPr>
      </w:pPr>
    </w:p>
    <w:p>
      <w:pPr>
        <w:spacing w:after="0" w:line="335" w:lineRule="auto"/>
        <w:rPr>
          <w:sz w:val="20"/>
          <w:szCs w:val="20"/>
          <w:color w:val="auto"/>
        </w:rPr>
      </w:pPr>
      <w:r>
        <w:rPr>
          <w:rFonts w:ascii="Arial" w:cs="Arial" w:eastAsia="Arial" w:hAnsi="Arial"/>
          <w:sz w:val="19"/>
          <w:szCs w:val="19"/>
          <w:color w:val="3D3935"/>
        </w:rPr>
        <w:t>Our Transfer Agent, Computershare Investor Services (“Computershare”), is responsible for all shareholder records, Common Stock issuance and transfer, and the distribution of dividends, tax documents and annual meeting materials to registered holders. Shareholder requests regarding these and other matters can be addressed by corresponding directly with Computershare at:</w:t>
      </w:r>
    </w:p>
    <w:p>
      <w:pPr>
        <w:spacing w:after="0" w:line="120" w:lineRule="exact"/>
        <w:rPr>
          <w:sz w:val="20"/>
          <w:szCs w:val="20"/>
          <w:color w:val="auto"/>
        </w:rPr>
      </w:pPr>
    </w:p>
    <w:p>
      <w:pPr>
        <w:ind w:right="2020"/>
        <w:spacing w:after="0" w:line="329" w:lineRule="auto"/>
        <w:rPr>
          <w:sz w:val="20"/>
          <w:szCs w:val="20"/>
          <w:color w:val="auto"/>
        </w:rPr>
      </w:pPr>
      <w:r>
        <w:rPr>
          <w:rFonts w:ascii="Arial" w:cs="Arial" w:eastAsia="Arial" w:hAnsi="Arial"/>
          <w:sz w:val="19"/>
          <w:szCs w:val="19"/>
          <w:b w:val="1"/>
          <w:bCs w:val="1"/>
          <w:color w:val="3D3935"/>
        </w:rPr>
        <w:t>Mail</w:t>
      </w:r>
      <w:r>
        <w:rPr>
          <w:rFonts w:ascii="Arial" w:cs="Arial" w:eastAsia="Arial" w:hAnsi="Arial"/>
          <w:sz w:val="19"/>
          <w:szCs w:val="19"/>
          <w:color w:val="3D3935"/>
        </w:rPr>
        <w:t>: P.O. Box 43078</w:t>
      </w:r>
      <w:r>
        <w:rPr>
          <w:rFonts w:ascii="Arial" w:cs="Arial" w:eastAsia="Arial" w:hAnsi="Arial"/>
          <w:sz w:val="19"/>
          <w:szCs w:val="19"/>
          <w:b w:val="1"/>
          <w:bCs w:val="1"/>
          <w:color w:val="3D3935"/>
        </w:rPr>
        <w:t xml:space="preserve"> </w:t>
      </w:r>
      <w:r>
        <w:rPr>
          <w:rFonts w:ascii="Arial" w:cs="Arial" w:eastAsia="Arial" w:hAnsi="Arial"/>
          <w:sz w:val="19"/>
          <w:szCs w:val="19"/>
          <w:color w:val="3D3935"/>
        </w:rPr>
        <w:t xml:space="preserve">Providence, RI 02940-3078 </w:t>
      </w:r>
      <w:r>
        <w:rPr>
          <w:rFonts w:ascii="Arial" w:cs="Arial" w:eastAsia="Arial" w:hAnsi="Arial"/>
          <w:sz w:val="19"/>
          <w:szCs w:val="19"/>
          <w:b w:val="1"/>
          <w:bCs w:val="1"/>
          <w:color w:val="3D3935"/>
        </w:rPr>
        <w:t>Telephone</w:t>
      </w:r>
      <w:r>
        <w:rPr>
          <w:rFonts w:ascii="Arial" w:cs="Arial" w:eastAsia="Arial" w:hAnsi="Arial"/>
          <w:sz w:val="19"/>
          <w:szCs w:val="19"/>
          <w:color w:val="3D3935"/>
        </w:rPr>
        <w:t>: 1-800-736-3001</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3D3935"/>
        </w:rPr>
        <w:t>Online</w:t>
      </w:r>
      <w:r>
        <w:rPr>
          <w:rFonts w:ascii="Arial" w:cs="Arial" w:eastAsia="Arial" w:hAnsi="Arial"/>
          <w:sz w:val="20"/>
          <w:szCs w:val="20"/>
          <w:color w:val="3D3935"/>
        </w:rPr>
        <w:t>:</w:t>
      </w:r>
      <w:r>
        <w:rPr>
          <w:rFonts w:ascii="Arial" w:cs="Arial" w:eastAsia="Arial" w:hAnsi="Arial"/>
          <w:sz w:val="20"/>
          <w:szCs w:val="20"/>
          <w:b w:val="1"/>
          <w:bCs w:val="1"/>
          <w:color w:val="3D3935"/>
        </w:rPr>
        <w:t xml:space="preserve"> </w:t>
      </w:r>
      <w:r>
        <w:rPr>
          <w:rFonts w:ascii="Arial" w:cs="Arial" w:eastAsia="Arial" w:hAnsi="Arial"/>
          <w:sz w:val="20"/>
          <w:szCs w:val="20"/>
          <w:color w:val="E77525"/>
        </w:rPr>
        <w:t>www-us.computershare.com/Investor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color w:val="3D3935"/>
        </w:rPr>
        <w:t>Contact Us</w:t>
      </w:r>
    </w:p>
    <w:p>
      <w:pPr>
        <w:spacing w:after="0" w:line="243" w:lineRule="exact"/>
        <w:rPr>
          <w:sz w:val="20"/>
          <w:szCs w:val="20"/>
          <w:color w:val="auto"/>
        </w:rPr>
      </w:pPr>
    </w:p>
    <w:p>
      <w:pPr>
        <w:ind w:right="120"/>
        <w:spacing w:after="0" w:line="313" w:lineRule="auto"/>
        <w:rPr>
          <w:sz w:val="20"/>
          <w:szCs w:val="20"/>
          <w:color w:val="auto"/>
        </w:rPr>
      </w:pPr>
      <w:r>
        <w:rPr>
          <w:rFonts w:ascii="Arial" w:cs="Arial" w:eastAsia="Arial" w:hAnsi="Arial"/>
          <w:sz w:val="20"/>
          <w:szCs w:val="20"/>
          <w:color w:val="3D3935"/>
        </w:rPr>
        <w:t>For information about us or your investment, you may call us directly, toll-free, at</w:t>
      </w:r>
    </w:p>
    <w:p>
      <w:pPr>
        <w:ind w:right="480"/>
        <w:spacing w:after="0" w:line="325" w:lineRule="auto"/>
        <w:rPr>
          <w:sz w:val="20"/>
          <w:szCs w:val="20"/>
          <w:color w:val="auto"/>
        </w:rPr>
      </w:pPr>
      <w:r>
        <w:rPr>
          <w:rFonts w:ascii="Arial" w:cs="Arial" w:eastAsia="Arial" w:hAnsi="Arial"/>
          <w:sz w:val="20"/>
          <w:szCs w:val="20"/>
          <w:color w:val="3D3935"/>
        </w:rPr>
        <w:t xml:space="preserve">1-800-999-6501 and ask for the Shareholder Representative, visit the Investor Relations page at </w:t>
      </w:r>
      <w:r>
        <w:rPr>
          <w:rFonts w:ascii="Arial" w:cs="Arial" w:eastAsia="Arial" w:hAnsi="Arial"/>
          <w:sz w:val="20"/>
          <w:szCs w:val="20"/>
          <w:color w:val="E77525"/>
        </w:rPr>
        <w:t>unitil.com</w:t>
      </w:r>
      <w:r>
        <w:rPr>
          <w:rFonts w:ascii="Arial" w:cs="Arial" w:eastAsia="Arial" w:hAnsi="Arial"/>
          <w:sz w:val="20"/>
          <w:szCs w:val="20"/>
          <w:color w:val="3D3935"/>
        </w:rPr>
        <w:t xml:space="preserve">, or contact us at </w:t>
      </w:r>
      <w:r>
        <w:rPr>
          <w:rFonts w:ascii="Arial" w:cs="Arial" w:eastAsia="Arial" w:hAnsi="Arial"/>
          <w:sz w:val="20"/>
          <w:szCs w:val="20"/>
          <w:color w:val="E77525"/>
        </w:rPr>
        <w:t>InvestorRelations@unitil.com</w:t>
      </w:r>
      <w:r>
        <w:rPr>
          <w:rFonts w:ascii="Arial" w:cs="Arial" w:eastAsia="Arial" w:hAnsi="Arial"/>
          <w:sz w:val="20"/>
          <w:szCs w:val="20"/>
          <w:color w:val="3D3935"/>
        </w:rPr>
        <w: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color w:val="3D3935"/>
        </w:rPr>
        <w:t>Cautionary Statement</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color w:val="3D3935"/>
        </w:rPr>
        <w:t>Dividend Reinvestment Plan</w:t>
      </w:r>
    </w:p>
    <w:p>
      <w:pPr>
        <w:spacing w:after="0" w:line="243" w:lineRule="exact"/>
        <w:rPr>
          <w:sz w:val="20"/>
          <w:szCs w:val="20"/>
          <w:color w:val="auto"/>
        </w:rPr>
      </w:pPr>
    </w:p>
    <w:p>
      <w:pPr>
        <w:ind w:right="1260"/>
        <w:spacing w:after="0" w:line="334" w:lineRule="auto"/>
        <w:rPr>
          <w:sz w:val="20"/>
          <w:szCs w:val="20"/>
          <w:color w:val="auto"/>
        </w:rPr>
      </w:pPr>
      <w:r>
        <w:rPr>
          <w:rFonts w:ascii="Arial" w:cs="Arial" w:eastAsia="Arial" w:hAnsi="Arial"/>
          <w:sz w:val="19"/>
          <w:szCs w:val="19"/>
          <w:color w:val="3D3935"/>
        </w:rPr>
        <w:t xml:space="preserve">A Dividend Reinvestment and Stock Purchase Plan (the “Plan”) is available to registered holders of our Common Stock. This Plan provides shareholders with an economical means to increase their investment each quarter by reinvesting their dividends without broker fees. A Plan prospectus is available on the Investor Relations page at </w:t>
      </w:r>
      <w:r>
        <w:rPr>
          <w:rFonts w:ascii="Arial" w:cs="Arial" w:eastAsia="Arial" w:hAnsi="Arial"/>
          <w:sz w:val="19"/>
          <w:szCs w:val="19"/>
          <w:color w:val="E77525"/>
        </w:rPr>
        <w:t>unitil.com</w:t>
      </w:r>
      <w:r>
        <w:rPr>
          <w:rFonts w:ascii="Arial" w:cs="Arial" w:eastAsia="Arial" w:hAnsi="Arial"/>
          <w:sz w:val="19"/>
          <w:szCs w:val="19"/>
          <w:color w:val="3D3935"/>
        </w:rPr>
        <w:t>. For additional information or enrollment, please contact us or Computershare.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color w:val="3D3935"/>
        </w:rPr>
        <w:t>Dividend Direct Deposit</w:t>
      </w:r>
    </w:p>
    <w:p>
      <w:pPr>
        <w:spacing w:after="0" w:line="243" w:lineRule="exact"/>
        <w:rPr>
          <w:sz w:val="20"/>
          <w:szCs w:val="20"/>
          <w:color w:val="auto"/>
        </w:rPr>
      </w:pPr>
    </w:p>
    <w:p>
      <w:pPr>
        <w:ind w:right="1200"/>
        <w:spacing w:after="0" w:line="320" w:lineRule="auto"/>
        <w:rPr>
          <w:sz w:val="20"/>
          <w:szCs w:val="20"/>
          <w:color w:val="auto"/>
        </w:rPr>
      </w:pPr>
      <w:r>
        <w:rPr>
          <w:rFonts w:ascii="Arial" w:cs="Arial" w:eastAsia="Arial" w:hAnsi="Arial"/>
          <w:sz w:val="20"/>
          <w:szCs w:val="20"/>
          <w:color w:val="3D3935"/>
        </w:rPr>
        <w:t>Dividend Direct Deposit Service is available without charge to registered holders of our Common Stock. For further information or enrollment in this service, please contact us or Computershare.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color w:val="3D3935"/>
        </w:rPr>
        <w:t>Social Media</w:t>
      </w:r>
    </w:p>
    <w:p>
      <w:pPr>
        <w:spacing w:after="0" w:line="243" w:lineRule="exact"/>
        <w:rPr>
          <w:sz w:val="20"/>
          <w:szCs w:val="20"/>
          <w:color w:val="auto"/>
        </w:rPr>
      </w:pPr>
    </w:p>
    <w:p>
      <w:pPr>
        <w:ind w:right="1060"/>
        <w:spacing w:after="0" w:line="320" w:lineRule="auto"/>
        <w:rPr>
          <w:sz w:val="20"/>
          <w:szCs w:val="20"/>
          <w:color w:val="auto"/>
        </w:rPr>
      </w:pPr>
      <w:r>
        <w:rPr>
          <w:rFonts w:ascii="Arial" w:cs="Arial" w:eastAsia="Arial" w:hAnsi="Arial"/>
          <w:sz w:val="20"/>
          <w:szCs w:val="20"/>
          <w:color w:val="3D3935"/>
        </w:rPr>
        <w:t>We’re in constant contact with our stakeholders in real time through various means of social media. You can access up-to-date information about us and our projects in the following places:</w:t>
      </w:r>
    </w:p>
    <w:p>
      <w:pPr>
        <w:spacing w:after="0" w:line="55" w:lineRule="exact"/>
        <w:rPr>
          <w:sz w:val="20"/>
          <w:szCs w:val="20"/>
          <w:color w:val="auto"/>
        </w:rPr>
      </w:pPr>
    </w:p>
    <w:p>
      <w:pPr>
        <w:ind w:left="720" w:hanging="355"/>
        <w:spacing w:after="0"/>
        <w:tabs>
          <w:tab w:leader="none" w:pos="720" w:val="left"/>
        </w:tabs>
        <w:numPr>
          <w:ilvl w:val="0"/>
          <w:numId w:val="5"/>
        </w:numPr>
        <w:rPr>
          <w:rFonts w:ascii="Arial" w:cs="Arial" w:eastAsia="Arial" w:hAnsi="Arial"/>
          <w:sz w:val="20"/>
          <w:szCs w:val="20"/>
          <w:color w:val="231F20"/>
        </w:rPr>
      </w:pPr>
      <w:r>
        <w:rPr>
          <w:rFonts w:ascii="Arial" w:cs="Arial" w:eastAsia="Arial" w:hAnsi="Arial"/>
          <w:sz w:val="20"/>
          <w:szCs w:val="20"/>
          <w:color w:val="E77525"/>
        </w:rPr>
        <w:t>facebook.com/unitil</w:t>
      </w:r>
    </w:p>
    <w:p>
      <w:pPr>
        <w:spacing w:after="0" w:line="160" w:lineRule="exact"/>
        <w:rPr>
          <w:rFonts w:ascii="Arial" w:cs="Arial" w:eastAsia="Arial" w:hAnsi="Arial"/>
          <w:sz w:val="20"/>
          <w:szCs w:val="20"/>
          <w:color w:val="231F20"/>
        </w:rPr>
      </w:pPr>
    </w:p>
    <w:p>
      <w:pPr>
        <w:ind w:left="720" w:hanging="355"/>
        <w:spacing w:after="0"/>
        <w:tabs>
          <w:tab w:leader="none" w:pos="720" w:val="left"/>
        </w:tabs>
        <w:numPr>
          <w:ilvl w:val="0"/>
          <w:numId w:val="5"/>
        </w:numPr>
        <w:rPr>
          <w:rFonts w:ascii="Arial" w:cs="Arial" w:eastAsia="Arial" w:hAnsi="Arial"/>
          <w:sz w:val="20"/>
          <w:szCs w:val="20"/>
          <w:color w:val="231F20"/>
        </w:rPr>
      </w:pPr>
      <w:r>
        <w:rPr>
          <w:rFonts w:ascii="Arial" w:cs="Arial" w:eastAsia="Arial" w:hAnsi="Arial"/>
          <w:sz w:val="20"/>
          <w:szCs w:val="20"/>
          <w:color w:val="E77525"/>
        </w:rPr>
        <w:t>x.com/Unitil</w:t>
      </w:r>
    </w:p>
    <w:p>
      <w:pPr>
        <w:spacing w:after="0" w:line="160" w:lineRule="exact"/>
        <w:rPr>
          <w:rFonts w:ascii="Arial" w:cs="Arial" w:eastAsia="Arial" w:hAnsi="Arial"/>
          <w:sz w:val="20"/>
          <w:szCs w:val="20"/>
          <w:color w:val="231F20"/>
        </w:rPr>
      </w:pPr>
    </w:p>
    <w:p>
      <w:pPr>
        <w:ind w:left="720" w:hanging="355"/>
        <w:spacing w:after="0"/>
        <w:tabs>
          <w:tab w:leader="none" w:pos="720" w:val="left"/>
        </w:tabs>
        <w:numPr>
          <w:ilvl w:val="0"/>
          <w:numId w:val="5"/>
        </w:numPr>
        <w:rPr>
          <w:rFonts w:ascii="Arial" w:cs="Arial" w:eastAsia="Arial" w:hAnsi="Arial"/>
          <w:sz w:val="20"/>
          <w:szCs w:val="20"/>
          <w:color w:val="231F20"/>
        </w:rPr>
      </w:pPr>
      <w:r>
        <w:rPr>
          <w:rFonts w:ascii="Arial" w:cs="Arial" w:eastAsia="Arial" w:hAnsi="Arial"/>
          <w:sz w:val="20"/>
          <w:szCs w:val="20"/>
          <w:color w:val="E77525"/>
        </w:rPr>
        <w:t>linkedin.com/company/unitil</w:t>
      </w:r>
    </w:p>
    <w:p>
      <w:pPr>
        <w:spacing w:after="0" w:line="160" w:lineRule="exact"/>
        <w:rPr>
          <w:rFonts w:ascii="Arial" w:cs="Arial" w:eastAsia="Arial" w:hAnsi="Arial"/>
          <w:sz w:val="20"/>
          <w:szCs w:val="20"/>
          <w:color w:val="231F20"/>
        </w:rPr>
      </w:pPr>
    </w:p>
    <w:p>
      <w:pPr>
        <w:ind w:left="720" w:hanging="355"/>
        <w:spacing w:after="0"/>
        <w:tabs>
          <w:tab w:leader="none" w:pos="720" w:val="left"/>
        </w:tabs>
        <w:numPr>
          <w:ilvl w:val="0"/>
          <w:numId w:val="5"/>
        </w:numPr>
        <w:rPr>
          <w:rFonts w:ascii="Arial" w:cs="Arial" w:eastAsia="Arial" w:hAnsi="Arial"/>
          <w:sz w:val="20"/>
          <w:szCs w:val="20"/>
          <w:color w:val="231F20"/>
        </w:rPr>
      </w:pPr>
      <w:r>
        <w:rPr>
          <w:rFonts w:ascii="Arial" w:cs="Arial" w:eastAsia="Arial" w:hAnsi="Arial"/>
          <w:sz w:val="20"/>
          <w:szCs w:val="20"/>
          <w:color w:val="E77525"/>
        </w:rPr>
        <w:t>instagram.com/unitilenergy</w:t>
      </w:r>
    </w:p>
    <w:p>
      <w:pPr>
        <w:spacing w:after="0" w:line="528" w:lineRule="exact"/>
        <w:rPr>
          <w:sz w:val="20"/>
          <w:szCs w:val="20"/>
          <w:color w:val="auto"/>
        </w:rPr>
      </w:pPr>
    </w:p>
    <w:p>
      <w:pPr>
        <w:sectPr>
          <w:pgSz w:w="12240" w:h="15840" w:orient="portrait"/>
          <w:cols w:equalWidth="0" w:num="2">
            <w:col w:w="4520" w:space="640"/>
            <w:col w:w="5340"/>
          </w:cols>
          <w:pgMar w:left="1420" w:top="986" w:right="320" w:bottom="0" w:gutter="0" w:footer="0" w:header="0"/>
          <w:type w:val="continuous"/>
        </w:sectPr>
      </w:pP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color w:val="3D3935"/>
        </w:rPr>
        <w:t>This Annual Report contains statements that may constitute forward-looking statements.</w:t>
      </w:r>
    </w:p>
    <w:p>
      <w:pPr>
        <w:spacing w:after="0" w:line="70" w:lineRule="exact"/>
        <w:rPr>
          <w:sz w:val="20"/>
          <w:szCs w:val="20"/>
          <w:color w:val="auto"/>
        </w:rPr>
      </w:pPr>
    </w:p>
    <w:p>
      <w:pPr>
        <w:ind w:right="1140"/>
        <w:spacing w:after="0" w:line="320" w:lineRule="auto"/>
        <w:rPr>
          <w:sz w:val="20"/>
          <w:szCs w:val="20"/>
          <w:color w:val="auto"/>
        </w:rPr>
      </w:pPr>
      <w:r>
        <w:rPr>
          <w:rFonts w:ascii="Arial" w:cs="Arial" w:eastAsia="Arial" w:hAnsi="Arial"/>
          <w:sz w:val="20"/>
          <w:szCs w:val="20"/>
          <w:color w:val="3D3935"/>
        </w:rPr>
        <w:t>All statements, other than statements of historical fact, are forward-looking statements. These statements include declarations regarding our beliefs and current expectations. These forward-looking statements are subject to inherent risks and uncertainties in predicting future results and conditions that could cause our actual results to differ materially from those projected in these statements. Please see the section entitled “Cautionary Statement” in our Form 10-K for the year ended December 31, 2025.</w:t>
      </w:r>
    </w:p>
    <w:p>
      <w:pPr>
        <w:sectPr>
          <w:pgSz w:w="12240" w:h="15840" w:orient="portrait"/>
          <w:cols w:equalWidth="0" w:num="1">
            <w:col w:w="10500"/>
          </w:cols>
          <w:pgMar w:left="1420" w:top="986" w:right="3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5"/>
          <w:szCs w:val="15"/>
          <w:color w:val="282A33"/>
        </w:rPr>
        <w:t xml:space="preserve">PG </w:t>
      </w:r>
      <w:r>
        <w:rPr>
          <w:rFonts w:ascii="Arial" w:cs="Arial" w:eastAsia="Arial" w:hAnsi="Arial"/>
          <w:sz w:val="15"/>
          <w:szCs w:val="15"/>
          <w:color w:val="282A33"/>
        </w:rPr>
        <w:t>| 15</w:t>
      </w:r>
    </w:p>
    <w:p>
      <w:pPr>
        <w:sectPr>
          <w:pgSz w:w="12240" w:h="15840" w:orient="portrait"/>
          <w:cols w:equalWidth="0" w:num="1">
            <w:col w:w="10500"/>
          </w:cols>
          <w:pgMar w:left="1420" w:top="986" w:right="320" w:bottom="0" w:gutter="0" w:footer="0" w:header="0"/>
          <w:type w:val="continuous"/>
        </w:sectPr>
      </w:pPr>
    </w:p>
    <w:bookmarkStart w:id="15" w:name="page16"/>
    <w:bookmarkEnd w:id="15"/>
    <w:p>
      <w:pPr>
        <w:spacing w:after="0"/>
        <w:rPr>
          <w:sz w:val="20"/>
          <w:szCs w:val="20"/>
          <w:color w:val="auto"/>
        </w:rPr>
      </w:pPr>
    </w:p>
    <w:p>
      <w:pPr>
        <w:sectPr>
          <w:pgSz w:w="12240" w:h="15840" w:orient="portrait"/>
          <w:cols w:equalWidth="1" w:num="1" w:space="0"/>
          <w:pgMar w:left="1440" w:top="1440" w:right="1440" w:bottom="875"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8"/>
          <w:szCs w:val="8"/>
          <w:color w:val="231F20"/>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-53340</wp:posOffset>
                </wp:positionV>
                <wp:extent cx="685800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1999pt" to="540pt,-4.1999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-34290</wp:posOffset>
                </wp:positionV>
                <wp:extent cx="685800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999pt" to="540pt,-2.6999pt" o:allowincell="f" strokecolor="#231F20" strokeweight="0.75pt"/>
            </w:pict>
          </mc:Fallback>
        </mc:AlternateConten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231F20"/>
        </w:rPr>
        <w:t>UNITED STATES</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231F20"/>
        </w:rPr>
        <w:t>SECURITIES AND EXCHANGE COMMISSION</w:t>
      </w:r>
    </w:p>
    <w:p>
      <w:pPr>
        <w:jc w:val="center"/>
        <w:ind w:right="-19"/>
        <w:spacing w:after="0"/>
        <w:rPr>
          <w:sz w:val="20"/>
          <w:szCs w:val="20"/>
          <w:color w:val="auto"/>
        </w:rPr>
      </w:pPr>
      <w:r>
        <w:rPr>
          <w:rFonts w:ascii="Times New Roman" w:cs="Times New Roman" w:eastAsia="Times New Roman" w:hAnsi="Times New Roman"/>
          <w:sz w:val="23"/>
          <w:szCs w:val="23"/>
          <w:b w:val="1"/>
          <w:bCs w:val="1"/>
          <w:color w:val="231F20"/>
        </w:rPr>
        <w:t>WASHINGTON, D.C. 20549</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231F20"/>
        </w:rPr>
        <w:t>FORM 10-K</w:t>
      </w:r>
    </w:p>
    <w:p>
      <w:pPr>
        <w:spacing w:after="0" w:line="63" w:lineRule="exact"/>
        <w:rPr>
          <w:sz w:val="20"/>
          <w:szCs w:val="20"/>
          <w:color w:val="auto"/>
        </w:rPr>
      </w:pPr>
    </w:p>
    <w:p>
      <w:pPr>
        <w:ind w:left="620" w:right="360" w:hanging="620"/>
        <w:spacing w:after="0" w:line="247" w:lineRule="auto"/>
        <w:tabs>
          <w:tab w:leader="none" w:pos="620" w:val="left"/>
        </w:tabs>
        <w:numPr>
          <w:ilvl w:val="0"/>
          <w:numId w:val="6"/>
        </w:numPr>
        <w:rPr>
          <w:rFonts w:ascii="Segoe UI Symbol" w:cs="Segoe UI Symbol" w:eastAsia="Segoe UI Symbol" w:hAnsi="Segoe UI Symbol"/>
          <w:sz w:val="23"/>
          <w:szCs w:val="23"/>
          <w:color w:val="231F20"/>
        </w:rPr>
      </w:pPr>
      <w:r>
        <w:rPr>
          <w:rFonts w:ascii="Times New Roman" w:cs="Times New Roman" w:eastAsia="Times New Roman" w:hAnsi="Times New Roman"/>
          <w:sz w:val="23"/>
          <w:szCs w:val="23"/>
          <w:b w:val="1"/>
          <w:bCs w:val="1"/>
          <w:color w:val="231F20"/>
        </w:rPr>
        <w:t>ANNUAL REPORT PURSUANT TO SECTION 13 OR 15(d) OF THE SECURITIES EXCHANGE ACT OF 1934</w:t>
      </w: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For the fiscal year ended December 31, 2025</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OR</w:t>
      </w:r>
    </w:p>
    <w:p>
      <w:pPr>
        <w:spacing w:after="0" w:line="67" w:lineRule="exact"/>
        <w:rPr>
          <w:sz w:val="20"/>
          <w:szCs w:val="20"/>
          <w:color w:val="auto"/>
        </w:rPr>
      </w:pPr>
    </w:p>
    <w:p>
      <w:pPr>
        <w:ind w:left="620" w:right="1220" w:hanging="620"/>
        <w:spacing w:after="0" w:line="247" w:lineRule="auto"/>
        <w:tabs>
          <w:tab w:leader="none" w:pos="620" w:val="left"/>
        </w:tabs>
        <w:numPr>
          <w:ilvl w:val="0"/>
          <w:numId w:val="7"/>
        </w:numPr>
        <w:rPr>
          <w:rFonts w:ascii="Segoe UI Symbol" w:cs="Segoe UI Symbol" w:eastAsia="Segoe UI Symbol" w:hAnsi="Segoe UI Symbol"/>
          <w:sz w:val="23"/>
          <w:szCs w:val="23"/>
          <w:color w:val="231F20"/>
        </w:rPr>
      </w:pPr>
      <w:r>
        <w:rPr>
          <w:rFonts w:ascii="Times New Roman" w:cs="Times New Roman" w:eastAsia="Times New Roman" w:hAnsi="Times New Roman"/>
          <w:sz w:val="23"/>
          <w:szCs w:val="23"/>
          <w:b w:val="1"/>
          <w:bCs w:val="1"/>
          <w:color w:val="231F20"/>
        </w:rPr>
        <w:t>TRANSITION REPORT PURSUANT TO SECTION 13 OR 15 (d) OF THE SECURITIES EXCHANGE ACT OF 1934</w:t>
      </w:r>
    </w:p>
    <w:tbl>
      <w:tblPr>
        <w:tblLayout w:type="fixed"/>
        <w:tblInd w:w="3680" w:type="dxa"/>
        <w:tblCellMar>
          <w:top w:w="0" w:type="dxa"/>
          <w:left w:w="0" w:type="dxa"/>
          <w:bottom w:w="0" w:type="dxa"/>
          <w:right w:w="0" w:type="dxa"/>
        </w:tblCellMar>
      </w:tblP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For the transition period from</w:t>
            </w:r>
          </w:p>
        </w:tc>
        <w:tc>
          <w:tcPr>
            <w:tcW w:w="600" w:type="dxa"/>
            <w:vAlign w:val="bottom"/>
            <w:tcBorders>
              <w:bottom w:val="single" w:sz="8" w:color="231F20"/>
            </w:tcBorders>
            <w:gridSpan w:val="2"/>
          </w:tcPr>
          <w:p>
            <w:pPr>
              <w:spacing w:after="0"/>
              <w:rPr>
                <w:sz w:val="20"/>
                <w:szCs w:val="20"/>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231F20"/>
                <w:w w:val="83"/>
              </w:rPr>
              <w:t>to</w:t>
            </w:r>
          </w:p>
        </w:tc>
      </w:tr>
      <w:tr>
        <w:trPr>
          <w:trHeight w:val="250"/>
        </w:trPr>
        <w:tc>
          <w:tcPr>
            <w:tcW w:w="3240" w:type="dxa"/>
            <w:vAlign w:val="bottom"/>
            <w:gridSpan w:val="4"/>
          </w:tcPr>
          <w:p>
            <w:pPr>
              <w:ind w:left="360"/>
              <w:spacing w:after="0"/>
              <w:rPr>
                <w:sz w:val="20"/>
                <w:szCs w:val="20"/>
                <w:color w:val="auto"/>
              </w:rPr>
            </w:pPr>
            <w:r>
              <w:rPr>
                <w:rFonts w:ascii="Times New Roman" w:cs="Times New Roman" w:eastAsia="Times New Roman" w:hAnsi="Times New Roman"/>
                <w:sz w:val="20"/>
                <w:szCs w:val="20"/>
                <w:b w:val="1"/>
                <w:bCs w:val="1"/>
                <w:color w:val="231F20"/>
              </w:rPr>
              <w:t>Commission file number 1-8858</w:t>
            </w:r>
          </w:p>
        </w:tc>
        <w:tc>
          <w:tcPr>
            <w:tcW w:w="200" w:type="dxa"/>
            <w:vAlign w:val="bottom"/>
          </w:tcPr>
          <w:p>
            <w:pPr>
              <w:spacing w:after="0"/>
              <w:rPr>
                <w:sz w:val="21"/>
                <w:szCs w:val="21"/>
                <w:color w:val="auto"/>
              </w:rPr>
            </w:pPr>
          </w:p>
        </w:tc>
      </w:tr>
      <w:tr>
        <w:trPr>
          <w:trHeight w:val="20"/>
        </w:trPr>
        <w:tc>
          <w:tcPr>
            <w:tcW w:w="2460" w:type="dxa"/>
            <w:vAlign w:val="bottom"/>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44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47"/>
          <w:szCs w:val="47"/>
          <w:b w:val="1"/>
          <w:bCs w:val="1"/>
          <w:color w:val="231F20"/>
        </w:rPr>
        <w:t>UNITIL CORPORATION</w:t>
      </w:r>
    </w:p>
    <w:p>
      <w:pPr>
        <w:jc w:val="center"/>
        <w:ind w:right="-19"/>
        <w:spacing w:after="0"/>
        <w:rPr>
          <w:sz w:val="20"/>
          <w:szCs w:val="20"/>
          <w:color w:val="auto"/>
        </w:rPr>
      </w:pPr>
      <w:r>
        <w:rPr>
          <w:rFonts w:ascii="Times New Roman" w:cs="Times New Roman" w:eastAsia="Times New Roman" w:hAnsi="Times New Roman"/>
          <w:sz w:val="16"/>
          <w:szCs w:val="16"/>
          <w:b w:val="1"/>
          <w:bCs w:val="1"/>
          <w:color w:val="231F20"/>
        </w:rPr>
        <w:t>(Exact name of registrant as specified in its charter)</w:t>
      </w:r>
    </w:p>
    <w:p>
      <w:pPr>
        <w:sectPr>
          <w:pgSz w:w="12240" w:h="15840" w:orient="portrait"/>
          <w:cols w:equalWidth="0" w:num="1">
            <w:col w:w="10780"/>
          </w:cols>
          <w:pgMar w:left="720" w:top="995" w:right="740" w:bottom="591" w:gutter="0" w:footer="0" w:header="0"/>
        </w:sectPr>
      </w:pPr>
    </w:p>
    <w:p>
      <w:pPr>
        <w:spacing w:after="0" w:line="108"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20"/>
          <w:szCs w:val="20"/>
          <w:b w:val="1"/>
          <w:bCs w:val="1"/>
          <w:color w:val="231F20"/>
        </w:rPr>
        <w:t>New Hampshire</w:t>
      </w:r>
    </w:p>
    <w:p>
      <w:pPr>
        <w:spacing w:after="0" w:line="3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6"/>
          <w:szCs w:val="16"/>
          <w:b w:val="1"/>
          <w:bCs w:val="1"/>
          <w:color w:val="231F20"/>
        </w:rPr>
        <w:t>(State or other jurisdiction of</w:t>
      </w:r>
    </w:p>
    <w:p>
      <w:pPr>
        <w:ind w:left="1660"/>
        <w:spacing w:after="0"/>
        <w:rPr>
          <w:sz w:val="20"/>
          <w:szCs w:val="20"/>
          <w:color w:val="auto"/>
        </w:rPr>
      </w:pPr>
      <w:r>
        <w:rPr>
          <w:rFonts w:ascii="Times New Roman" w:cs="Times New Roman" w:eastAsia="Times New Roman" w:hAnsi="Times New Roman"/>
          <w:sz w:val="15"/>
          <w:szCs w:val="15"/>
          <w:b w:val="1"/>
          <w:bCs w:val="1"/>
          <w:color w:val="231F20"/>
        </w:rPr>
        <w:t>incorporation or organization)</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ind w:right="2060"/>
        <w:spacing w:after="0"/>
        <w:rPr>
          <w:sz w:val="20"/>
          <w:szCs w:val="20"/>
          <w:color w:val="auto"/>
        </w:rPr>
      </w:pPr>
      <w:r>
        <w:rPr>
          <w:rFonts w:ascii="Times New Roman" w:cs="Times New Roman" w:eastAsia="Times New Roman" w:hAnsi="Times New Roman"/>
          <w:sz w:val="20"/>
          <w:szCs w:val="20"/>
          <w:b w:val="1"/>
          <w:bCs w:val="1"/>
          <w:color w:val="231F20"/>
        </w:rPr>
        <w:t>02-0381573</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231F20"/>
        </w:rPr>
        <w:t>(I.R.S. Employer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231F20"/>
        </w:rPr>
        <w:t>Identification No.)</w:t>
      </w:r>
    </w:p>
    <w:p>
      <w:pPr>
        <w:spacing w:after="0" w:line="96" w:lineRule="exact"/>
        <w:rPr>
          <w:sz w:val="20"/>
          <w:szCs w:val="20"/>
          <w:color w:val="auto"/>
        </w:rPr>
      </w:pPr>
    </w:p>
    <w:p>
      <w:pPr>
        <w:sectPr>
          <w:pgSz w:w="12240" w:h="15840" w:orient="portrait"/>
          <w:cols w:equalWidth="0" w:num="2">
            <w:col w:w="6760" w:space="720"/>
            <w:col w:w="3300"/>
          </w:cols>
          <w:pgMar w:left="720" w:top="995" w:right="740" w:bottom="591" w:gutter="0" w:footer="0" w:header="0"/>
          <w:type w:val="continuous"/>
        </w:sectPr>
      </w:pPr>
    </w:p>
    <w:tbl>
      <w:tblPr>
        <w:tblLayout w:type="fixed"/>
        <w:tblInd w:w="500" w:type="dxa"/>
        <w:tblCellMar>
          <w:top w:w="0" w:type="dxa"/>
          <w:left w:w="0" w:type="dxa"/>
          <w:bottom w:w="0" w:type="dxa"/>
          <w:right w:w="0" w:type="dxa"/>
        </w:tblCellMar>
      </w:tblPr>
      <w:tr>
        <w:trPr>
          <w:trHeight w:val="234"/>
        </w:trPr>
        <w:tc>
          <w:tcPr>
            <w:tcW w:w="432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231F20"/>
              </w:rPr>
              <w:t>6 Liberty Lane West, Hampton, New Hampshire</w:t>
            </w:r>
          </w:p>
        </w:tc>
        <w:tc>
          <w:tcPr>
            <w:tcW w:w="1160" w:type="dxa"/>
            <w:vAlign w:val="bottom"/>
          </w:tcPr>
          <w:p>
            <w:pPr>
              <w:spacing w:after="0"/>
              <w:rPr>
                <w:sz w:val="20"/>
                <w:szCs w:val="20"/>
                <w:color w:val="auto"/>
              </w:rPr>
            </w:pPr>
          </w:p>
        </w:tc>
        <w:tc>
          <w:tcPr>
            <w:tcW w:w="28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03842-1720</w:t>
            </w: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0"/>
        </w:trPr>
        <w:tc>
          <w:tcPr>
            <w:tcW w:w="700" w:type="dxa"/>
            <w:vAlign w:val="bottom"/>
          </w:tcPr>
          <w:p>
            <w:pPr>
              <w:spacing w:after="0"/>
              <w:rPr>
                <w:sz w:val="19"/>
                <w:szCs w:val="19"/>
                <w:color w:val="auto"/>
              </w:rPr>
            </w:pPr>
          </w:p>
        </w:tc>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231F20"/>
              </w:rPr>
              <w:t>(Address of principal executive offices)</w:t>
            </w:r>
          </w:p>
        </w:tc>
        <w:tc>
          <w:tcPr>
            <w:tcW w:w="1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231F20"/>
              </w:rPr>
              <w:t>(Zip Code)</w:t>
            </w: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7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380" w:type="dxa"/>
            <w:vAlign w:val="bottom"/>
            <w:gridSpan w:val="5"/>
          </w:tcPr>
          <w:p>
            <w:pPr>
              <w:jc w:val="center"/>
              <w:ind w:right="300"/>
              <w:spacing w:after="0"/>
              <w:rPr>
                <w:sz w:val="20"/>
                <w:szCs w:val="20"/>
                <w:color w:val="auto"/>
              </w:rPr>
            </w:pPr>
            <w:r>
              <w:rPr>
                <w:rFonts w:ascii="Times New Roman" w:cs="Times New Roman" w:eastAsia="Times New Roman" w:hAnsi="Times New Roman"/>
                <w:sz w:val="20"/>
                <w:szCs w:val="20"/>
                <w:b w:val="1"/>
                <w:bCs w:val="1"/>
                <w:color w:val="231F20"/>
                <w:w w:val="99"/>
              </w:rPr>
              <w:t>Registrant’s telephone number, including area code: (603) 772-0775</w:t>
            </w:r>
          </w:p>
        </w:tc>
        <w:tc>
          <w:tcPr>
            <w:tcW w:w="16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4"/>
        </w:trPr>
        <w:tc>
          <w:tcPr>
            <w:tcW w:w="7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760" w:type="dxa"/>
            <w:vAlign w:val="bottom"/>
            <w:gridSpan w:val="4"/>
          </w:tcPr>
          <w:p>
            <w:pPr>
              <w:jc w:val="center"/>
              <w:ind w:left="147"/>
              <w:spacing w:after="0"/>
              <w:rPr>
                <w:sz w:val="20"/>
                <w:szCs w:val="20"/>
                <w:color w:val="auto"/>
              </w:rPr>
            </w:pPr>
            <w:r>
              <w:rPr>
                <w:rFonts w:ascii="Times New Roman" w:cs="Times New Roman" w:eastAsia="Times New Roman" w:hAnsi="Times New Roman"/>
                <w:sz w:val="20"/>
                <w:szCs w:val="20"/>
                <w:b w:val="1"/>
                <w:bCs w:val="1"/>
                <w:color w:val="231F20"/>
                <w:w w:val="99"/>
              </w:rPr>
              <w:t>Securities registered pursuant to Section 12(b) of the Act:</w:t>
            </w:r>
          </w:p>
        </w:tc>
        <w:tc>
          <w:tcPr>
            <w:tcW w:w="6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21"/>
        </w:trPr>
        <w:tc>
          <w:tcPr>
            <w:tcW w:w="700" w:type="dxa"/>
            <w:vAlign w:val="bottom"/>
          </w:tcPr>
          <w:p>
            <w:pPr>
              <w:spacing w:after="0"/>
              <w:rPr>
                <w:sz w:val="24"/>
                <w:szCs w:val="24"/>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Title of each class</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Trading Symbol</w:t>
            </w:r>
          </w:p>
        </w:tc>
        <w:tc>
          <w:tcPr>
            <w:tcW w:w="4500" w:type="dxa"/>
            <w:vAlign w:val="bottom"/>
            <w:gridSpan w:val="5"/>
          </w:tcPr>
          <w:p>
            <w:pPr>
              <w:jc w:val="center"/>
              <w:ind w:left="1450"/>
              <w:spacing w:after="0"/>
              <w:rPr>
                <w:sz w:val="20"/>
                <w:szCs w:val="20"/>
                <w:color w:val="auto"/>
              </w:rPr>
            </w:pPr>
            <w:r>
              <w:rPr>
                <w:rFonts w:ascii="Times New Roman" w:cs="Times New Roman" w:eastAsia="Times New Roman" w:hAnsi="Times New Roman"/>
                <w:sz w:val="16"/>
                <w:szCs w:val="16"/>
                <w:b w:val="1"/>
                <w:bCs w:val="1"/>
                <w:color w:val="231F20"/>
              </w:rPr>
              <w:t>Name of each exchange of which registered</w:t>
            </w:r>
          </w:p>
        </w:tc>
      </w:tr>
      <w:tr>
        <w:trPr>
          <w:trHeight w:val="20"/>
        </w:trPr>
        <w:tc>
          <w:tcPr>
            <w:tcW w:w="700" w:type="dxa"/>
            <w:vAlign w:val="bottom"/>
          </w:tcPr>
          <w:p>
            <w:pPr>
              <w:spacing w:after="0" w:line="20" w:lineRule="exact"/>
              <w:rPr>
                <w:sz w:val="1"/>
                <w:szCs w:val="1"/>
                <w:color w:val="auto"/>
              </w:rPr>
            </w:pPr>
          </w:p>
        </w:tc>
        <w:tc>
          <w:tcPr>
            <w:tcW w:w="1200" w:type="dxa"/>
            <w:vAlign w:val="bottom"/>
            <w:shd w:val="clear" w:color="auto" w:fill="231F2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60" w:type="dxa"/>
            <w:vAlign w:val="bottom"/>
            <w:shd w:val="clear" w:color="auto" w:fill="231F2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920" w:type="dxa"/>
            <w:vAlign w:val="bottom"/>
            <w:gridSpan w:val="3"/>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9"/>
        </w:trPr>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9"/>
                <w:szCs w:val="19"/>
                <w:b w:val="1"/>
                <w:bCs w:val="1"/>
                <w:color w:val="231F20"/>
              </w:rPr>
              <w:t>Common Stock, no par value</w:t>
            </w:r>
          </w:p>
        </w:tc>
        <w:tc>
          <w:tcPr>
            <w:tcW w:w="11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231F20"/>
              </w:rPr>
              <w:t>UTL</w:t>
            </w:r>
          </w:p>
        </w:tc>
        <w:tc>
          <w:tcPr>
            <w:tcW w:w="1560" w:type="dxa"/>
            <w:vAlign w:val="bottom"/>
          </w:tcPr>
          <w:p>
            <w:pPr>
              <w:spacing w:after="0"/>
              <w:rPr>
                <w:sz w:val="24"/>
                <w:szCs w:val="24"/>
                <w:color w:val="auto"/>
              </w:rPr>
            </w:pPr>
          </w:p>
        </w:tc>
        <w:tc>
          <w:tcPr>
            <w:tcW w:w="2940" w:type="dxa"/>
            <w:vAlign w:val="bottom"/>
            <w:gridSpan w:val="4"/>
          </w:tcPr>
          <w:p>
            <w:pPr>
              <w:jc w:val="center"/>
              <w:ind w:right="20"/>
              <w:spacing w:after="0"/>
              <w:rPr>
                <w:sz w:val="20"/>
                <w:szCs w:val="20"/>
                <w:color w:val="auto"/>
              </w:rPr>
            </w:pPr>
            <w:r>
              <w:rPr>
                <w:rFonts w:ascii="Times New Roman" w:cs="Times New Roman" w:eastAsia="Times New Roman" w:hAnsi="Times New Roman"/>
                <w:sz w:val="19"/>
                <w:szCs w:val="19"/>
                <w:b w:val="1"/>
                <w:bCs w:val="1"/>
                <w:color w:val="231F20"/>
                <w:w w:val="99"/>
              </w:rPr>
              <w:t>New York Stock Exchange</w:t>
            </w:r>
          </w:p>
        </w:tc>
      </w:tr>
      <w:tr>
        <w:trPr>
          <w:trHeight w:val="221"/>
        </w:trPr>
        <w:tc>
          <w:tcPr>
            <w:tcW w:w="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760" w:type="dxa"/>
            <w:vAlign w:val="bottom"/>
            <w:gridSpan w:val="4"/>
          </w:tcPr>
          <w:p>
            <w:pPr>
              <w:jc w:val="center"/>
              <w:ind w:left="147"/>
              <w:spacing w:after="0"/>
              <w:rPr>
                <w:sz w:val="20"/>
                <w:szCs w:val="20"/>
                <w:color w:val="auto"/>
              </w:rPr>
            </w:pPr>
            <w:r>
              <w:rPr>
                <w:rFonts w:ascii="Times New Roman" w:cs="Times New Roman" w:eastAsia="Times New Roman" w:hAnsi="Times New Roman"/>
                <w:sz w:val="16"/>
                <w:szCs w:val="16"/>
                <w:b w:val="1"/>
                <w:bCs w:val="1"/>
                <w:color w:val="231F20"/>
                <w:w w:val="99"/>
              </w:rPr>
              <w:t>Securities registered pursuant to Section 12(g) of the Act: NONE</w:t>
            </w:r>
          </w:p>
        </w:tc>
        <w:tc>
          <w:tcPr>
            <w:tcW w:w="6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8"/>
        </w:trPr>
        <w:tc>
          <w:tcPr>
            <w:tcW w:w="7660" w:type="dxa"/>
            <w:vAlign w:val="bottom"/>
            <w:gridSpan w:val="6"/>
          </w:tcPr>
          <w:p>
            <w:pPr>
              <w:spacing w:after="0"/>
              <w:rPr>
                <w:sz w:val="20"/>
                <w:szCs w:val="20"/>
                <w:color w:val="auto"/>
              </w:rPr>
            </w:pPr>
            <w:r>
              <w:rPr>
                <w:rFonts w:ascii="Times New Roman" w:cs="Times New Roman" w:eastAsia="Times New Roman" w:hAnsi="Times New Roman"/>
                <w:sz w:val="16"/>
                <w:szCs w:val="16"/>
                <w:color w:val="231F20"/>
              </w:rPr>
              <w:t>Indicate by check mark if the registrant is a well-known seasoned issuer, as defined in Rule 405 of the Securities Act.</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231F20"/>
              </w:rPr>
              <w:t xml:space="preserve">Yes </w:t>
            </w:r>
            <w:r>
              <w:rPr>
                <w:rFonts w:ascii="Segoe UI Symbol" w:cs="Segoe UI Symbol" w:eastAsia="Segoe UI Symbol" w:hAnsi="Segoe UI Symbol"/>
                <w:sz w:val="16"/>
                <w:szCs w:val="16"/>
                <w:color w:val="231F20"/>
              </w:rPr>
              <w:t>☒</w:t>
            </w:r>
          </w:p>
        </w:tc>
        <w:tc>
          <w:tcPr>
            <w:tcW w:w="1700" w:type="dxa"/>
            <w:vAlign w:val="bottom"/>
            <w:gridSpan w:val="2"/>
          </w:tcPr>
          <w:p>
            <w:pPr>
              <w:jc w:val="center"/>
              <w:ind w:right="1260"/>
              <w:spacing w:after="0"/>
              <w:rPr>
                <w:sz w:val="20"/>
                <w:szCs w:val="20"/>
                <w:color w:val="auto"/>
              </w:rPr>
            </w:pPr>
            <w:r>
              <w:rPr>
                <w:rFonts w:ascii="Times New Roman" w:cs="Times New Roman" w:eastAsia="Times New Roman" w:hAnsi="Times New Roman"/>
                <w:sz w:val="16"/>
                <w:szCs w:val="16"/>
                <w:color w:val="231F20"/>
              </w:rPr>
              <w:t xml:space="preserve">No </w:t>
            </w:r>
            <w:r>
              <w:rPr>
                <w:rFonts w:ascii="Segoe UI Symbol" w:cs="Segoe UI Symbol" w:eastAsia="Segoe UI Symbol" w:hAnsi="Segoe UI Symbol"/>
                <w:sz w:val="16"/>
                <w:szCs w:val="16"/>
                <w:color w:val="231F20"/>
              </w:rPr>
              <w:t>☐</w:t>
            </w:r>
          </w:p>
        </w:tc>
      </w:tr>
      <w:tr>
        <w:trPr>
          <w:trHeight w:val="261"/>
        </w:trPr>
        <w:tc>
          <w:tcPr>
            <w:tcW w:w="7660" w:type="dxa"/>
            <w:vAlign w:val="bottom"/>
            <w:gridSpan w:val="6"/>
          </w:tcPr>
          <w:p>
            <w:pPr>
              <w:spacing w:after="0"/>
              <w:rPr>
                <w:sz w:val="20"/>
                <w:szCs w:val="20"/>
                <w:color w:val="auto"/>
              </w:rPr>
            </w:pPr>
            <w:r>
              <w:rPr>
                <w:rFonts w:ascii="Times New Roman" w:cs="Times New Roman" w:eastAsia="Times New Roman" w:hAnsi="Times New Roman"/>
                <w:sz w:val="16"/>
                <w:szCs w:val="16"/>
                <w:color w:val="231F20"/>
                <w:w w:val="99"/>
              </w:rPr>
              <w:t>Indicate by check mark if the registrant is not required to file reports pursuant to Section 13 or Section 15(d) of the Act.</w:t>
            </w:r>
          </w:p>
        </w:tc>
        <w:tc>
          <w:tcPr>
            <w:tcW w:w="620" w:type="dxa"/>
            <w:vAlign w:val="bottom"/>
          </w:tcPr>
          <w:p>
            <w:pPr>
              <w:ind w:left="140"/>
              <w:spacing w:after="0"/>
              <w:rPr>
                <w:sz w:val="20"/>
                <w:szCs w:val="20"/>
                <w:color w:val="auto"/>
              </w:rPr>
            </w:pPr>
            <w:r>
              <w:rPr>
                <w:rFonts w:ascii="Times New Roman" w:cs="Times New Roman" w:eastAsia="Times New Roman" w:hAnsi="Times New Roman"/>
                <w:sz w:val="16"/>
                <w:szCs w:val="16"/>
                <w:color w:val="231F20"/>
              </w:rPr>
              <w:t xml:space="preserve">Yes </w:t>
            </w:r>
            <w:r>
              <w:rPr>
                <w:rFonts w:ascii="Segoe UI Symbol" w:cs="Segoe UI Symbol" w:eastAsia="Segoe UI Symbol" w:hAnsi="Segoe UI Symbol"/>
                <w:sz w:val="16"/>
                <w:szCs w:val="16"/>
                <w:color w:val="231F20"/>
              </w:rPr>
              <w:t>☐</w:t>
            </w: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231F20"/>
              </w:rPr>
              <w:t xml:space="preserve">No </w:t>
            </w:r>
            <w:r>
              <w:rPr>
                <w:rFonts w:ascii="Segoe UI Symbol" w:cs="Segoe UI Symbol" w:eastAsia="Segoe UI Symbol" w:hAnsi="Segoe UI Symbol"/>
                <w:sz w:val="16"/>
                <w:szCs w:val="16"/>
                <w:color w:val="231F20"/>
              </w:rPr>
              <w:t>☒</w:t>
            </w:r>
          </w:p>
        </w:tc>
      </w:tr>
    </w:tbl>
    <w:p>
      <w:pPr>
        <w:ind w:right="20" w:firstLine="490"/>
        <w:spacing w:after="0" w:line="246" w:lineRule="auto"/>
        <w:rPr>
          <w:sz w:val="20"/>
          <w:szCs w:val="20"/>
          <w:color w:val="auto"/>
        </w:rPr>
      </w:pPr>
      <w:r>
        <w:rPr>
          <w:rFonts w:ascii="Times New Roman" w:cs="Times New Roman" w:eastAsia="Times New Roman" w:hAnsi="Times New Roman"/>
          <w:sz w:val="16"/>
          <w:szCs w:val="16"/>
          <w:color w:val="231F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0"/>
          <w:szCs w:val="20"/>
          <w:color w:val="auto"/>
        </w:rPr>
      </w:pPr>
    </w:p>
    <w:p>
      <w:pPr>
        <w:spacing w:after="0"/>
        <w:tabs>
          <w:tab w:leader="none" w:pos="720" w:val="left"/>
          <w:tab w:leader="none" w:pos="1340" w:val="left"/>
        </w:tabs>
        <w:rPr>
          <w:sz w:val="20"/>
          <w:szCs w:val="20"/>
          <w:color w:val="auto"/>
        </w:rPr>
      </w:pPr>
      <w:r>
        <w:rPr>
          <w:rFonts w:ascii="Times New Roman" w:cs="Times New Roman" w:eastAsia="Times New Roman" w:hAnsi="Times New Roman"/>
          <w:sz w:val="16"/>
          <w:szCs w:val="16"/>
          <w:color w:val="231F20"/>
        </w:rPr>
        <w:t>90 days.</w:t>
        <w:tab/>
        <w:t xml:space="preserve">Yes </w:t>
      </w:r>
      <w:r>
        <w:rPr>
          <w:rFonts w:ascii="Segoe UI Symbol" w:cs="Segoe UI Symbol" w:eastAsia="Segoe UI Symbol" w:hAnsi="Segoe UI Symbol"/>
          <w:sz w:val="16"/>
          <w:szCs w:val="16"/>
          <w:color w:val="231F20"/>
        </w:rPr>
        <w:t>☒</w:t>
      </w:r>
      <w:r>
        <w:rPr>
          <w:rFonts w:ascii="Times New Roman" w:cs="Times New Roman" w:eastAsia="Times New Roman" w:hAnsi="Times New Roman"/>
          <w:sz w:val="16"/>
          <w:szCs w:val="16"/>
          <w:color w:val="231F20"/>
        </w:rPr>
        <w:tab/>
        <w:t xml:space="preserve">No </w:t>
      </w:r>
      <w:r>
        <w:rPr>
          <w:rFonts w:ascii="Segoe UI Symbol" w:cs="Segoe UI Symbol" w:eastAsia="Segoe UI Symbol" w:hAnsi="Segoe UI Symbol"/>
          <w:sz w:val="16"/>
          <w:szCs w:val="16"/>
          <w:color w:val="231F20"/>
        </w:rPr>
        <w:t>☐</w:t>
      </w:r>
    </w:p>
    <w:p>
      <w:pPr>
        <w:spacing w:after="0" w:line="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231F20"/>
        </w:rPr>
        <w:t>Indicate by check mark whether the registrant has submitted electronically every Interactive Data File required to be submitted pursuant to Rule 405 of</w:t>
      </w:r>
    </w:p>
    <w:p>
      <w:pPr>
        <w:spacing w:after="0" w:line="10"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6"/>
          <w:szCs w:val="16"/>
          <w:color w:val="231F20"/>
        </w:rPr>
        <w:t xml:space="preserve">Regulation S-T (§232.405 of this chapter) during the preceding 12 months (or for such shorter period that the registrant was required to submit such files). Yes </w:t>
      </w:r>
      <w:r>
        <w:rPr>
          <w:rFonts w:ascii="Segoe UI Symbol" w:cs="Segoe UI Symbol" w:eastAsia="Segoe UI Symbol" w:hAnsi="Segoe UI Symbol"/>
          <w:sz w:val="16"/>
          <w:szCs w:val="16"/>
          <w:color w:val="231F20"/>
        </w:rPr>
        <w:t>☒</w:t>
      </w:r>
      <w:r>
        <w:rPr>
          <w:rFonts w:ascii="Times New Roman" w:cs="Times New Roman" w:eastAsia="Times New Roman" w:hAnsi="Times New Roman"/>
          <w:sz w:val="16"/>
          <w:szCs w:val="16"/>
          <w:color w:val="231F20"/>
        </w:rPr>
        <w:t xml:space="preserve"> No </w:t>
      </w:r>
      <w:r>
        <w:rPr>
          <w:rFonts w:ascii="Segoe UI Symbol" w:cs="Segoe UI Symbol" w:eastAsia="Segoe UI Symbol" w:hAnsi="Segoe UI Symbol"/>
          <w:sz w:val="16"/>
          <w:szCs w:val="16"/>
          <w:color w:val="231F20"/>
        </w:rPr>
        <w:t>☐</w:t>
      </w:r>
    </w:p>
    <w:p>
      <w:pPr>
        <w:spacing w:after="0" w:line="2" w:lineRule="exact"/>
        <w:rPr>
          <w:sz w:val="20"/>
          <w:szCs w:val="20"/>
          <w:color w:val="auto"/>
        </w:rPr>
      </w:pPr>
    </w:p>
    <w:p>
      <w:pPr>
        <w:ind w:right="160" w:firstLine="490"/>
        <w:spacing w:after="0" w:line="244" w:lineRule="auto"/>
        <w:rPr>
          <w:sz w:val="20"/>
          <w:szCs w:val="20"/>
          <w:color w:val="auto"/>
        </w:rPr>
      </w:pPr>
      <w:r>
        <w:rPr>
          <w:rFonts w:ascii="Times New Roman" w:cs="Times New Roman" w:eastAsia="Times New Roman" w:hAnsi="Times New Roman"/>
          <w:sz w:val="16"/>
          <w:szCs w:val="16"/>
          <w:color w:val="231F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0"/>
          <w:szCs w:val="20"/>
          <w:color w:val="auto"/>
        </w:rPr>
      </w:pPr>
    </w:p>
    <w:p>
      <w:pPr>
        <w:ind w:left="500" w:right="3040"/>
        <w:spacing w:after="0" w:line="256" w:lineRule="auto"/>
        <w:rPr>
          <w:sz w:val="20"/>
          <w:szCs w:val="20"/>
          <w:color w:val="auto"/>
        </w:rPr>
      </w:pPr>
      <w:r>
        <w:rPr>
          <w:rFonts w:ascii="Times New Roman" w:cs="Times New Roman" w:eastAsia="Times New Roman" w:hAnsi="Times New Roman"/>
          <w:sz w:val="16"/>
          <w:szCs w:val="16"/>
          <w:color w:val="231F20"/>
        </w:rPr>
        <w:t xml:space="preserve">Large accelerated filer </w:t>
      </w:r>
      <w:r>
        <w:rPr>
          <w:rFonts w:ascii="Segoe UI Symbol" w:cs="Segoe UI Symbol" w:eastAsia="Segoe UI Symbol" w:hAnsi="Segoe UI Symbol"/>
          <w:sz w:val="16"/>
          <w:szCs w:val="16"/>
          <w:color w:val="231F20"/>
        </w:rPr>
        <w:t>☒</w:t>
      </w:r>
      <w:r>
        <w:rPr>
          <w:rFonts w:ascii="Times New Roman" w:cs="Times New Roman" w:eastAsia="Times New Roman" w:hAnsi="Times New Roman"/>
          <w:sz w:val="16"/>
          <w:szCs w:val="16"/>
          <w:color w:val="231F20"/>
        </w:rPr>
        <w:t xml:space="preserve"> Accelerated filer </w:t>
      </w:r>
      <w:r>
        <w:rPr>
          <w:rFonts w:ascii="Segoe UI Symbol" w:cs="Segoe UI Symbol" w:eastAsia="Segoe UI Symbol" w:hAnsi="Segoe UI Symbol"/>
          <w:sz w:val="16"/>
          <w:szCs w:val="16"/>
          <w:color w:val="231F20"/>
        </w:rPr>
        <w:t>☐</w:t>
      </w:r>
      <w:r>
        <w:rPr>
          <w:rFonts w:ascii="Times New Roman" w:cs="Times New Roman" w:eastAsia="Times New Roman" w:hAnsi="Times New Roman"/>
          <w:sz w:val="16"/>
          <w:szCs w:val="16"/>
          <w:color w:val="231F20"/>
        </w:rPr>
        <w:t xml:space="preserve"> Non-accelerated filer </w:t>
      </w:r>
      <w:r>
        <w:rPr>
          <w:rFonts w:ascii="Segoe UI Symbol" w:cs="Segoe UI Symbol" w:eastAsia="Segoe UI Symbol" w:hAnsi="Segoe UI Symbol"/>
          <w:sz w:val="16"/>
          <w:szCs w:val="16"/>
          <w:color w:val="231F20"/>
        </w:rPr>
        <w:t>☐</w:t>
      </w:r>
      <w:r>
        <w:rPr>
          <w:rFonts w:ascii="Times New Roman" w:cs="Times New Roman" w:eastAsia="Times New Roman" w:hAnsi="Times New Roman"/>
          <w:sz w:val="16"/>
          <w:szCs w:val="16"/>
          <w:color w:val="231F20"/>
        </w:rPr>
        <w:t xml:space="preserve"> Smaller reporting company </w:t>
      </w:r>
      <w:r>
        <w:rPr>
          <w:rFonts w:ascii="Segoe UI Symbol" w:cs="Segoe UI Symbol" w:eastAsia="Segoe UI Symbol" w:hAnsi="Segoe UI Symbol"/>
          <w:sz w:val="16"/>
          <w:szCs w:val="16"/>
          <w:color w:val="231F20"/>
        </w:rPr>
        <w:t>☐</w:t>
      </w:r>
      <w:r>
        <w:rPr>
          <w:rFonts w:ascii="Times New Roman" w:cs="Times New Roman" w:eastAsia="Times New Roman" w:hAnsi="Times New Roman"/>
          <w:sz w:val="16"/>
          <w:szCs w:val="16"/>
          <w:color w:val="231F20"/>
        </w:rPr>
        <w:t xml:space="preserve"> Emerging growth company </w:t>
      </w:r>
      <w:r>
        <w:rPr>
          <w:rFonts w:ascii="Segoe UI Symbol" w:cs="Segoe UI Symbol" w:eastAsia="Segoe UI Symbol" w:hAnsi="Segoe UI Symbol"/>
          <w:sz w:val="16"/>
          <w:szCs w:val="16"/>
          <w:color w:val="231F20"/>
        </w:rPr>
        <w:t>☐</w:t>
      </w:r>
    </w:p>
    <w:p>
      <w:pPr>
        <w:spacing w:after="0" w:line="2" w:lineRule="exact"/>
        <w:rPr>
          <w:sz w:val="20"/>
          <w:szCs w:val="20"/>
          <w:color w:val="auto"/>
        </w:rPr>
      </w:pPr>
    </w:p>
    <w:p>
      <w:pPr>
        <w:ind w:right="260" w:firstLine="490"/>
        <w:spacing w:after="0" w:line="264" w:lineRule="auto"/>
        <w:rPr>
          <w:sz w:val="20"/>
          <w:szCs w:val="20"/>
          <w:color w:val="auto"/>
        </w:rPr>
      </w:pPr>
      <w:r>
        <w:rPr>
          <w:rFonts w:ascii="Times New Roman" w:cs="Times New Roman" w:eastAsia="Times New Roman" w:hAnsi="Times New Roman"/>
          <w:sz w:val="16"/>
          <w:szCs w:val="16"/>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6"/>
          <w:szCs w:val="16"/>
          <w:color w:val="231F20"/>
        </w:rPr>
        <w:t>☐</w:t>
      </w:r>
    </w:p>
    <w:p>
      <w:pPr>
        <w:ind w:firstLine="490"/>
        <w:spacing w:after="0" w:line="263" w:lineRule="auto"/>
        <w:rPr>
          <w:sz w:val="20"/>
          <w:szCs w:val="20"/>
          <w:color w:val="auto"/>
        </w:rPr>
      </w:pPr>
      <w:r>
        <w:rPr>
          <w:rFonts w:ascii="Times New Roman" w:cs="Times New Roman" w:eastAsia="Times New Roman" w:hAnsi="Times New Roman"/>
          <w:sz w:val="15"/>
          <w:szCs w:val="15"/>
          <w:color w:val="231F20"/>
        </w:rPr>
        <w:t>Indicate by check mark whether the registrant has filed a report on and attestation to its management’s assessment of the effectiveness of its internal control over financial reporting under Section 404(b) of the Sarbanes-Oxley Act (15 U.S.C. 762(b)) by the registered public accounting firm that prepared or issued its audit report</w:t>
      </w:r>
    </w:p>
    <w:p>
      <w:pPr>
        <w:spacing w:after="0"/>
        <w:rPr>
          <w:sz w:val="20"/>
          <w:szCs w:val="20"/>
          <w:color w:val="auto"/>
        </w:rPr>
      </w:pPr>
      <w:r>
        <w:rPr>
          <w:rFonts w:ascii="Segoe UI Symbol" w:cs="Segoe UI Symbol" w:eastAsia="Segoe UI Symbol" w:hAnsi="Segoe UI Symbol"/>
          <w:sz w:val="16"/>
          <w:szCs w:val="16"/>
          <w:color w:val="231F20"/>
        </w:rPr>
        <w:t>☒</w:t>
      </w:r>
    </w:p>
    <w:p>
      <w:pPr>
        <w:spacing w:after="0" w:line="30" w:lineRule="exact"/>
        <w:rPr>
          <w:sz w:val="20"/>
          <w:szCs w:val="20"/>
          <w:color w:val="auto"/>
        </w:rPr>
      </w:pPr>
    </w:p>
    <w:p>
      <w:pPr>
        <w:ind w:right="180" w:firstLine="490"/>
        <w:spacing w:after="0" w:line="264" w:lineRule="auto"/>
        <w:rPr>
          <w:sz w:val="20"/>
          <w:szCs w:val="20"/>
          <w:color w:val="auto"/>
        </w:rPr>
      </w:pPr>
      <w:r>
        <w:rPr>
          <w:rFonts w:ascii="Times New Roman" w:cs="Times New Roman" w:eastAsia="Times New Roman" w:hAnsi="Times New Roman"/>
          <w:sz w:val="16"/>
          <w:szCs w:val="16"/>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6"/>
          <w:szCs w:val="16"/>
          <w:color w:val="231F20"/>
        </w:rPr>
        <w:t>☐</w:t>
      </w:r>
    </w:p>
    <w:p>
      <w:pPr>
        <w:ind w:right="200" w:firstLine="490"/>
        <w:spacing w:after="0" w:line="264" w:lineRule="auto"/>
        <w:rPr>
          <w:sz w:val="20"/>
          <w:szCs w:val="20"/>
          <w:color w:val="auto"/>
        </w:rPr>
      </w:pPr>
      <w:r>
        <w:rPr>
          <w:rFonts w:ascii="Times New Roman" w:cs="Times New Roman" w:eastAsia="Times New Roman" w:hAnsi="Times New Roman"/>
          <w:sz w:val="16"/>
          <w:szCs w:val="16"/>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6"/>
          <w:szCs w:val="16"/>
          <w:color w:val="231F20"/>
        </w:rPr>
        <w:t>☐</w:t>
      </w:r>
    </w:p>
    <w:p>
      <w:pPr>
        <w:ind w:left="500"/>
        <w:spacing w:after="0"/>
        <w:tabs>
          <w:tab w:leader="none" w:pos="7260" w:val="left"/>
          <w:tab w:leader="none" w:pos="7900" w:val="left"/>
        </w:tabs>
        <w:rPr>
          <w:sz w:val="20"/>
          <w:szCs w:val="20"/>
          <w:color w:val="auto"/>
        </w:rPr>
      </w:pPr>
      <w:r>
        <w:rPr>
          <w:rFonts w:ascii="Times New Roman" w:cs="Times New Roman" w:eastAsia="Times New Roman" w:hAnsi="Times New Roman"/>
          <w:sz w:val="16"/>
          <w:szCs w:val="16"/>
          <w:color w:val="231F20"/>
        </w:rPr>
        <w:t>Indicate by check mark whether the registrant is a shell company (as defined in Rule 12b-2 of the Act).</w:t>
        <w:tab/>
        <w:t xml:space="preserve">Yes </w:t>
      </w:r>
      <w:r>
        <w:rPr>
          <w:rFonts w:ascii="Segoe UI Symbol" w:cs="Segoe UI Symbol" w:eastAsia="Segoe UI Symbol" w:hAnsi="Segoe UI Symbol"/>
          <w:sz w:val="16"/>
          <w:szCs w:val="16"/>
          <w:color w:val="231F20"/>
        </w:rPr>
        <w:t>☐</w:t>
      </w:r>
      <w:r>
        <w:rPr>
          <w:rFonts w:ascii="Times New Roman" w:cs="Times New Roman" w:eastAsia="Times New Roman" w:hAnsi="Times New Roman"/>
          <w:sz w:val="16"/>
          <w:szCs w:val="16"/>
          <w:color w:val="231F20"/>
        </w:rPr>
        <w:tab/>
        <w:t xml:space="preserve">No </w:t>
      </w:r>
      <w:r>
        <w:rPr>
          <w:rFonts w:ascii="Segoe UI Symbol" w:cs="Segoe UI Symbol" w:eastAsia="Segoe UI Symbol" w:hAnsi="Segoe UI Symbol"/>
          <w:sz w:val="16"/>
          <w:szCs w:val="16"/>
          <w:color w:val="231F20"/>
        </w:rPr>
        <w:t>☒</w:t>
      </w:r>
    </w:p>
    <w:p>
      <w:pPr>
        <w:spacing w:after="0" w:line="40" w:lineRule="exact"/>
        <w:rPr>
          <w:sz w:val="20"/>
          <w:szCs w:val="20"/>
          <w:color w:val="auto"/>
        </w:rPr>
      </w:pPr>
    </w:p>
    <w:p>
      <w:pPr>
        <w:ind w:right="540" w:firstLine="490"/>
        <w:spacing w:after="0" w:line="262" w:lineRule="auto"/>
        <w:rPr>
          <w:sz w:val="20"/>
          <w:szCs w:val="20"/>
          <w:color w:val="auto"/>
        </w:rPr>
      </w:pPr>
      <w:r>
        <w:rPr>
          <w:rFonts w:ascii="Times New Roman" w:cs="Times New Roman" w:eastAsia="Times New Roman" w:hAnsi="Times New Roman"/>
          <w:sz w:val="16"/>
          <w:szCs w:val="16"/>
          <w:color w:val="231F20"/>
        </w:rPr>
        <w:t>Based on the closing price of the registrant’s common stock on June 30, 2025, the aggregate market value of common stock held by non-affiliates of the registrant was $832,805,747.</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231F20"/>
        </w:rPr>
        <w:t>The number of shares of the registrant’s common stock outstanding was 17,983,994 as of February 6, 2026.</w:t>
      </w:r>
    </w:p>
    <w:p>
      <w:pPr>
        <w:spacing w:after="0" w:line="3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b w:val="1"/>
          <w:bCs w:val="1"/>
          <w:color w:val="231F20"/>
        </w:rPr>
        <w:t>Documents Incorporated by Reference:</w:t>
      </w:r>
    </w:p>
    <w:p>
      <w:pPr>
        <w:spacing w:after="0" w:line="44" w:lineRule="exact"/>
        <w:rPr>
          <w:sz w:val="20"/>
          <w:szCs w:val="20"/>
          <w:color w:val="auto"/>
        </w:rPr>
      </w:pPr>
    </w:p>
    <w:p>
      <w:pPr>
        <w:ind w:right="460" w:firstLine="490"/>
        <w:spacing w:after="0" w:line="277" w:lineRule="auto"/>
        <w:rPr>
          <w:sz w:val="20"/>
          <w:szCs w:val="20"/>
          <w:color w:val="auto"/>
        </w:rPr>
      </w:pPr>
      <w:r>
        <w:rPr>
          <w:rFonts w:ascii="Times New Roman" w:cs="Times New Roman" w:eastAsia="Times New Roman" w:hAnsi="Times New Roman"/>
          <w:sz w:val="16"/>
          <w:szCs w:val="16"/>
          <w:color w:val="231F20"/>
        </w:rPr>
        <w:t>Portions of the Proxy Statement relating to the 2026 Unitil Corporation Annual Meeting of Shareholders to be held on April 29, 2026 are incorporated by reference into Part III of this Report.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49530</wp:posOffset>
                </wp:positionV>
                <wp:extent cx="685800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9pt" to="540pt,3.9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68580</wp:posOffset>
                </wp:positionV>
                <wp:extent cx="685800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4pt" to="540pt,5.4pt" o:allowincell="f" strokecolor="#231F20" strokeweight="0.75pt"/>
            </w:pict>
          </mc:Fallback>
        </mc:AlternateContent>
      </w:r>
    </w:p>
    <w:p>
      <w:pPr>
        <w:sectPr>
          <w:pgSz w:w="12240" w:h="15840" w:orient="portrait"/>
          <w:cols w:equalWidth="0" w:num="1">
            <w:col w:w="10780"/>
          </w:cols>
          <w:pgMar w:left="720" w:top="995" w:right="740" w:bottom="591" w:gutter="0" w:footer="0" w:header="0"/>
          <w:type w:val="continuous"/>
        </w:sectPr>
      </w:pPr>
    </w:p>
    <w:bookmarkStart w:id="17" w:name="page18"/>
    <w:bookmarkEnd w:id="17"/>
    <w:p>
      <w:pPr>
        <w:spacing w:after="0" w:line="20" w:lineRule="exact"/>
        <w:rPr>
          <w:sz w:val="20"/>
          <w:szCs w:val="20"/>
          <w:color w:val="auto"/>
        </w:rPr>
      </w:pPr>
    </w:p>
    <w:p>
      <w:pPr>
        <w:sectPr>
          <w:pgSz w:w="12240" w:h="15840" w:orient="portrait"/>
          <w:cols w:equalWidth="1" w:num="1" w:space="0"/>
          <w:pgMar w:left="1440" w:top="1440" w:right="1440" w:bottom="875" w:gutter="0" w:footer="0" w:header="0"/>
        </w:sectPr>
      </w:pPr>
    </w:p>
    <w:bookmarkStart w:id="18" w:name="page19"/>
    <w:bookmarkEnd w:id="18"/>
    <w:p>
      <w:pPr>
        <w:ind w:left="4200"/>
        <w:spacing w:after="0"/>
        <w:rPr>
          <w:sz w:val="20"/>
          <w:szCs w:val="20"/>
          <w:color w:val="auto"/>
        </w:rPr>
      </w:pPr>
      <w:r>
        <w:rPr>
          <w:rFonts w:ascii="Times New Roman" w:cs="Times New Roman" w:eastAsia="Times New Roman" w:hAnsi="Times New Roman"/>
          <w:sz w:val="21"/>
          <w:szCs w:val="21"/>
          <w:b w:val="1"/>
          <w:bCs w:val="1"/>
          <w:color w:val="231F20"/>
        </w:rPr>
        <w:t>UNITIL CORPORATION</w:t>
      </w:r>
    </w:p>
    <w:p>
      <w:pPr>
        <w:spacing w:after="0" w:line="3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1"/>
          <w:szCs w:val="21"/>
          <w:b w:val="1"/>
          <w:bCs w:val="1"/>
          <w:color w:val="231F20"/>
        </w:rPr>
        <w:t>FORM 10-K</w:t>
      </w:r>
    </w:p>
    <w:p>
      <w:pPr>
        <w:ind w:left="3340"/>
        <w:spacing w:after="0"/>
        <w:rPr>
          <w:sz w:val="20"/>
          <w:szCs w:val="20"/>
          <w:color w:val="auto"/>
        </w:rPr>
      </w:pPr>
      <w:r>
        <w:rPr>
          <w:rFonts w:ascii="Times New Roman" w:cs="Times New Roman" w:eastAsia="Times New Roman" w:hAnsi="Times New Roman"/>
          <w:sz w:val="21"/>
          <w:szCs w:val="21"/>
          <w:b w:val="1"/>
          <w:bCs w:val="1"/>
          <w:color w:val="231F20"/>
        </w:rPr>
        <w:t>For the Fiscal Year Ended December 31, 2025</w:t>
      </w:r>
    </w:p>
    <w:p>
      <w:pPr>
        <w:ind w:left="4600"/>
        <w:spacing w:after="0"/>
        <w:rPr>
          <w:sz w:val="20"/>
          <w:szCs w:val="20"/>
          <w:color w:val="auto"/>
        </w:rPr>
      </w:pPr>
      <w:r>
        <w:rPr>
          <w:rFonts w:ascii="Times New Roman" w:cs="Times New Roman" w:eastAsia="Times New Roman" w:hAnsi="Times New Roman"/>
          <w:sz w:val="21"/>
          <w:szCs w:val="21"/>
          <w:b w:val="1"/>
          <w:bCs w:val="1"/>
          <w:color w:val="231F20"/>
        </w:rPr>
        <w:t>Table of Contents</w:t>
      </w:r>
    </w:p>
    <w:p>
      <w:pPr>
        <w:spacing w:after="0" w:line="247" w:lineRule="exact"/>
        <w:rPr>
          <w:sz w:val="20"/>
          <w:szCs w:val="20"/>
          <w:color w:val="auto"/>
        </w:rPr>
      </w:pPr>
    </w:p>
    <w:p>
      <w:pPr>
        <w:ind w:left="160"/>
        <w:spacing w:after="0"/>
        <w:tabs>
          <w:tab w:leader="none" w:pos="4920" w:val="left"/>
          <w:tab w:leader="none" w:pos="10200" w:val="left"/>
        </w:tabs>
        <w:rPr>
          <w:sz w:val="20"/>
          <w:szCs w:val="20"/>
          <w:color w:val="auto"/>
        </w:rPr>
      </w:pPr>
      <w:r>
        <w:rPr>
          <w:rFonts w:ascii="Times New Roman" w:cs="Times New Roman" w:eastAsia="Times New Roman" w:hAnsi="Times New Roman"/>
          <w:sz w:val="18"/>
          <w:szCs w:val="18"/>
          <w:b w:val="1"/>
          <w:bCs w:val="1"/>
          <w:color w:val="231F20"/>
        </w:rPr>
        <w:t>Item</w:t>
      </w:r>
      <w:r>
        <w:rPr>
          <w:sz w:val="20"/>
          <w:szCs w:val="20"/>
          <w:color w:val="auto"/>
        </w:rPr>
        <w:tab/>
      </w:r>
      <w:r>
        <w:rPr>
          <w:rFonts w:ascii="Times New Roman" w:cs="Times New Roman" w:eastAsia="Times New Roman" w:hAnsi="Times New Roman"/>
          <w:sz w:val="18"/>
          <w:szCs w:val="18"/>
          <w:b w:val="1"/>
          <w:bCs w:val="1"/>
          <w:color w:val="231F20"/>
        </w:rPr>
        <w:t>D</w:t>
      </w:r>
      <w:r>
        <w:rPr>
          <w:rFonts w:ascii="Times New Roman" w:cs="Times New Roman" w:eastAsia="Times New Roman" w:hAnsi="Times New Roman"/>
          <w:sz w:val="18"/>
          <w:szCs w:val="18"/>
          <w:b w:val="1"/>
          <w:bCs w:val="1"/>
          <w:u w:val="single" w:color="auto"/>
          <w:color w:val="231F20"/>
        </w:rPr>
        <w:t>escriptio</w:t>
      </w:r>
      <w:r>
        <w:rPr>
          <w:rFonts w:ascii="Times New Roman" w:cs="Times New Roman" w:eastAsia="Times New Roman" w:hAnsi="Times New Roman"/>
          <w:sz w:val="18"/>
          <w:szCs w:val="18"/>
          <w:b w:val="1"/>
          <w:bCs w:val="1"/>
          <w:color w:val="231F20"/>
        </w:rPr>
        <w:t>n</w:t>
      </w:r>
      <w:r>
        <w:rPr>
          <w:sz w:val="20"/>
          <w:szCs w:val="20"/>
          <w:color w:val="auto"/>
        </w:rPr>
        <w:tab/>
      </w:r>
      <w:r>
        <w:rPr>
          <w:rFonts w:ascii="Times New Roman" w:cs="Times New Roman" w:eastAsia="Times New Roman" w:hAnsi="Times New Roman"/>
          <w:sz w:val="17"/>
          <w:szCs w:val="17"/>
          <w:b w:val="1"/>
          <w:bCs w:val="1"/>
          <w:color w:val="231F20"/>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54610</wp:posOffset>
                </wp:positionH>
                <wp:positionV relativeFrom="paragraph">
                  <wp:posOffset>31750</wp:posOffset>
                </wp:positionV>
                <wp:extent cx="33020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02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pt,2.5pt" to="30.3pt,2.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6406515</wp:posOffset>
                </wp:positionH>
                <wp:positionV relativeFrom="paragraph">
                  <wp:posOffset>31750</wp:posOffset>
                </wp:positionV>
                <wp:extent cx="45148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148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4.45pt,2.5pt" to="540pt,2.5pt" o:allowincell="f" strokecolor="#231F20" strokeweight="1pt"/>
            </w:pict>
          </mc:Fallback>
        </mc:AlternateContent>
      </w:r>
    </w:p>
    <w:p>
      <w:pPr>
        <w:spacing w:after="0" w:line="8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b w:val="1"/>
          <w:bCs w:val="1"/>
          <w:color w:val="231F20"/>
        </w:rPr>
        <w:t>PART I</w:t>
      </w:r>
    </w:p>
    <w:p>
      <w:pPr>
        <w:spacing w:after="0" w:line="32" w:lineRule="exact"/>
        <w:rPr>
          <w:sz w:val="20"/>
          <w:szCs w:val="20"/>
          <w:color w:val="auto"/>
        </w:rPr>
      </w:pPr>
    </w:p>
    <w:p>
      <w:pPr>
        <w:spacing w:after="0"/>
        <w:tabs>
          <w:tab w:leader="none" w:pos="680" w:val="left"/>
          <w:tab w:leader="dot" w:pos="10680" w:val="left"/>
        </w:tabs>
        <w:rPr>
          <w:sz w:val="20"/>
          <w:szCs w:val="20"/>
          <w:color w:val="auto"/>
        </w:rPr>
      </w:pPr>
      <w:r>
        <w:rPr>
          <w:rFonts w:ascii="Times New Roman" w:cs="Times New Roman" w:eastAsia="Times New Roman" w:hAnsi="Times New Roman"/>
          <w:sz w:val="20"/>
          <w:szCs w:val="20"/>
          <w:color w:val="231F20"/>
        </w:rPr>
        <w:t>1.</w:t>
      </w:r>
      <w:r>
        <w:rPr>
          <w:sz w:val="20"/>
          <w:szCs w:val="20"/>
          <w:color w:val="auto"/>
        </w:rPr>
        <w:tab/>
      </w:r>
      <w:r>
        <w:rPr>
          <w:rFonts w:ascii="Times New Roman" w:cs="Times New Roman" w:eastAsia="Times New Roman" w:hAnsi="Times New Roman"/>
          <w:sz w:val="20"/>
          <w:szCs w:val="20"/>
          <w:color w:val="231F20"/>
        </w:rPr>
        <w:t>Business</w:t>
      </w:r>
      <w:r>
        <w:rPr>
          <w:sz w:val="20"/>
          <w:szCs w:val="20"/>
          <w:color w:val="auto"/>
        </w:rPr>
        <w:tab/>
      </w:r>
      <w:r>
        <w:rPr>
          <w:rFonts w:ascii="Times New Roman" w:cs="Times New Roman" w:eastAsia="Times New Roman" w:hAnsi="Times New Roman"/>
          <w:sz w:val="20"/>
          <w:szCs w:val="20"/>
          <w:color w:val="231F20"/>
        </w:rPr>
        <w:t>3</w:t>
      </w:r>
    </w:p>
    <w:p>
      <w:pPr>
        <w:ind w:left="1180"/>
        <w:spacing w:after="0"/>
        <w:tabs>
          <w:tab w:leader="dot" w:pos="10680" w:val="left"/>
        </w:tabs>
        <w:rPr>
          <w:sz w:val="20"/>
          <w:szCs w:val="20"/>
          <w:color w:val="auto"/>
        </w:rPr>
      </w:pPr>
      <w:r>
        <w:rPr>
          <w:rFonts w:ascii="Times New Roman" w:cs="Times New Roman" w:eastAsia="Times New Roman" w:hAnsi="Times New Roman"/>
          <w:sz w:val="20"/>
          <w:szCs w:val="20"/>
          <w:color w:val="231F20"/>
        </w:rPr>
        <w:t>Unitil Corporation</w:t>
      </w:r>
      <w:r>
        <w:rPr>
          <w:sz w:val="20"/>
          <w:szCs w:val="20"/>
          <w:color w:val="auto"/>
        </w:rPr>
        <w:tab/>
      </w:r>
      <w:r>
        <w:rPr>
          <w:rFonts w:ascii="Times New Roman" w:cs="Times New Roman" w:eastAsia="Times New Roman" w:hAnsi="Times New Roman"/>
          <w:sz w:val="20"/>
          <w:szCs w:val="20"/>
          <w:color w:val="231F20"/>
        </w:rPr>
        <w:t>3</w:t>
      </w:r>
    </w:p>
    <w:p>
      <w:pPr>
        <w:ind w:left="1180"/>
        <w:spacing w:after="0"/>
        <w:tabs>
          <w:tab w:leader="dot" w:pos="10680" w:val="left"/>
        </w:tabs>
        <w:rPr>
          <w:sz w:val="20"/>
          <w:szCs w:val="20"/>
          <w:color w:val="auto"/>
        </w:rPr>
      </w:pPr>
      <w:r>
        <w:rPr>
          <w:rFonts w:ascii="Times New Roman" w:cs="Times New Roman" w:eastAsia="Times New Roman" w:hAnsi="Times New Roman"/>
          <w:sz w:val="20"/>
          <w:szCs w:val="20"/>
          <w:color w:val="231F20"/>
        </w:rPr>
        <w:t>Operations</w:t>
      </w:r>
      <w:r>
        <w:rPr>
          <w:sz w:val="20"/>
          <w:szCs w:val="20"/>
          <w:color w:val="auto"/>
        </w:rPr>
        <w:tab/>
      </w:r>
      <w:r>
        <w:rPr>
          <w:rFonts w:ascii="Times New Roman" w:cs="Times New Roman" w:eastAsia="Times New Roman" w:hAnsi="Times New Roman"/>
          <w:sz w:val="20"/>
          <w:szCs w:val="20"/>
          <w:color w:val="231F20"/>
        </w:rPr>
        <w:t>4</w:t>
      </w:r>
    </w:p>
    <w:p>
      <w:pPr>
        <w:ind w:left="1180"/>
        <w:spacing w:after="0"/>
        <w:tabs>
          <w:tab w:leader="dot" w:pos="10680" w:val="left"/>
        </w:tabs>
        <w:rPr>
          <w:sz w:val="20"/>
          <w:szCs w:val="20"/>
          <w:color w:val="auto"/>
        </w:rPr>
      </w:pPr>
      <w:r>
        <w:rPr>
          <w:rFonts w:ascii="Times New Roman" w:cs="Times New Roman" w:eastAsia="Times New Roman" w:hAnsi="Times New Roman"/>
          <w:sz w:val="20"/>
          <w:szCs w:val="20"/>
          <w:color w:val="231F20"/>
        </w:rPr>
        <w:t>Rates and Regulation</w:t>
      </w:r>
      <w:r>
        <w:rPr>
          <w:sz w:val="20"/>
          <w:szCs w:val="20"/>
          <w:color w:val="auto"/>
        </w:rPr>
        <w:tab/>
      </w:r>
      <w:r>
        <w:rPr>
          <w:rFonts w:ascii="Times New Roman" w:cs="Times New Roman" w:eastAsia="Times New Roman" w:hAnsi="Times New Roman"/>
          <w:sz w:val="20"/>
          <w:szCs w:val="20"/>
          <w:color w:val="231F20"/>
        </w:rPr>
        <w:t>6</w:t>
      </w:r>
    </w:p>
    <w:p>
      <w:pPr>
        <w:ind w:left="1180"/>
        <w:spacing w:after="0"/>
        <w:tabs>
          <w:tab w:leader="dot" w:pos="10680" w:val="left"/>
        </w:tabs>
        <w:rPr>
          <w:sz w:val="20"/>
          <w:szCs w:val="20"/>
          <w:color w:val="auto"/>
        </w:rPr>
      </w:pPr>
      <w:r>
        <w:rPr>
          <w:rFonts w:ascii="Times New Roman" w:cs="Times New Roman" w:eastAsia="Times New Roman" w:hAnsi="Times New Roman"/>
          <w:sz w:val="20"/>
          <w:szCs w:val="20"/>
          <w:color w:val="231F20"/>
        </w:rPr>
        <w:t>Employees</w:t>
      </w:r>
      <w:r>
        <w:rPr>
          <w:sz w:val="20"/>
          <w:szCs w:val="20"/>
          <w:color w:val="auto"/>
        </w:rPr>
        <w:tab/>
      </w:r>
      <w:r>
        <w:rPr>
          <w:rFonts w:ascii="Times New Roman" w:cs="Times New Roman" w:eastAsia="Times New Roman" w:hAnsi="Times New Roman"/>
          <w:sz w:val="20"/>
          <w:szCs w:val="20"/>
          <w:color w:val="231F20"/>
        </w:rPr>
        <w:t>7</w:t>
      </w:r>
    </w:p>
    <w:p>
      <w:pPr>
        <w:ind w:left="1180"/>
        <w:spacing w:after="0"/>
        <w:tabs>
          <w:tab w:leader="dot" w:pos="10680" w:val="left"/>
        </w:tabs>
        <w:rPr>
          <w:sz w:val="20"/>
          <w:szCs w:val="20"/>
          <w:color w:val="auto"/>
        </w:rPr>
      </w:pPr>
      <w:r>
        <w:rPr>
          <w:rFonts w:ascii="Times New Roman" w:cs="Times New Roman" w:eastAsia="Times New Roman" w:hAnsi="Times New Roman"/>
          <w:sz w:val="20"/>
          <w:szCs w:val="20"/>
          <w:color w:val="231F20"/>
        </w:rPr>
        <w:t>Available Information</w:t>
      </w:r>
      <w:r>
        <w:rPr>
          <w:sz w:val="20"/>
          <w:szCs w:val="20"/>
          <w:color w:val="auto"/>
        </w:rPr>
        <w:tab/>
      </w:r>
      <w:r>
        <w:rPr>
          <w:rFonts w:ascii="Times New Roman" w:cs="Times New Roman" w:eastAsia="Times New Roman" w:hAnsi="Times New Roman"/>
          <w:sz w:val="20"/>
          <w:szCs w:val="20"/>
          <w:color w:val="231F20"/>
        </w:rPr>
        <w:t>7</w:t>
      </w:r>
    </w:p>
    <w:p>
      <w:pPr>
        <w:ind w:left="1180"/>
        <w:spacing w:after="0"/>
        <w:tabs>
          <w:tab w:leader="dot" w:pos="10680" w:val="left"/>
        </w:tabs>
        <w:rPr>
          <w:sz w:val="20"/>
          <w:szCs w:val="20"/>
          <w:color w:val="auto"/>
        </w:rPr>
      </w:pPr>
      <w:r>
        <w:rPr>
          <w:rFonts w:ascii="Times New Roman" w:cs="Times New Roman" w:eastAsia="Times New Roman" w:hAnsi="Times New Roman"/>
          <w:sz w:val="20"/>
          <w:szCs w:val="20"/>
          <w:color w:val="231F20"/>
        </w:rPr>
        <w:t>Investor Information</w:t>
      </w:r>
      <w:r>
        <w:rPr>
          <w:sz w:val="20"/>
          <w:szCs w:val="20"/>
          <w:color w:val="auto"/>
        </w:rPr>
        <w:tab/>
      </w:r>
      <w:r>
        <w:rPr>
          <w:rFonts w:ascii="Times New Roman" w:cs="Times New Roman" w:eastAsia="Times New Roman" w:hAnsi="Times New Roman"/>
          <w:sz w:val="20"/>
          <w:szCs w:val="20"/>
          <w:color w:val="231F20"/>
        </w:rPr>
        <w:t>8</w:t>
      </w:r>
    </w:p>
    <w:p>
      <w:pPr>
        <w:spacing w:after="0"/>
        <w:tabs>
          <w:tab w:leader="none" w:pos="680" w:val="left"/>
          <w:tab w:leader="dot" w:pos="10680" w:val="left"/>
        </w:tabs>
        <w:rPr>
          <w:sz w:val="20"/>
          <w:szCs w:val="20"/>
          <w:color w:val="auto"/>
        </w:rPr>
      </w:pPr>
      <w:r>
        <w:rPr>
          <w:rFonts w:ascii="Times New Roman" w:cs="Times New Roman" w:eastAsia="Times New Roman" w:hAnsi="Times New Roman"/>
          <w:sz w:val="20"/>
          <w:szCs w:val="20"/>
          <w:color w:val="231F20"/>
        </w:rPr>
        <w:t>1A.</w:t>
      </w:r>
      <w:r>
        <w:rPr>
          <w:sz w:val="20"/>
          <w:szCs w:val="20"/>
          <w:color w:val="auto"/>
        </w:rPr>
        <w:tab/>
      </w:r>
      <w:r>
        <w:rPr>
          <w:rFonts w:ascii="Times New Roman" w:cs="Times New Roman" w:eastAsia="Times New Roman" w:hAnsi="Times New Roman"/>
          <w:sz w:val="20"/>
          <w:szCs w:val="20"/>
          <w:color w:val="231F20"/>
        </w:rPr>
        <w:t>Risk Factors</w:t>
      </w:r>
      <w:r>
        <w:rPr>
          <w:sz w:val="20"/>
          <w:szCs w:val="20"/>
          <w:color w:val="auto"/>
        </w:rPr>
        <w:tab/>
      </w:r>
      <w:r>
        <w:rPr>
          <w:rFonts w:ascii="Times New Roman" w:cs="Times New Roman" w:eastAsia="Times New Roman" w:hAnsi="Times New Roman"/>
          <w:sz w:val="20"/>
          <w:szCs w:val="20"/>
          <w:color w:val="231F20"/>
        </w:rPr>
        <w:t>8</w:t>
      </w:r>
    </w:p>
    <w:p>
      <w:pPr>
        <w:spacing w:after="0"/>
        <w:tabs>
          <w:tab w:leader="none" w:pos="680" w:val="left"/>
          <w:tab w:leader="dot" w:pos="10580" w:val="left"/>
        </w:tabs>
        <w:rPr>
          <w:sz w:val="20"/>
          <w:szCs w:val="20"/>
          <w:color w:val="auto"/>
        </w:rPr>
      </w:pPr>
      <w:r>
        <w:rPr>
          <w:rFonts w:ascii="Times New Roman" w:cs="Times New Roman" w:eastAsia="Times New Roman" w:hAnsi="Times New Roman"/>
          <w:sz w:val="20"/>
          <w:szCs w:val="20"/>
          <w:color w:val="231F20"/>
        </w:rPr>
        <w:t>1B.</w:t>
      </w:r>
      <w:r>
        <w:rPr>
          <w:sz w:val="20"/>
          <w:szCs w:val="20"/>
          <w:color w:val="auto"/>
        </w:rPr>
        <w:tab/>
      </w:r>
      <w:r>
        <w:rPr>
          <w:rFonts w:ascii="Times New Roman" w:cs="Times New Roman" w:eastAsia="Times New Roman" w:hAnsi="Times New Roman"/>
          <w:sz w:val="20"/>
          <w:szCs w:val="20"/>
          <w:color w:val="231F20"/>
        </w:rPr>
        <w:t>Unresolved Staff Comments</w:t>
      </w:r>
      <w:r>
        <w:rPr>
          <w:sz w:val="20"/>
          <w:szCs w:val="20"/>
          <w:color w:val="auto"/>
        </w:rPr>
        <w:tab/>
      </w:r>
      <w:r>
        <w:rPr>
          <w:rFonts w:ascii="Times New Roman" w:cs="Times New Roman" w:eastAsia="Times New Roman" w:hAnsi="Times New Roman"/>
          <w:sz w:val="20"/>
          <w:szCs w:val="20"/>
          <w:color w:val="231F20"/>
        </w:rPr>
        <w:t>15</w:t>
      </w:r>
    </w:p>
    <w:p>
      <w:pPr>
        <w:spacing w:after="0"/>
        <w:tabs>
          <w:tab w:leader="none" w:pos="680" w:val="left"/>
          <w:tab w:leader="dot" w:pos="10580" w:val="left"/>
        </w:tabs>
        <w:rPr>
          <w:sz w:val="20"/>
          <w:szCs w:val="20"/>
          <w:color w:val="auto"/>
        </w:rPr>
      </w:pPr>
      <w:r>
        <w:rPr>
          <w:rFonts w:ascii="Times New Roman" w:cs="Times New Roman" w:eastAsia="Times New Roman" w:hAnsi="Times New Roman"/>
          <w:sz w:val="20"/>
          <w:szCs w:val="20"/>
          <w:color w:val="231F20"/>
        </w:rPr>
        <w:t>1C.</w:t>
      </w:r>
      <w:r>
        <w:rPr>
          <w:sz w:val="20"/>
          <w:szCs w:val="20"/>
          <w:color w:val="auto"/>
        </w:rPr>
        <w:tab/>
      </w:r>
      <w:r>
        <w:rPr>
          <w:rFonts w:ascii="Times New Roman" w:cs="Times New Roman" w:eastAsia="Times New Roman" w:hAnsi="Times New Roman"/>
          <w:sz w:val="20"/>
          <w:szCs w:val="20"/>
          <w:color w:val="231F20"/>
        </w:rPr>
        <w:t>Cybersecurity</w:t>
      </w:r>
      <w:r>
        <w:rPr>
          <w:sz w:val="20"/>
          <w:szCs w:val="20"/>
          <w:color w:val="auto"/>
        </w:rPr>
        <w:tab/>
      </w:r>
      <w:r>
        <w:rPr>
          <w:rFonts w:ascii="Times New Roman" w:cs="Times New Roman" w:eastAsia="Times New Roman" w:hAnsi="Times New Roman"/>
          <w:sz w:val="20"/>
          <w:szCs w:val="20"/>
          <w:color w:val="231F20"/>
        </w:rPr>
        <w:t>16</w:t>
      </w:r>
    </w:p>
    <w:p>
      <w:pPr>
        <w:spacing w:after="0"/>
        <w:tabs>
          <w:tab w:leader="none" w:pos="680" w:val="left"/>
          <w:tab w:leader="dot" w:pos="10580" w:val="left"/>
        </w:tabs>
        <w:rPr>
          <w:sz w:val="20"/>
          <w:szCs w:val="20"/>
          <w:color w:val="auto"/>
        </w:rPr>
      </w:pPr>
      <w:r>
        <w:rPr>
          <w:rFonts w:ascii="Times New Roman" w:cs="Times New Roman" w:eastAsia="Times New Roman" w:hAnsi="Times New Roman"/>
          <w:sz w:val="20"/>
          <w:szCs w:val="20"/>
          <w:color w:val="231F20"/>
        </w:rPr>
        <w:t>2.</w:t>
      </w:r>
      <w:r>
        <w:rPr>
          <w:sz w:val="20"/>
          <w:szCs w:val="20"/>
          <w:color w:val="auto"/>
        </w:rPr>
        <w:tab/>
      </w:r>
      <w:r>
        <w:rPr>
          <w:rFonts w:ascii="Times New Roman" w:cs="Times New Roman" w:eastAsia="Times New Roman" w:hAnsi="Times New Roman"/>
          <w:sz w:val="20"/>
          <w:szCs w:val="20"/>
          <w:color w:val="231F20"/>
        </w:rPr>
        <w:t>Properties</w:t>
      </w:r>
      <w:r>
        <w:rPr>
          <w:sz w:val="20"/>
          <w:szCs w:val="20"/>
          <w:color w:val="auto"/>
        </w:rPr>
        <w:tab/>
      </w:r>
      <w:r>
        <w:rPr>
          <w:rFonts w:ascii="Times New Roman" w:cs="Times New Roman" w:eastAsia="Times New Roman" w:hAnsi="Times New Roman"/>
          <w:sz w:val="20"/>
          <w:szCs w:val="20"/>
          <w:color w:val="231F20"/>
        </w:rPr>
        <w:t>18</w:t>
      </w:r>
    </w:p>
    <w:p>
      <w:pPr>
        <w:spacing w:after="0"/>
        <w:tabs>
          <w:tab w:leader="none" w:pos="680" w:val="left"/>
          <w:tab w:leader="dot" w:pos="10580" w:val="left"/>
        </w:tabs>
        <w:rPr>
          <w:sz w:val="20"/>
          <w:szCs w:val="20"/>
          <w:color w:val="auto"/>
        </w:rPr>
      </w:pPr>
      <w:r>
        <w:rPr>
          <w:rFonts w:ascii="Times New Roman" w:cs="Times New Roman" w:eastAsia="Times New Roman" w:hAnsi="Times New Roman"/>
          <w:sz w:val="20"/>
          <w:szCs w:val="20"/>
          <w:color w:val="231F20"/>
        </w:rPr>
        <w:t>3.</w:t>
      </w:r>
      <w:r>
        <w:rPr>
          <w:sz w:val="20"/>
          <w:szCs w:val="20"/>
          <w:color w:val="auto"/>
        </w:rPr>
        <w:tab/>
      </w:r>
      <w:r>
        <w:rPr>
          <w:rFonts w:ascii="Times New Roman" w:cs="Times New Roman" w:eastAsia="Times New Roman" w:hAnsi="Times New Roman"/>
          <w:sz w:val="20"/>
          <w:szCs w:val="20"/>
          <w:color w:val="231F20"/>
        </w:rPr>
        <w:t>Legal Proceedings</w:t>
      </w:r>
      <w:r>
        <w:rPr>
          <w:sz w:val="20"/>
          <w:szCs w:val="20"/>
          <w:color w:val="auto"/>
        </w:rPr>
        <w:tab/>
      </w:r>
      <w:r>
        <w:rPr>
          <w:rFonts w:ascii="Times New Roman" w:cs="Times New Roman" w:eastAsia="Times New Roman" w:hAnsi="Times New Roman"/>
          <w:sz w:val="20"/>
          <w:szCs w:val="20"/>
          <w:color w:val="231F20"/>
        </w:rPr>
        <w:t>19</w:t>
      </w:r>
    </w:p>
    <w:p>
      <w:pPr>
        <w:spacing w:after="0"/>
        <w:tabs>
          <w:tab w:leader="none" w:pos="680" w:val="left"/>
          <w:tab w:leader="dot" w:pos="10580" w:val="left"/>
        </w:tabs>
        <w:rPr>
          <w:sz w:val="20"/>
          <w:szCs w:val="20"/>
          <w:color w:val="auto"/>
        </w:rPr>
      </w:pPr>
      <w:r>
        <w:rPr>
          <w:rFonts w:ascii="Times New Roman" w:cs="Times New Roman" w:eastAsia="Times New Roman" w:hAnsi="Times New Roman"/>
          <w:sz w:val="20"/>
          <w:szCs w:val="20"/>
          <w:color w:val="231F20"/>
        </w:rPr>
        <w:t>4.</w:t>
      </w:r>
      <w:r>
        <w:rPr>
          <w:sz w:val="20"/>
          <w:szCs w:val="20"/>
          <w:color w:val="auto"/>
        </w:rPr>
        <w:tab/>
      </w:r>
      <w:r>
        <w:rPr>
          <w:rFonts w:ascii="Times New Roman" w:cs="Times New Roman" w:eastAsia="Times New Roman" w:hAnsi="Times New Roman"/>
          <w:sz w:val="20"/>
          <w:szCs w:val="20"/>
          <w:color w:val="231F20"/>
        </w:rPr>
        <w:t>Mine Safety Disclosures</w:t>
      </w:r>
      <w:r>
        <w:rPr>
          <w:sz w:val="20"/>
          <w:szCs w:val="20"/>
          <w:color w:val="auto"/>
        </w:rPr>
        <w:tab/>
      </w:r>
      <w:r>
        <w:rPr>
          <w:rFonts w:ascii="Times New Roman" w:cs="Times New Roman" w:eastAsia="Times New Roman" w:hAnsi="Times New Roman"/>
          <w:sz w:val="20"/>
          <w:szCs w:val="20"/>
          <w:color w:val="231F20"/>
        </w:rPr>
        <w:t>19</w:t>
      </w:r>
    </w:p>
    <w:p>
      <w:pPr>
        <w:spacing w:after="0" w:line="17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231F20"/>
        </w:rPr>
        <w:t>PART II</w:t>
      </w:r>
    </w:p>
    <w:p>
      <w:pPr>
        <w:spacing w:after="0" w:line="32" w:lineRule="exact"/>
        <w:rPr>
          <w:sz w:val="20"/>
          <w:szCs w:val="20"/>
          <w:color w:val="auto"/>
        </w:rPr>
      </w:pPr>
    </w:p>
    <w:p>
      <w:pPr>
        <w:spacing w:after="0"/>
        <w:tabs>
          <w:tab w:leader="none" w:pos="680" w:val="left"/>
          <w:tab w:leader="dot" w:pos="10580" w:val="left"/>
        </w:tabs>
        <w:rPr>
          <w:sz w:val="20"/>
          <w:szCs w:val="20"/>
          <w:color w:val="auto"/>
        </w:rPr>
      </w:pPr>
      <w:r>
        <w:rPr>
          <w:rFonts w:ascii="Times New Roman" w:cs="Times New Roman" w:eastAsia="Times New Roman" w:hAnsi="Times New Roman"/>
          <w:sz w:val="20"/>
          <w:szCs w:val="20"/>
          <w:color w:val="231F20"/>
        </w:rPr>
        <w:t>5.</w:t>
      </w:r>
      <w:r>
        <w:rPr>
          <w:sz w:val="20"/>
          <w:szCs w:val="20"/>
          <w:color w:val="auto"/>
        </w:rPr>
        <w:tab/>
      </w:r>
      <w:r>
        <w:rPr>
          <w:rFonts w:ascii="Times New Roman" w:cs="Times New Roman" w:eastAsia="Times New Roman" w:hAnsi="Times New Roman"/>
          <w:sz w:val="20"/>
          <w:szCs w:val="20"/>
          <w:color w:val="231F20"/>
        </w:rPr>
        <w:t>Market for Registrant’s Common Equity, Related Stockholder Matters and Issuer Purchases of Equity Securities</w:t>
      </w:r>
      <w:r>
        <w:rPr>
          <w:sz w:val="20"/>
          <w:szCs w:val="20"/>
          <w:color w:val="auto"/>
        </w:rPr>
        <w:tab/>
      </w:r>
      <w:r>
        <w:rPr>
          <w:rFonts w:ascii="Times New Roman" w:cs="Times New Roman" w:eastAsia="Times New Roman" w:hAnsi="Times New Roman"/>
          <w:sz w:val="20"/>
          <w:szCs w:val="20"/>
          <w:color w:val="231F20"/>
        </w:rPr>
        <w:t>20</w:t>
      </w:r>
    </w:p>
    <w:p>
      <w:pPr>
        <w:spacing w:after="0"/>
        <w:tabs>
          <w:tab w:leader="none" w:pos="680" w:val="left"/>
          <w:tab w:leader="dot" w:pos="10580" w:val="left"/>
        </w:tabs>
        <w:rPr>
          <w:sz w:val="20"/>
          <w:szCs w:val="20"/>
          <w:color w:val="auto"/>
        </w:rPr>
      </w:pPr>
      <w:r>
        <w:rPr>
          <w:rFonts w:ascii="Times New Roman" w:cs="Times New Roman" w:eastAsia="Times New Roman" w:hAnsi="Times New Roman"/>
          <w:sz w:val="20"/>
          <w:szCs w:val="20"/>
          <w:color w:val="231F20"/>
        </w:rPr>
        <w:t>6.</w:t>
      </w:r>
      <w:r>
        <w:rPr>
          <w:sz w:val="20"/>
          <w:szCs w:val="20"/>
          <w:color w:val="auto"/>
        </w:rPr>
        <w:tab/>
      </w:r>
      <w:r>
        <w:rPr>
          <w:rFonts w:ascii="Times New Roman" w:cs="Times New Roman" w:eastAsia="Times New Roman" w:hAnsi="Times New Roman"/>
          <w:sz w:val="20"/>
          <w:szCs w:val="20"/>
          <w:color w:val="231F20"/>
        </w:rPr>
        <w:t>Reserved</w:t>
      </w:r>
      <w:r>
        <w:rPr>
          <w:sz w:val="20"/>
          <w:szCs w:val="20"/>
          <w:color w:val="auto"/>
        </w:rPr>
        <w:tab/>
      </w:r>
      <w:r>
        <w:rPr>
          <w:rFonts w:ascii="Times New Roman" w:cs="Times New Roman" w:eastAsia="Times New Roman" w:hAnsi="Times New Roman"/>
          <w:sz w:val="20"/>
          <w:szCs w:val="20"/>
          <w:color w:val="231F20"/>
        </w:rPr>
        <w:t>21</w:t>
      </w:r>
    </w:p>
    <w:p>
      <w:pPr>
        <w:spacing w:after="0"/>
        <w:tabs>
          <w:tab w:leader="none" w:pos="680" w:val="left"/>
          <w:tab w:leader="dot" w:pos="10580" w:val="left"/>
        </w:tabs>
        <w:rPr>
          <w:sz w:val="20"/>
          <w:szCs w:val="20"/>
          <w:color w:val="auto"/>
        </w:rPr>
      </w:pPr>
      <w:r>
        <w:rPr>
          <w:rFonts w:ascii="Times New Roman" w:cs="Times New Roman" w:eastAsia="Times New Roman" w:hAnsi="Times New Roman"/>
          <w:sz w:val="20"/>
          <w:szCs w:val="20"/>
          <w:color w:val="231F20"/>
        </w:rPr>
        <w:t>7.</w:t>
      </w:r>
      <w:r>
        <w:rPr>
          <w:sz w:val="20"/>
          <w:szCs w:val="20"/>
          <w:color w:val="auto"/>
        </w:rPr>
        <w:tab/>
      </w:r>
      <w:r>
        <w:rPr>
          <w:rFonts w:ascii="Times New Roman" w:cs="Times New Roman" w:eastAsia="Times New Roman" w:hAnsi="Times New Roman"/>
          <w:sz w:val="20"/>
          <w:szCs w:val="20"/>
          <w:color w:val="231F20"/>
        </w:rPr>
        <w:t>Management’s Discussion and Analysis of Financial Condition and Results of Operations (MD&amp;A)</w:t>
      </w:r>
      <w:r>
        <w:rPr>
          <w:sz w:val="20"/>
          <w:szCs w:val="20"/>
          <w:color w:val="auto"/>
        </w:rPr>
        <w:tab/>
      </w:r>
      <w:r>
        <w:rPr>
          <w:rFonts w:ascii="Times New Roman" w:cs="Times New Roman" w:eastAsia="Times New Roman" w:hAnsi="Times New Roman"/>
          <w:sz w:val="20"/>
          <w:szCs w:val="20"/>
          <w:color w:val="231F20"/>
        </w:rPr>
        <w:t>22</w:t>
      </w:r>
    </w:p>
    <w:p>
      <w:pPr>
        <w:spacing w:after="0"/>
        <w:tabs>
          <w:tab w:leader="none" w:pos="680" w:val="left"/>
          <w:tab w:leader="dot" w:pos="10580" w:val="left"/>
        </w:tabs>
        <w:rPr>
          <w:sz w:val="20"/>
          <w:szCs w:val="20"/>
          <w:color w:val="auto"/>
        </w:rPr>
      </w:pPr>
      <w:r>
        <w:rPr>
          <w:rFonts w:ascii="Times New Roman" w:cs="Times New Roman" w:eastAsia="Times New Roman" w:hAnsi="Times New Roman"/>
          <w:sz w:val="20"/>
          <w:szCs w:val="20"/>
          <w:color w:val="231F20"/>
        </w:rPr>
        <w:t>7A.</w:t>
      </w:r>
      <w:r>
        <w:rPr>
          <w:sz w:val="20"/>
          <w:szCs w:val="20"/>
          <w:color w:val="auto"/>
        </w:rPr>
        <w:tab/>
      </w:r>
      <w:r>
        <w:rPr>
          <w:rFonts w:ascii="Times New Roman" w:cs="Times New Roman" w:eastAsia="Times New Roman" w:hAnsi="Times New Roman"/>
          <w:sz w:val="20"/>
          <w:szCs w:val="20"/>
          <w:color w:val="231F20"/>
        </w:rPr>
        <w:t>Quantitative and Qualitative Disclosures about Market Risk</w:t>
      </w:r>
      <w:r>
        <w:rPr>
          <w:sz w:val="20"/>
          <w:szCs w:val="20"/>
          <w:color w:val="auto"/>
        </w:rPr>
        <w:tab/>
      </w:r>
      <w:r>
        <w:rPr>
          <w:rFonts w:ascii="Times New Roman" w:cs="Times New Roman" w:eastAsia="Times New Roman" w:hAnsi="Times New Roman"/>
          <w:sz w:val="20"/>
          <w:szCs w:val="20"/>
          <w:color w:val="231F20"/>
        </w:rPr>
        <w:t>36</w:t>
      </w:r>
    </w:p>
    <w:p>
      <w:pPr>
        <w:spacing w:after="0"/>
        <w:tabs>
          <w:tab w:leader="none" w:pos="680" w:val="left"/>
          <w:tab w:leader="dot" w:pos="10580" w:val="left"/>
        </w:tabs>
        <w:rPr>
          <w:sz w:val="20"/>
          <w:szCs w:val="20"/>
          <w:color w:val="auto"/>
        </w:rPr>
      </w:pPr>
      <w:r>
        <w:rPr>
          <w:rFonts w:ascii="Times New Roman" w:cs="Times New Roman" w:eastAsia="Times New Roman" w:hAnsi="Times New Roman"/>
          <w:sz w:val="20"/>
          <w:szCs w:val="20"/>
          <w:color w:val="231F20"/>
        </w:rPr>
        <w:t>8.</w:t>
      </w:r>
      <w:r>
        <w:rPr>
          <w:sz w:val="20"/>
          <w:szCs w:val="20"/>
          <w:color w:val="auto"/>
        </w:rPr>
        <w:tab/>
      </w:r>
      <w:r>
        <w:rPr>
          <w:rFonts w:ascii="Times New Roman" w:cs="Times New Roman" w:eastAsia="Times New Roman" w:hAnsi="Times New Roman"/>
          <w:sz w:val="20"/>
          <w:szCs w:val="20"/>
          <w:color w:val="231F20"/>
        </w:rPr>
        <w:t>Financial Statements and Supplementary Data</w:t>
      </w:r>
      <w:r>
        <w:rPr>
          <w:sz w:val="20"/>
          <w:szCs w:val="20"/>
          <w:color w:val="auto"/>
        </w:rPr>
        <w:tab/>
      </w:r>
      <w:r>
        <w:rPr>
          <w:rFonts w:ascii="Times New Roman" w:cs="Times New Roman" w:eastAsia="Times New Roman" w:hAnsi="Times New Roman"/>
          <w:sz w:val="20"/>
          <w:szCs w:val="20"/>
          <w:color w:val="231F20"/>
        </w:rPr>
        <w:t>37</w:t>
      </w:r>
    </w:p>
    <w:p>
      <w:pPr>
        <w:spacing w:after="0"/>
        <w:tabs>
          <w:tab w:leader="none" w:pos="680" w:val="left"/>
          <w:tab w:leader="dot" w:pos="10580" w:val="left"/>
        </w:tabs>
        <w:rPr>
          <w:sz w:val="20"/>
          <w:szCs w:val="20"/>
          <w:color w:val="auto"/>
        </w:rPr>
      </w:pPr>
      <w:r>
        <w:rPr>
          <w:rFonts w:ascii="Times New Roman" w:cs="Times New Roman" w:eastAsia="Times New Roman" w:hAnsi="Times New Roman"/>
          <w:sz w:val="20"/>
          <w:szCs w:val="20"/>
          <w:color w:val="231F20"/>
        </w:rPr>
        <w:t>9.</w:t>
      </w:r>
      <w:r>
        <w:rPr>
          <w:sz w:val="20"/>
          <w:szCs w:val="20"/>
          <w:color w:val="auto"/>
        </w:rPr>
        <w:tab/>
      </w:r>
      <w:r>
        <w:rPr>
          <w:rFonts w:ascii="Times New Roman" w:cs="Times New Roman" w:eastAsia="Times New Roman" w:hAnsi="Times New Roman"/>
          <w:sz w:val="20"/>
          <w:szCs w:val="20"/>
          <w:color w:val="231F20"/>
        </w:rPr>
        <w:t>Changes in and Disagreements with Accountants on Accounting and Financial Disclosure</w:t>
      </w:r>
      <w:r>
        <w:rPr>
          <w:sz w:val="20"/>
          <w:szCs w:val="20"/>
          <w:color w:val="auto"/>
        </w:rPr>
        <w:tab/>
      </w:r>
      <w:r>
        <w:rPr>
          <w:rFonts w:ascii="Times New Roman" w:cs="Times New Roman" w:eastAsia="Times New Roman" w:hAnsi="Times New Roman"/>
          <w:sz w:val="20"/>
          <w:szCs w:val="20"/>
          <w:color w:val="231F20"/>
        </w:rPr>
        <w:t>92</w:t>
      </w:r>
    </w:p>
    <w:p>
      <w:pPr>
        <w:spacing w:after="0"/>
        <w:tabs>
          <w:tab w:leader="none" w:pos="680" w:val="left"/>
          <w:tab w:leader="dot" w:pos="10580" w:val="left"/>
        </w:tabs>
        <w:rPr>
          <w:sz w:val="20"/>
          <w:szCs w:val="20"/>
          <w:color w:val="auto"/>
        </w:rPr>
      </w:pPr>
      <w:r>
        <w:rPr>
          <w:rFonts w:ascii="Times New Roman" w:cs="Times New Roman" w:eastAsia="Times New Roman" w:hAnsi="Times New Roman"/>
          <w:sz w:val="20"/>
          <w:szCs w:val="20"/>
          <w:color w:val="231F20"/>
        </w:rPr>
        <w:t>9A.</w:t>
      </w:r>
      <w:r>
        <w:rPr>
          <w:sz w:val="20"/>
          <w:szCs w:val="20"/>
          <w:color w:val="auto"/>
        </w:rPr>
        <w:tab/>
      </w:r>
      <w:r>
        <w:rPr>
          <w:rFonts w:ascii="Times New Roman" w:cs="Times New Roman" w:eastAsia="Times New Roman" w:hAnsi="Times New Roman"/>
          <w:sz w:val="20"/>
          <w:szCs w:val="20"/>
          <w:color w:val="231F20"/>
        </w:rPr>
        <w:t>Controls and Procedures</w:t>
      </w:r>
      <w:r>
        <w:rPr>
          <w:sz w:val="20"/>
          <w:szCs w:val="20"/>
          <w:color w:val="auto"/>
        </w:rPr>
        <w:tab/>
      </w:r>
      <w:r>
        <w:rPr>
          <w:rFonts w:ascii="Times New Roman" w:cs="Times New Roman" w:eastAsia="Times New Roman" w:hAnsi="Times New Roman"/>
          <w:sz w:val="20"/>
          <w:szCs w:val="20"/>
          <w:color w:val="231F20"/>
        </w:rPr>
        <w:t>92</w:t>
      </w:r>
    </w:p>
    <w:p>
      <w:pPr>
        <w:spacing w:after="0"/>
        <w:tabs>
          <w:tab w:leader="none" w:pos="680" w:val="left"/>
          <w:tab w:leader="dot" w:pos="10580" w:val="left"/>
        </w:tabs>
        <w:rPr>
          <w:sz w:val="20"/>
          <w:szCs w:val="20"/>
          <w:color w:val="auto"/>
        </w:rPr>
      </w:pPr>
      <w:r>
        <w:rPr>
          <w:rFonts w:ascii="Times New Roman" w:cs="Times New Roman" w:eastAsia="Times New Roman" w:hAnsi="Times New Roman"/>
          <w:sz w:val="20"/>
          <w:szCs w:val="20"/>
          <w:color w:val="231F20"/>
        </w:rPr>
        <w:t>9B.</w:t>
      </w:r>
      <w:r>
        <w:rPr>
          <w:sz w:val="20"/>
          <w:szCs w:val="20"/>
          <w:color w:val="auto"/>
        </w:rPr>
        <w:tab/>
      </w:r>
      <w:r>
        <w:rPr>
          <w:rFonts w:ascii="Times New Roman" w:cs="Times New Roman" w:eastAsia="Times New Roman" w:hAnsi="Times New Roman"/>
          <w:sz w:val="20"/>
          <w:szCs w:val="20"/>
          <w:color w:val="231F20"/>
        </w:rPr>
        <w:t>Other Information</w:t>
      </w:r>
      <w:r>
        <w:rPr>
          <w:sz w:val="20"/>
          <w:szCs w:val="20"/>
          <w:color w:val="auto"/>
        </w:rPr>
        <w:tab/>
      </w:r>
      <w:r>
        <w:rPr>
          <w:rFonts w:ascii="Times New Roman" w:cs="Times New Roman" w:eastAsia="Times New Roman" w:hAnsi="Times New Roman"/>
          <w:sz w:val="20"/>
          <w:szCs w:val="20"/>
          <w:color w:val="231F20"/>
        </w:rPr>
        <w:t>92</w:t>
      </w:r>
    </w:p>
    <w:p>
      <w:pPr>
        <w:spacing w:after="0"/>
        <w:tabs>
          <w:tab w:leader="none" w:pos="680" w:val="left"/>
          <w:tab w:leader="dot" w:pos="10580" w:val="left"/>
        </w:tabs>
        <w:rPr>
          <w:sz w:val="20"/>
          <w:szCs w:val="20"/>
          <w:color w:val="auto"/>
        </w:rPr>
      </w:pPr>
      <w:r>
        <w:rPr>
          <w:rFonts w:ascii="Times New Roman" w:cs="Times New Roman" w:eastAsia="Times New Roman" w:hAnsi="Times New Roman"/>
          <w:sz w:val="20"/>
          <w:szCs w:val="20"/>
          <w:color w:val="231F20"/>
        </w:rPr>
        <w:t>9C.</w:t>
      </w:r>
      <w:r>
        <w:rPr>
          <w:sz w:val="20"/>
          <w:szCs w:val="20"/>
          <w:color w:val="auto"/>
        </w:rPr>
        <w:tab/>
      </w:r>
      <w:r>
        <w:rPr>
          <w:rFonts w:ascii="Times New Roman" w:cs="Times New Roman" w:eastAsia="Times New Roman" w:hAnsi="Times New Roman"/>
          <w:sz w:val="20"/>
          <w:szCs w:val="20"/>
          <w:color w:val="231F20"/>
        </w:rPr>
        <w:t>Disclosure Regarding Foreign Jurisdictions that Prevent Inspections</w:t>
      </w:r>
      <w:r>
        <w:rPr>
          <w:sz w:val="20"/>
          <w:szCs w:val="20"/>
          <w:color w:val="auto"/>
        </w:rPr>
        <w:tab/>
      </w:r>
      <w:r>
        <w:rPr>
          <w:rFonts w:ascii="Times New Roman" w:cs="Times New Roman" w:eastAsia="Times New Roman" w:hAnsi="Times New Roman"/>
          <w:sz w:val="20"/>
          <w:szCs w:val="20"/>
          <w:color w:val="231F20"/>
        </w:rPr>
        <w:t>92</w:t>
      </w:r>
    </w:p>
    <w:p>
      <w:pPr>
        <w:spacing w:after="0" w:line="17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231F20"/>
        </w:rPr>
        <w:t>PART III</w:t>
      </w:r>
    </w:p>
    <w:p>
      <w:pPr>
        <w:spacing w:after="0" w:line="32" w:lineRule="exact"/>
        <w:rPr>
          <w:sz w:val="20"/>
          <w:szCs w:val="20"/>
          <w:color w:val="auto"/>
        </w:rPr>
      </w:pPr>
    </w:p>
    <w:p>
      <w:pPr>
        <w:spacing w:after="0"/>
        <w:tabs>
          <w:tab w:leader="none" w:pos="680" w:val="left"/>
          <w:tab w:leader="dot" w:pos="10580" w:val="left"/>
        </w:tabs>
        <w:rPr>
          <w:sz w:val="20"/>
          <w:szCs w:val="20"/>
          <w:color w:val="auto"/>
        </w:rPr>
      </w:pPr>
      <w:r>
        <w:rPr>
          <w:rFonts w:ascii="Times New Roman" w:cs="Times New Roman" w:eastAsia="Times New Roman" w:hAnsi="Times New Roman"/>
          <w:sz w:val="20"/>
          <w:szCs w:val="20"/>
          <w:color w:val="231F20"/>
        </w:rPr>
        <w:t>10.</w:t>
      </w:r>
      <w:r>
        <w:rPr>
          <w:sz w:val="20"/>
          <w:szCs w:val="20"/>
          <w:color w:val="auto"/>
        </w:rPr>
        <w:tab/>
      </w:r>
      <w:r>
        <w:rPr>
          <w:rFonts w:ascii="Times New Roman" w:cs="Times New Roman" w:eastAsia="Times New Roman" w:hAnsi="Times New Roman"/>
          <w:sz w:val="20"/>
          <w:szCs w:val="20"/>
          <w:color w:val="231F20"/>
        </w:rPr>
        <w:t>Directors, Executive Officers and Corporate Governance</w:t>
      </w:r>
      <w:r>
        <w:rPr>
          <w:sz w:val="20"/>
          <w:szCs w:val="20"/>
          <w:color w:val="auto"/>
        </w:rPr>
        <w:tab/>
      </w:r>
      <w:r>
        <w:rPr>
          <w:rFonts w:ascii="Times New Roman" w:cs="Times New Roman" w:eastAsia="Times New Roman" w:hAnsi="Times New Roman"/>
          <w:sz w:val="20"/>
          <w:szCs w:val="20"/>
          <w:color w:val="231F20"/>
        </w:rPr>
        <w:t>93</w:t>
      </w:r>
    </w:p>
    <w:p>
      <w:pPr>
        <w:spacing w:after="0"/>
        <w:tabs>
          <w:tab w:leader="none" w:pos="680" w:val="left"/>
          <w:tab w:leader="dot" w:pos="10580" w:val="left"/>
        </w:tabs>
        <w:rPr>
          <w:sz w:val="20"/>
          <w:szCs w:val="20"/>
          <w:color w:val="auto"/>
        </w:rPr>
      </w:pPr>
      <w:r>
        <w:rPr>
          <w:rFonts w:ascii="Times New Roman" w:cs="Times New Roman" w:eastAsia="Times New Roman" w:hAnsi="Times New Roman"/>
          <w:sz w:val="20"/>
          <w:szCs w:val="20"/>
          <w:color w:val="231F20"/>
        </w:rPr>
        <w:t>11.</w:t>
      </w:r>
      <w:r>
        <w:rPr>
          <w:sz w:val="20"/>
          <w:szCs w:val="20"/>
          <w:color w:val="auto"/>
        </w:rPr>
        <w:tab/>
      </w:r>
      <w:r>
        <w:rPr>
          <w:rFonts w:ascii="Times New Roman" w:cs="Times New Roman" w:eastAsia="Times New Roman" w:hAnsi="Times New Roman"/>
          <w:sz w:val="20"/>
          <w:szCs w:val="20"/>
          <w:color w:val="231F20"/>
        </w:rPr>
        <w:t>Executive Compensation</w:t>
      </w:r>
      <w:r>
        <w:rPr>
          <w:sz w:val="20"/>
          <w:szCs w:val="20"/>
          <w:color w:val="auto"/>
        </w:rPr>
        <w:tab/>
      </w:r>
      <w:r>
        <w:rPr>
          <w:rFonts w:ascii="Times New Roman" w:cs="Times New Roman" w:eastAsia="Times New Roman" w:hAnsi="Times New Roman"/>
          <w:sz w:val="20"/>
          <w:szCs w:val="20"/>
          <w:color w:val="231F20"/>
        </w:rPr>
        <w:t>93</w:t>
      </w:r>
    </w:p>
    <w:p>
      <w:pPr>
        <w:spacing w:after="0"/>
        <w:tabs>
          <w:tab w:leader="none" w:pos="680" w:val="left"/>
          <w:tab w:leader="dot" w:pos="10580" w:val="left"/>
        </w:tabs>
        <w:rPr>
          <w:sz w:val="20"/>
          <w:szCs w:val="20"/>
          <w:color w:val="auto"/>
        </w:rPr>
      </w:pPr>
      <w:r>
        <w:rPr>
          <w:rFonts w:ascii="Times New Roman" w:cs="Times New Roman" w:eastAsia="Times New Roman" w:hAnsi="Times New Roman"/>
          <w:sz w:val="20"/>
          <w:szCs w:val="20"/>
          <w:color w:val="231F20"/>
        </w:rPr>
        <w:t>12.</w:t>
      </w:r>
      <w:r>
        <w:rPr>
          <w:sz w:val="20"/>
          <w:szCs w:val="20"/>
          <w:color w:val="auto"/>
        </w:rPr>
        <w:tab/>
      </w:r>
      <w:r>
        <w:rPr>
          <w:rFonts w:ascii="Times New Roman" w:cs="Times New Roman" w:eastAsia="Times New Roman" w:hAnsi="Times New Roman"/>
          <w:sz w:val="20"/>
          <w:szCs w:val="20"/>
          <w:color w:val="231F20"/>
        </w:rPr>
        <w:t>Security Ownership of Certain Beneficial Owners and Management and Related Stockholder Matters</w:t>
      </w:r>
      <w:r>
        <w:rPr>
          <w:sz w:val="20"/>
          <w:szCs w:val="20"/>
          <w:color w:val="auto"/>
        </w:rPr>
        <w:tab/>
      </w:r>
      <w:r>
        <w:rPr>
          <w:rFonts w:ascii="Times New Roman" w:cs="Times New Roman" w:eastAsia="Times New Roman" w:hAnsi="Times New Roman"/>
          <w:sz w:val="20"/>
          <w:szCs w:val="20"/>
          <w:color w:val="231F20"/>
        </w:rPr>
        <w:t>93</w:t>
      </w:r>
    </w:p>
    <w:p>
      <w:pPr>
        <w:spacing w:after="0"/>
        <w:tabs>
          <w:tab w:leader="none" w:pos="680" w:val="left"/>
          <w:tab w:leader="dot" w:pos="10580" w:val="left"/>
        </w:tabs>
        <w:rPr>
          <w:sz w:val="20"/>
          <w:szCs w:val="20"/>
          <w:color w:val="auto"/>
        </w:rPr>
      </w:pPr>
      <w:r>
        <w:rPr>
          <w:rFonts w:ascii="Times New Roman" w:cs="Times New Roman" w:eastAsia="Times New Roman" w:hAnsi="Times New Roman"/>
          <w:sz w:val="20"/>
          <w:szCs w:val="20"/>
          <w:color w:val="231F20"/>
        </w:rPr>
        <w:t>13.</w:t>
      </w:r>
      <w:r>
        <w:rPr>
          <w:sz w:val="20"/>
          <w:szCs w:val="20"/>
          <w:color w:val="auto"/>
        </w:rPr>
        <w:tab/>
      </w:r>
      <w:r>
        <w:rPr>
          <w:rFonts w:ascii="Times New Roman" w:cs="Times New Roman" w:eastAsia="Times New Roman" w:hAnsi="Times New Roman"/>
          <w:sz w:val="20"/>
          <w:szCs w:val="20"/>
          <w:color w:val="231F20"/>
        </w:rPr>
        <w:t>Certain Relationships and Related Transactions, and Director Independence</w:t>
      </w:r>
      <w:r>
        <w:rPr>
          <w:sz w:val="20"/>
          <w:szCs w:val="20"/>
          <w:color w:val="auto"/>
        </w:rPr>
        <w:tab/>
      </w:r>
      <w:r>
        <w:rPr>
          <w:rFonts w:ascii="Times New Roman" w:cs="Times New Roman" w:eastAsia="Times New Roman" w:hAnsi="Times New Roman"/>
          <w:sz w:val="20"/>
          <w:szCs w:val="20"/>
          <w:color w:val="231F20"/>
        </w:rPr>
        <w:t>93</w:t>
      </w:r>
    </w:p>
    <w:p>
      <w:pPr>
        <w:spacing w:after="0"/>
        <w:tabs>
          <w:tab w:leader="none" w:pos="680" w:val="left"/>
          <w:tab w:leader="dot" w:pos="10580" w:val="left"/>
        </w:tabs>
        <w:rPr>
          <w:sz w:val="20"/>
          <w:szCs w:val="20"/>
          <w:color w:val="auto"/>
        </w:rPr>
      </w:pPr>
      <w:r>
        <w:rPr>
          <w:rFonts w:ascii="Times New Roman" w:cs="Times New Roman" w:eastAsia="Times New Roman" w:hAnsi="Times New Roman"/>
          <w:sz w:val="20"/>
          <w:szCs w:val="20"/>
          <w:color w:val="231F20"/>
        </w:rPr>
        <w:t>14.</w:t>
      </w:r>
      <w:r>
        <w:rPr>
          <w:sz w:val="20"/>
          <w:szCs w:val="20"/>
          <w:color w:val="auto"/>
        </w:rPr>
        <w:tab/>
      </w:r>
      <w:r>
        <w:rPr>
          <w:rFonts w:ascii="Times New Roman" w:cs="Times New Roman" w:eastAsia="Times New Roman" w:hAnsi="Times New Roman"/>
          <w:sz w:val="20"/>
          <w:szCs w:val="20"/>
          <w:color w:val="231F20"/>
        </w:rPr>
        <w:t>Principal Accountant Fees and Services</w:t>
      </w:r>
      <w:r>
        <w:rPr>
          <w:sz w:val="20"/>
          <w:szCs w:val="20"/>
          <w:color w:val="auto"/>
        </w:rPr>
        <w:tab/>
      </w:r>
      <w:r>
        <w:rPr>
          <w:rFonts w:ascii="Times New Roman" w:cs="Times New Roman" w:eastAsia="Times New Roman" w:hAnsi="Times New Roman"/>
          <w:sz w:val="20"/>
          <w:szCs w:val="20"/>
          <w:color w:val="231F20"/>
        </w:rPr>
        <w:t>93</w:t>
      </w:r>
    </w:p>
    <w:p>
      <w:pPr>
        <w:spacing w:after="0" w:line="17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231F20"/>
        </w:rPr>
        <w:t>PART IV</w:t>
      </w:r>
    </w:p>
    <w:p>
      <w:pPr>
        <w:spacing w:after="0" w:line="32" w:lineRule="exact"/>
        <w:rPr>
          <w:sz w:val="20"/>
          <w:szCs w:val="20"/>
          <w:color w:val="auto"/>
        </w:rPr>
      </w:pPr>
    </w:p>
    <w:p>
      <w:pPr>
        <w:spacing w:after="0"/>
        <w:tabs>
          <w:tab w:leader="none" w:pos="680" w:val="left"/>
          <w:tab w:leader="dot" w:pos="10580" w:val="left"/>
        </w:tabs>
        <w:rPr>
          <w:sz w:val="20"/>
          <w:szCs w:val="20"/>
          <w:color w:val="auto"/>
        </w:rPr>
      </w:pPr>
      <w:r>
        <w:rPr>
          <w:rFonts w:ascii="Times New Roman" w:cs="Times New Roman" w:eastAsia="Times New Roman" w:hAnsi="Times New Roman"/>
          <w:sz w:val="20"/>
          <w:szCs w:val="20"/>
          <w:color w:val="231F20"/>
        </w:rPr>
        <w:t>15.</w:t>
      </w:r>
      <w:r>
        <w:rPr>
          <w:sz w:val="20"/>
          <w:szCs w:val="20"/>
          <w:color w:val="auto"/>
        </w:rPr>
        <w:tab/>
      </w:r>
      <w:r>
        <w:rPr>
          <w:rFonts w:ascii="Times New Roman" w:cs="Times New Roman" w:eastAsia="Times New Roman" w:hAnsi="Times New Roman"/>
          <w:sz w:val="20"/>
          <w:szCs w:val="20"/>
          <w:color w:val="231F20"/>
        </w:rPr>
        <w:t>Exhibits and Financial Statement Schedules</w:t>
      </w:r>
      <w:r>
        <w:rPr>
          <w:sz w:val="20"/>
          <w:szCs w:val="20"/>
          <w:color w:val="auto"/>
        </w:rPr>
        <w:tab/>
      </w:r>
      <w:r>
        <w:rPr>
          <w:rFonts w:ascii="Times New Roman" w:cs="Times New Roman" w:eastAsia="Times New Roman" w:hAnsi="Times New Roman"/>
          <w:sz w:val="20"/>
          <w:szCs w:val="20"/>
          <w:color w:val="231F20"/>
        </w:rPr>
        <w:t>94</w:t>
      </w:r>
    </w:p>
    <w:p>
      <w:pPr>
        <w:spacing w:after="0" w:line="17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231F20"/>
        </w:rPr>
        <w:t>SIGNATURES</w:t>
      </w:r>
    </w:p>
    <w:p>
      <w:pPr>
        <w:spacing w:after="0" w:line="32" w:lineRule="exact"/>
        <w:rPr>
          <w:sz w:val="20"/>
          <w:szCs w:val="20"/>
          <w:color w:val="auto"/>
        </w:rPr>
      </w:pPr>
    </w:p>
    <w:p>
      <w:pPr>
        <w:ind w:left="700"/>
        <w:spacing w:after="0"/>
        <w:tabs>
          <w:tab w:leader="dot" w:pos="10480" w:val="left"/>
        </w:tabs>
        <w:rPr>
          <w:sz w:val="20"/>
          <w:szCs w:val="20"/>
          <w:color w:val="auto"/>
        </w:rPr>
      </w:pPr>
      <w:r>
        <w:rPr>
          <w:rFonts w:ascii="Times New Roman" w:cs="Times New Roman" w:eastAsia="Times New Roman" w:hAnsi="Times New Roman"/>
          <w:sz w:val="20"/>
          <w:szCs w:val="20"/>
          <w:color w:val="231F20"/>
        </w:rPr>
        <w:t>Signatures</w:t>
      </w:r>
      <w:r>
        <w:rPr>
          <w:sz w:val="20"/>
          <w:szCs w:val="20"/>
          <w:color w:val="auto"/>
        </w:rPr>
        <w:tab/>
      </w:r>
      <w:r>
        <w:rPr>
          <w:rFonts w:ascii="Times New Roman" w:cs="Times New Roman" w:eastAsia="Times New Roman" w:hAnsi="Times New Roman"/>
          <w:sz w:val="20"/>
          <w:szCs w:val="20"/>
          <w:color w:val="231F20"/>
        </w:rPr>
        <w:t>104</w:t>
      </w:r>
    </w:p>
    <w:p>
      <w:pPr>
        <w:sectPr>
          <w:pgSz w:w="12240" w:h="15840" w:orient="portrait"/>
          <w:cols w:equalWidth="0" w:num="1">
            <w:col w:w="10800"/>
          </w:cols>
          <w:pgMar w:left="720" w:top="970" w:right="720" w:bottom="1440" w:gutter="0" w:footer="0" w:header="0"/>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[THIS PAGE INTENTIONALLY LEFT BLANK]</w:t>
      </w:r>
    </w:p>
    <w:p>
      <w:pPr>
        <w:sectPr>
          <w:pgSz w:w="12240" w:h="15840" w:orient="portrait"/>
          <w:cols w:equalWidth="0" w:num="1">
            <w:col w:w="9360"/>
          </w:cols>
          <w:pgMar w:left="1440" w:top="1440" w:right="1440" w:bottom="1440" w:gutter="0" w:footer="0" w:header="0"/>
        </w:sectPr>
      </w:pPr>
    </w:p>
    <w:bookmarkStart w:id="20" w:name="page21"/>
    <w:bookmarkEnd w:id="20"/>
    <w:p>
      <w:pPr>
        <w:ind w:right="560" w:firstLine="612"/>
        <w:spacing w:after="0" w:line="279" w:lineRule="auto"/>
        <w:rPr>
          <w:sz w:val="20"/>
          <w:szCs w:val="20"/>
          <w:color w:val="auto"/>
        </w:rPr>
      </w:pPr>
      <w:r>
        <w:rPr>
          <w:rFonts w:ascii="Times New Roman" w:cs="Times New Roman" w:eastAsia="Times New Roman" w:hAnsi="Times New Roman"/>
          <w:sz w:val="21"/>
          <w:szCs w:val="21"/>
          <w:color w:val="231F20"/>
        </w:rPr>
        <w:t>In this Annual Report on Form 10-K, the “Company”, “Unitil”, “we”, “us”, “our” and similar terms refer to Unitil Corporation and its subsidiaries, unless the context requires otherwise.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231F20"/>
        </w:rPr>
        <w:t>CAUTIONARY STATEMENT</w:t>
      </w:r>
    </w:p>
    <w:p>
      <w:pPr>
        <w:spacing w:after="0" w:line="118" w:lineRule="exact"/>
        <w:rPr>
          <w:sz w:val="20"/>
          <w:szCs w:val="20"/>
          <w:color w:val="auto"/>
        </w:rPr>
      </w:pPr>
    </w:p>
    <w:p>
      <w:pPr>
        <w:ind w:right="40" w:firstLine="612"/>
        <w:spacing w:after="0" w:line="247" w:lineRule="auto"/>
        <w:rPr>
          <w:sz w:val="20"/>
          <w:szCs w:val="20"/>
          <w:color w:val="auto"/>
        </w:rPr>
      </w:pPr>
      <w:r>
        <w:rPr>
          <w:rFonts w:ascii="Times New Roman" w:cs="Times New Roman" w:eastAsia="Times New Roman" w:hAnsi="Times New Roman"/>
          <w:sz w:val="21"/>
          <w:szCs w:val="21"/>
          <w:color w:val="231F20"/>
        </w:rPr>
        <w:t>This report and the documents incorporated by reference into this report contain statements that may constitute “forward-looking statements” within the meaning of Section 27A of the Securities Act of 1933, as amended, Section 21E of the Securities Exchange Act of 1934, as amended (the “Exchange Act”), and the Private Securities Litigation Reform Act of 1995. All statements, other than statements of historical fact, included or incorporated by reference into this report, including, without limitation, statements regarding the financial position, business strategy and other plans and objectives for the future operations of the Company (as such term is defined in Part I, Item I (Business)), are forward-looking statements.</w:t>
      </w:r>
    </w:p>
    <w:p>
      <w:pPr>
        <w:spacing w:after="0" w:line="198" w:lineRule="exact"/>
        <w:rPr>
          <w:sz w:val="20"/>
          <w:szCs w:val="20"/>
          <w:color w:val="auto"/>
        </w:rPr>
      </w:pPr>
    </w:p>
    <w:p>
      <w:pPr>
        <w:ind w:firstLine="612"/>
        <w:spacing w:after="0" w:line="247" w:lineRule="auto"/>
        <w:rPr>
          <w:sz w:val="20"/>
          <w:szCs w:val="20"/>
          <w:color w:val="auto"/>
        </w:rPr>
      </w:pPr>
      <w:r>
        <w:rPr>
          <w:rFonts w:ascii="Times New Roman" w:cs="Times New Roman" w:eastAsia="Times New Roman" w:hAnsi="Times New Roman"/>
          <w:sz w:val="21"/>
          <w:szCs w:val="21"/>
          <w:color w:val="231F20"/>
        </w:rPr>
        <w:t>These statements include declarations regarding the Company’s beliefs and current expectations. In some cases, forward-looking statements can be identified by terminology such as “may,” “will,” “should,” “expects,” “plans,” “anticipates,” “believes,” “estimates,” “predicts,” “potential” or “continue” or the negative of such terms or other comparable terminology. These forward-looking statements are subject to inherent risks and uncertainties in predicting future results and conditions that could cause the actual results to differ materially from those projected in these forward-looking statements. Some, but not all, of the risks and uncertainties include those described in Part I, Item 1A (Risk Factors) and the following:</w:t>
      </w:r>
    </w:p>
    <w:p>
      <w:pPr>
        <w:spacing w:after="0" w:line="93" w:lineRule="exact"/>
        <w:rPr>
          <w:sz w:val="20"/>
          <w:szCs w:val="20"/>
          <w:color w:val="auto"/>
        </w:rPr>
      </w:pPr>
    </w:p>
    <w:p>
      <w:pPr>
        <w:ind w:left="980" w:right="480" w:hanging="361"/>
        <w:spacing w:after="0" w:line="278" w:lineRule="auto"/>
        <w:tabs>
          <w:tab w:leader="none" w:pos="980" w:val="left"/>
        </w:tabs>
        <w:numPr>
          <w:ilvl w:val="0"/>
          <w:numId w:val="8"/>
        </w:numPr>
        <w:rPr>
          <w:rFonts w:ascii="Arial" w:cs="Arial" w:eastAsia="Arial" w:hAnsi="Arial"/>
          <w:sz w:val="21"/>
          <w:szCs w:val="21"/>
          <w:color w:val="231F20"/>
        </w:rPr>
      </w:pPr>
      <w:r>
        <w:rPr>
          <w:rFonts w:ascii="Times New Roman" w:cs="Times New Roman" w:eastAsia="Times New Roman" w:hAnsi="Times New Roman"/>
          <w:sz w:val="21"/>
          <w:szCs w:val="21"/>
          <w:color w:val="231F20"/>
        </w:rPr>
        <w:t>numerous hazards and operating risks relating to the Company’s electric and natural gas distribution activities, which could result in accidents and other operating risks and costs;</w:t>
      </w:r>
    </w:p>
    <w:p>
      <w:pPr>
        <w:spacing w:after="0" w:line="57" w:lineRule="exact"/>
        <w:rPr>
          <w:rFonts w:ascii="Arial" w:cs="Arial" w:eastAsia="Arial" w:hAnsi="Arial"/>
          <w:sz w:val="21"/>
          <w:szCs w:val="21"/>
          <w:color w:val="231F20"/>
        </w:rPr>
      </w:pPr>
    </w:p>
    <w:p>
      <w:pPr>
        <w:ind w:left="980" w:right="220" w:hanging="361"/>
        <w:spacing w:after="0" w:line="278" w:lineRule="auto"/>
        <w:tabs>
          <w:tab w:leader="none" w:pos="980" w:val="left"/>
        </w:tabs>
        <w:numPr>
          <w:ilvl w:val="0"/>
          <w:numId w:val="8"/>
        </w:numPr>
        <w:rPr>
          <w:rFonts w:ascii="Arial" w:cs="Arial" w:eastAsia="Arial" w:hAnsi="Arial"/>
          <w:sz w:val="21"/>
          <w:szCs w:val="21"/>
          <w:color w:val="231F20"/>
        </w:rPr>
      </w:pPr>
      <w:r>
        <w:rPr>
          <w:rFonts w:ascii="Times New Roman" w:cs="Times New Roman" w:eastAsia="Times New Roman" w:hAnsi="Times New Roman"/>
          <w:sz w:val="21"/>
          <w:szCs w:val="21"/>
          <w:color w:val="231F20"/>
        </w:rPr>
        <w:t>fluctuations in the supply of, demand for, and the prices of, electric and gas energy commodities and transmission and transportation capacity and the Company’s ability to recover energy supply costs in its rates;</w:t>
      </w:r>
    </w:p>
    <w:p>
      <w:pPr>
        <w:spacing w:after="0" w:line="57" w:lineRule="exact"/>
        <w:rPr>
          <w:rFonts w:ascii="Arial" w:cs="Arial" w:eastAsia="Arial" w:hAnsi="Arial"/>
          <w:sz w:val="21"/>
          <w:szCs w:val="21"/>
          <w:color w:val="231F20"/>
        </w:rPr>
      </w:pPr>
    </w:p>
    <w:p>
      <w:pPr>
        <w:ind w:left="980" w:hanging="361"/>
        <w:spacing w:after="0"/>
        <w:tabs>
          <w:tab w:leader="none" w:pos="980" w:val="left"/>
        </w:tabs>
        <w:numPr>
          <w:ilvl w:val="0"/>
          <w:numId w:val="8"/>
        </w:numPr>
        <w:rPr>
          <w:rFonts w:ascii="Arial" w:cs="Arial" w:eastAsia="Arial" w:hAnsi="Arial"/>
          <w:sz w:val="21"/>
          <w:szCs w:val="21"/>
          <w:color w:val="231F20"/>
        </w:rPr>
      </w:pPr>
      <w:r>
        <w:rPr>
          <w:rFonts w:ascii="Times New Roman" w:cs="Times New Roman" w:eastAsia="Times New Roman" w:hAnsi="Times New Roman"/>
          <w:sz w:val="21"/>
          <w:szCs w:val="21"/>
          <w:color w:val="231F20"/>
        </w:rPr>
        <w:t>catastrophic events;</w:t>
      </w:r>
    </w:p>
    <w:p>
      <w:pPr>
        <w:spacing w:after="0" w:line="134" w:lineRule="exact"/>
        <w:rPr>
          <w:rFonts w:ascii="Arial" w:cs="Arial" w:eastAsia="Arial" w:hAnsi="Arial"/>
          <w:sz w:val="21"/>
          <w:szCs w:val="21"/>
          <w:color w:val="231F20"/>
        </w:rPr>
      </w:pPr>
    </w:p>
    <w:p>
      <w:pPr>
        <w:ind w:left="980" w:right="440" w:hanging="361"/>
        <w:spacing w:after="0" w:line="259" w:lineRule="auto"/>
        <w:tabs>
          <w:tab w:leader="none" w:pos="980" w:val="left"/>
        </w:tabs>
        <w:numPr>
          <w:ilvl w:val="0"/>
          <w:numId w:val="8"/>
        </w:numPr>
        <w:rPr>
          <w:rFonts w:ascii="Arial" w:cs="Arial" w:eastAsia="Arial" w:hAnsi="Arial"/>
          <w:sz w:val="21"/>
          <w:szCs w:val="21"/>
          <w:color w:val="231F20"/>
        </w:rPr>
      </w:pPr>
      <w:r>
        <w:rPr>
          <w:rFonts w:ascii="Times New Roman" w:cs="Times New Roman" w:eastAsia="Times New Roman" w:hAnsi="Times New Roman"/>
          <w:sz w:val="21"/>
          <w:szCs w:val="21"/>
          <w:color w:val="231F20"/>
        </w:rPr>
        <w:t>cyber-attacks, acts of terrorism, acts of war, severe weather, a solar event, an electromagnetic event, a natural disaster, the age and condition of information technology assets, human error, or other factors could disrupt the Company’s operations and cause the Company to incur unanticipated losses and expense;</w:t>
      </w:r>
    </w:p>
    <w:p>
      <w:pPr>
        <w:spacing w:after="0" w:line="76" w:lineRule="exact"/>
        <w:rPr>
          <w:rFonts w:ascii="Arial" w:cs="Arial" w:eastAsia="Arial" w:hAnsi="Arial"/>
          <w:sz w:val="21"/>
          <w:szCs w:val="21"/>
          <w:color w:val="231F20"/>
        </w:rPr>
      </w:pPr>
    </w:p>
    <w:p>
      <w:pPr>
        <w:ind w:left="980" w:right="360" w:hanging="361"/>
        <w:spacing w:after="0" w:line="252" w:lineRule="auto"/>
        <w:tabs>
          <w:tab w:leader="none" w:pos="980" w:val="left"/>
        </w:tabs>
        <w:numPr>
          <w:ilvl w:val="0"/>
          <w:numId w:val="8"/>
        </w:numPr>
        <w:rPr>
          <w:rFonts w:ascii="Arial" w:cs="Arial" w:eastAsia="Arial" w:hAnsi="Arial"/>
          <w:sz w:val="21"/>
          <w:szCs w:val="21"/>
          <w:color w:val="231F20"/>
        </w:rPr>
      </w:pPr>
      <w:r>
        <w:rPr>
          <w:rFonts w:ascii="Times New Roman" w:cs="Times New Roman" w:eastAsia="Times New Roman" w:hAnsi="Times New Roman"/>
          <w:sz w:val="21"/>
          <w:szCs w:val="21"/>
          <w:color w:val="231F20"/>
        </w:rPr>
        <w:t>outsourcing of services to third parties could expose us to substandard quality of service delivery or substandard deliverables, which may result in missed deadlines or other timeliness issues, non-compliance (including with applicable legal requirements and industry standards) or reputational harm, which could negatively affect the Company’s results of operations;</w:t>
      </w:r>
    </w:p>
    <w:p>
      <w:pPr>
        <w:spacing w:after="0" w:line="85" w:lineRule="exact"/>
        <w:rPr>
          <w:rFonts w:ascii="Arial" w:cs="Arial" w:eastAsia="Arial" w:hAnsi="Arial"/>
          <w:sz w:val="21"/>
          <w:szCs w:val="21"/>
          <w:color w:val="231F20"/>
        </w:rPr>
      </w:pPr>
    </w:p>
    <w:p>
      <w:pPr>
        <w:ind w:left="980" w:right="780" w:hanging="361"/>
        <w:spacing w:after="0" w:line="278" w:lineRule="auto"/>
        <w:tabs>
          <w:tab w:leader="none" w:pos="980" w:val="left"/>
        </w:tabs>
        <w:numPr>
          <w:ilvl w:val="0"/>
          <w:numId w:val="8"/>
        </w:numPr>
        <w:rPr>
          <w:rFonts w:ascii="Arial" w:cs="Arial" w:eastAsia="Arial" w:hAnsi="Arial"/>
          <w:sz w:val="21"/>
          <w:szCs w:val="21"/>
          <w:color w:val="231F20"/>
        </w:rPr>
      </w:pPr>
      <w:r>
        <w:rPr>
          <w:rFonts w:ascii="Times New Roman" w:cs="Times New Roman" w:eastAsia="Times New Roman" w:hAnsi="Times New Roman"/>
          <w:sz w:val="21"/>
          <w:szCs w:val="21"/>
          <w:color w:val="231F20"/>
        </w:rPr>
        <w:t>unforeseen or changing circumstances, which could adversely affect the reduction of Company-wide direct greenhouse gas emissions;</w:t>
      </w:r>
    </w:p>
    <w:p>
      <w:pPr>
        <w:spacing w:after="0" w:line="57" w:lineRule="exact"/>
        <w:rPr>
          <w:rFonts w:ascii="Arial" w:cs="Arial" w:eastAsia="Arial" w:hAnsi="Arial"/>
          <w:sz w:val="21"/>
          <w:szCs w:val="21"/>
          <w:color w:val="231F20"/>
        </w:rPr>
      </w:pPr>
    </w:p>
    <w:p>
      <w:pPr>
        <w:ind w:left="980" w:hanging="361"/>
        <w:spacing w:after="0" w:line="252" w:lineRule="auto"/>
        <w:tabs>
          <w:tab w:leader="none" w:pos="980" w:val="left"/>
        </w:tabs>
        <w:numPr>
          <w:ilvl w:val="0"/>
          <w:numId w:val="8"/>
        </w:numPr>
        <w:rPr>
          <w:rFonts w:ascii="Arial" w:cs="Arial" w:eastAsia="Arial" w:hAnsi="Arial"/>
          <w:sz w:val="21"/>
          <w:szCs w:val="21"/>
          <w:color w:val="231F20"/>
        </w:rPr>
      </w:pPr>
      <w:r>
        <w:rPr>
          <w:rFonts w:ascii="Times New Roman" w:cs="Times New Roman" w:eastAsia="Times New Roman" w:hAnsi="Times New Roman"/>
          <w:sz w:val="21"/>
          <w:szCs w:val="21"/>
          <w:color w:val="231F20"/>
        </w:rPr>
        <w:t>the Company’s regulatory and legislative environment (including laws and regulations relating to climate change, greenhouse gas emissions and other environmental matters) could affect the rates the Company is able to charge, the Company’s authorized rate of return, the Company’s ability to recover costs in its rates, the Company’s financial condition, results of operations and cash flows, and the scope of the Company’s regulated activities;</w:t>
      </w:r>
    </w:p>
    <w:p>
      <w:pPr>
        <w:spacing w:after="0" w:line="85" w:lineRule="exact"/>
        <w:rPr>
          <w:rFonts w:ascii="Arial" w:cs="Arial" w:eastAsia="Arial" w:hAnsi="Arial"/>
          <w:sz w:val="21"/>
          <w:szCs w:val="21"/>
          <w:color w:val="231F20"/>
        </w:rPr>
      </w:pPr>
    </w:p>
    <w:p>
      <w:pPr>
        <w:ind w:left="980" w:right="420" w:hanging="361"/>
        <w:spacing w:after="0" w:line="259" w:lineRule="auto"/>
        <w:tabs>
          <w:tab w:leader="none" w:pos="980" w:val="left"/>
        </w:tabs>
        <w:numPr>
          <w:ilvl w:val="0"/>
          <w:numId w:val="8"/>
        </w:numPr>
        <w:rPr>
          <w:rFonts w:ascii="Arial" w:cs="Arial" w:eastAsia="Arial" w:hAnsi="Arial"/>
          <w:sz w:val="21"/>
          <w:szCs w:val="21"/>
          <w:color w:val="231F20"/>
        </w:rPr>
      </w:pPr>
      <w:r>
        <w:rPr>
          <w:rFonts w:ascii="Times New Roman" w:cs="Times New Roman" w:eastAsia="Times New Roman" w:hAnsi="Times New Roman"/>
          <w:sz w:val="21"/>
          <w:szCs w:val="21"/>
          <w:color w:val="231F20"/>
        </w:rPr>
        <w:t>general economic conditions, which could adversely affect (i) the Company’s customers and, consequently, the demand for the Company’s distribution services, (ii) the availability of credit and liquidity resources, and (iii) certain of the Company’s counterparty’s obligations (including those of its insurers and lenders);</w:t>
      </w:r>
    </w:p>
    <w:p>
      <w:pPr>
        <w:spacing w:after="0" w:line="76" w:lineRule="exact"/>
        <w:rPr>
          <w:rFonts w:ascii="Arial" w:cs="Arial" w:eastAsia="Arial" w:hAnsi="Arial"/>
          <w:sz w:val="21"/>
          <w:szCs w:val="21"/>
          <w:color w:val="231F20"/>
        </w:rPr>
      </w:pPr>
    </w:p>
    <w:p>
      <w:pPr>
        <w:ind w:left="980" w:hanging="361"/>
        <w:spacing w:after="0"/>
        <w:tabs>
          <w:tab w:leader="none" w:pos="980" w:val="left"/>
        </w:tabs>
        <w:numPr>
          <w:ilvl w:val="0"/>
          <w:numId w:val="8"/>
        </w:numPr>
        <w:rPr>
          <w:rFonts w:ascii="Arial" w:cs="Arial" w:eastAsia="Arial" w:hAnsi="Arial"/>
          <w:sz w:val="21"/>
          <w:szCs w:val="21"/>
          <w:color w:val="231F20"/>
        </w:rPr>
      </w:pPr>
      <w:r>
        <w:rPr>
          <w:rFonts w:ascii="Times New Roman" w:cs="Times New Roman" w:eastAsia="Times New Roman" w:hAnsi="Times New Roman"/>
          <w:sz w:val="21"/>
          <w:szCs w:val="21"/>
          <w:color w:val="231F20"/>
        </w:rPr>
        <w:t>the Company’s ability to obtain debt or equity financing on acceptable terms;</w:t>
      </w:r>
    </w:p>
    <w:p>
      <w:pPr>
        <w:spacing w:after="0" w:line="134" w:lineRule="exact"/>
        <w:rPr>
          <w:rFonts w:ascii="Arial" w:cs="Arial" w:eastAsia="Arial" w:hAnsi="Arial"/>
          <w:sz w:val="21"/>
          <w:szCs w:val="21"/>
          <w:color w:val="231F20"/>
        </w:rPr>
      </w:pPr>
    </w:p>
    <w:p>
      <w:pPr>
        <w:ind w:left="980" w:hanging="361"/>
        <w:spacing w:after="0"/>
        <w:tabs>
          <w:tab w:leader="none" w:pos="980" w:val="left"/>
        </w:tabs>
        <w:numPr>
          <w:ilvl w:val="0"/>
          <w:numId w:val="8"/>
        </w:numPr>
        <w:rPr>
          <w:rFonts w:ascii="Arial" w:cs="Arial" w:eastAsia="Arial" w:hAnsi="Arial"/>
          <w:sz w:val="21"/>
          <w:szCs w:val="21"/>
          <w:color w:val="231F20"/>
        </w:rPr>
      </w:pPr>
      <w:r>
        <w:rPr>
          <w:rFonts w:ascii="Times New Roman" w:cs="Times New Roman" w:eastAsia="Times New Roman" w:hAnsi="Times New Roman"/>
          <w:sz w:val="21"/>
          <w:szCs w:val="21"/>
          <w:color w:val="231F20"/>
        </w:rPr>
        <w:t>increases in interest rates, which could increase the Company’s interest expense;</w:t>
      </w:r>
    </w:p>
    <w:p>
      <w:pPr>
        <w:spacing w:after="0" w:line="134" w:lineRule="exact"/>
        <w:rPr>
          <w:rFonts w:ascii="Arial" w:cs="Arial" w:eastAsia="Arial" w:hAnsi="Arial"/>
          <w:sz w:val="21"/>
          <w:szCs w:val="21"/>
          <w:color w:val="231F20"/>
        </w:rPr>
      </w:pPr>
    </w:p>
    <w:p>
      <w:pPr>
        <w:ind w:left="980" w:hanging="361"/>
        <w:spacing w:after="0"/>
        <w:tabs>
          <w:tab w:leader="none" w:pos="980" w:val="left"/>
        </w:tabs>
        <w:numPr>
          <w:ilvl w:val="0"/>
          <w:numId w:val="8"/>
        </w:numPr>
        <w:rPr>
          <w:rFonts w:ascii="Arial" w:cs="Arial" w:eastAsia="Arial" w:hAnsi="Arial"/>
          <w:sz w:val="21"/>
          <w:szCs w:val="21"/>
          <w:color w:val="231F20"/>
        </w:rPr>
      </w:pPr>
      <w:r>
        <w:rPr>
          <w:rFonts w:ascii="Times New Roman" w:cs="Times New Roman" w:eastAsia="Times New Roman" w:hAnsi="Times New Roman"/>
          <w:sz w:val="21"/>
          <w:szCs w:val="21"/>
          <w:color w:val="231F20"/>
        </w:rPr>
        <w:t>the Company’s payment of dividends in the future;</w:t>
      </w:r>
    </w:p>
    <w:p>
      <w:pPr>
        <w:spacing w:after="0" w:line="157" w:lineRule="exact"/>
        <w:rPr>
          <w:rFonts w:ascii="Arial" w:cs="Arial" w:eastAsia="Arial" w:hAnsi="Arial"/>
          <w:sz w:val="21"/>
          <w:szCs w:val="21"/>
          <w:color w:val="231F20"/>
        </w:rPr>
      </w:pPr>
    </w:p>
    <w:p>
      <w:pPr>
        <w:ind w:left="980" w:right="180" w:hanging="361"/>
        <w:spacing w:after="0" w:line="278" w:lineRule="auto"/>
        <w:tabs>
          <w:tab w:leader="none" w:pos="980" w:val="left"/>
        </w:tabs>
        <w:numPr>
          <w:ilvl w:val="0"/>
          <w:numId w:val="8"/>
        </w:numPr>
        <w:rPr>
          <w:rFonts w:ascii="Arial" w:cs="Arial" w:eastAsia="Arial" w:hAnsi="Arial"/>
          <w:sz w:val="21"/>
          <w:szCs w:val="21"/>
          <w:color w:val="231F20"/>
        </w:rPr>
      </w:pPr>
      <w:r>
        <w:rPr>
          <w:rFonts w:ascii="Times New Roman" w:cs="Times New Roman" w:eastAsia="Times New Roman" w:hAnsi="Times New Roman"/>
          <w:sz w:val="21"/>
          <w:szCs w:val="21"/>
          <w:color w:val="231F20"/>
        </w:rPr>
        <w:t>declines in capital markets valuations, which could require the Company to make substantial cash contributions to cover its pension obligations, and the Company’s ability to recover pension obligation costs in its rates;</w:t>
      </w:r>
    </w:p>
    <w:p>
      <w:pPr>
        <w:spacing w:after="0" w:line="57" w:lineRule="exact"/>
        <w:rPr>
          <w:rFonts w:ascii="Arial" w:cs="Arial" w:eastAsia="Arial" w:hAnsi="Arial"/>
          <w:sz w:val="21"/>
          <w:szCs w:val="21"/>
          <w:color w:val="231F20"/>
        </w:rPr>
      </w:pPr>
    </w:p>
    <w:p>
      <w:pPr>
        <w:ind w:left="980" w:right="140" w:hanging="361"/>
        <w:spacing w:after="0" w:line="259" w:lineRule="auto"/>
        <w:tabs>
          <w:tab w:leader="none" w:pos="980" w:val="left"/>
        </w:tabs>
        <w:numPr>
          <w:ilvl w:val="0"/>
          <w:numId w:val="8"/>
        </w:numPr>
        <w:rPr>
          <w:rFonts w:ascii="Arial" w:cs="Arial" w:eastAsia="Arial" w:hAnsi="Arial"/>
          <w:sz w:val="21"/>
          <w:szCs w:val="21"/>
          <w:color w:val="231F20"/>
        </w:rPr>
      </w:pPr>
      <w:r>
        <w:rPr>
          <w:rFonts w:ascii="Times New Roman" w:cs="Times New Roman" w:eastAsia="Times New Roman" w:hAnsi="Times New Roman"/>
          <w:sz w:val="21"/>
          <w:szCs w:val="21"/>
          <w:color w:val="231F20"/>
        </w:rPr>
        <w:t>the Company’s ability to consummate acquisitions or other strategic transactions, to successfully integrate any acquired assets or business, or derive value from strategic transactions and investment, including but not limited to the completed acquisitions of Bangor Natural Gas Company and Maine Natural Gas Corporation;</w:t>
      </w:r>
    </w:p>
    <w:p>
      <w:pPr>
        <w:sectPr>
          <w:pgSz w:w="12240" w:h="15840" w:orient="portrait"/>
          <w:cols w:equalWidth="0" w:num="1">
            <w:col w:w="10760"/>
          </w:cols>
          <w:pgMar w:left="720" w:top="929" w:right="760" w:bottom="1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231F20"/>
        </w:rPr>
        <w:t>1</w:t>
      </w:r>
    </w:p>
    <w:p>
      <w:pPr>
        <w:sectPr>
          <w:pgSz w:w="12240" w:h="15840" w:orient="portrait"/>
          <w:cols w:equalWidth="0" w:num="1">
            <w:col w:w="10760"/>
          </w:cols>
          <w:pgMar w:left="720" w:top="929" w:right="760" w:bottom="176" w:gutter="0" w:footer="0" w:header="0"/>
          <w:type w:val="continuous"/>
        </w:sectPr>
      </w:pPr>
    </w:p>
    <w:bookmarkStart w:id="21" w:name="page22"/>
    <w:bookmarkEnd w:id="21"/>
    <w:p>
      <w:pPr>
        <w:ind w:left="980" w:right="720" w:hanging="361"/>
        <w:spacing w:after="0" w:line="278" w:lineRule="auto"/>
        <w:tabs>
          <w:tab w:leader="none" w:pos="980" w:val="left"/>
        </w:tabs>
        <w:numPr>
          <w:ilvl w:val="0"/>
          <w:numId w:val="9"/>
        </w:numPr>
        <w:rPr>
          <w:rFonts w:ascii="Arial" w:cs="Arial" w:eastAsia="Arial" w:hAnsi="Arial"/>
          <w:sz w:val="21"/>
          <w:szCs w:val="21"/>
          <w:color w:val="231F20"/>
        </w:rPr>
      </w:pPr>
      <w:r>
        <w:rPr>
          <w:rFonts w:ascii="Times New Roman" w:cs="Times New Roman" w:eastAsia="Times New Roman" w:hAnsi="Times New Roman"/>
          <w:sz w:val="21"/>
          <w:szCs w:val="21"/>
          <w:color w:val="231F20"/>
        </w:rPr>
        <w:t>impairment of the Company’s assets (including long-lived assets and goodwill), could negatively impact the Company’s financial condition and results of operations;</w:t>
      </w:r>
    </w:p>
    <w:p>
      <w:pPr>
        <w:spacing w:after="0" w:line="57" w:lineRule="exact"/>
        <w:rPr>
          <w:rFonts w:ascii="Arial" w:cs="Arial" w:eastAsia="Arial" w:hAnsi="Arial"/>
          <w:sz w:val="21"/>
          <w:szCs w:val="21"/>
          <w:color w:val="231F20"/>
        </w:rPr>
      </w:pPr>
    </w:p>
    <w:p>
      <w:pPr>
        <w:ind w:left="980" w:right="500" w:hanging="361"/>
        <w:spacing w:after="0" w:line="278" w:lineRule="auto"/>
        <w:tabs>
          <w:tab w:leader="none" w:pos="980" w:val="left"/>
        </w:tabs>
        <w:numPr>
          <w:ilvl w:val="0"/>
          <w:numId w:val="9"/>
        </w:numPr>
        <w:rPr>
          <w:rFonts w:ascii="Arial" w:cs="Arial" w:eastAsia="Arial" w:hAnsi="Arial"/>
          <w:sz w:val="21"/>
          <w:szCs w:val="21"/>
          <w:color w:val="231F20"/>
        </w:rPr>
      </w:pPr>
      <w:r>
        <w:rPr>
          <w:rFonts w:ascii="Times New Roman" w:cs="Times New Roman" w:eastAsia="Times New Roman" w:hAnsi="Times New Roman"/>
          <w:sz w:val="21"/>
          <w:szCs w:val="21"/>
          <w:color w:val="231F20"/>
        </w:rPr>
        <w:t>restrictive covenants contained in the terms of the Company’s and its subsidiaries’ indebtedness, which restrict certain aspects of the Company’s business operations:</w:t>
      </w:r>
    </w:p>
    <w:p>
      <w:pPr>
        <w:spacing w:after="0" w:line="57" w:lineRule="exact"/>
        <w:rPr>
          <w:rFonts w:ascii="Arial" w:cs="Arial" w:eastAsia="Arial" w:hAnsi="Arial"/>
          <w:sz w:val="21"/>
          <w:szCs w:val="21"/>
          <w:color w:val="231F20"/>
        </w:rPr>
      </w:pPr>
    </w:p>
    <w:p>
      <w:pPr>
        <w:ind w:left="980" w:hanging="361"/>
        <w:spacing w:after="0"/>
        <w:tabs>
          <w:tab w:leader="none" w:pos="980" w:val="left"/>
        </w:tabs>
        <w:numPr>
          <w:ilvl w:val="0"/>
          <w:numId w:val="9"/>
        </w:numPr>
        <w:rPr>
          <w:rFonts w:ascii="Arial" w:cs="Arial" w:eastAsia="Arial" w:hAnsi="Arial"/>
          <w:sz w:val="21"/>
          <w:szCs w:val="21"/>
          <w:color w:val="231F20"/>
        </w:rPr>
      </w:pPr>
      <w:r>
        <w:rPr>
          <w:rFonts w:ascii="Times New Roman" w:cs="Times New Roman" w:eastAsia="Times New Roman" w:hAnsi="Times New Roman"/>
          <w:sz w:val="21"/>
          <w:szCs w:val="21"/>
          <w:color w:val="231F20"/>
        </w:rPr>
        <w:t>customers’ preferred energy sources;</w:t>
      </w:r>
    </w:p>
    <w:p>
      <w:pPr>
        <w:spacing w:after="0" w:line="134" w:lineRule="exact"/>
        <w:rPr>
          <w:rFonts w:ascii="Arial" w:cs="Arial" w:eastAsia="Arial" w:hAnsi="Arial"/>
          <w:sz w:val="21"/>
          <w:szCs w:val="21"/>
          <w:color w:val="231F20"/>
        </w:rPr>
      </w:pPr>
    </w:p>
    <w:p>
      <w:pPr>
        <w:ind w:left="980" w:hanging="361"/>
        <w:spacing w:after="0"/>
        <w:tabs>
          <w:tab w:leader="none" w:pos="980" w:val="left"/>
        </w:tabs>
        <w:numPr>
          <w:ilvl w:val="0"/>
          <w:numId w:val="9"/>
        </w:numPr>
        <w:rPr>
          <w:rFonts w:ascii="Arial" w:cs="Arial" w:eastAsia="Arial" w:hAnsi="Arial"/>
          <w:sz w:val="21"/>
          <w:szCs w:val="21"/>
          <w:color w:val="231F20"/>
        </w:rPr>
      </w:pPr>
      <w:r>
        <w:rPr>
          <w:rFonts w:ascii="Times New Roman" w:cs="Times New Roman" w:eastAsia="Times New Roman" w:hAnsi="Times New Roman"/>
          <w:sz w:val="21"/>
          <w:szCs w:val="21"/>
          <w:color w:val="231F20"/>
        </w:rPr>
        <w:t>severe storms and the Company’s ability to recover storm costs in its rates;</w:t>
      </w:r>
    </w:p>
    <w:p>
      <w:pPr>
        <w:spacing w:after="0" w:line="134" w:lineRule="exact"/>
        <w:rPr>
          <w:rFonts w:ascii="Arial" w:cs="Arial" w:eastAsia="Arial" w:hAnsi="Arial"/>
          <w:sz w:val="21"/>
          <w:szCs w:val="21"/>
          <w:color w:val="231F20"/>
        </w:rPr>
      </w:pPr>
    </w:p>
    <w:p>
      <w:pPr>
        <w:ind w:left="980" w:hanging="361"/>
        <w:spacing w:after="0"/>
        <w:tabs>
          <w:tab w:leader="none" w:pos="980" w:val="left"/>
        </w:tabs>
        <w:numPr>
          <w:ilvl w:val="0"/>
          <w:numId w:val="9"/>
        </w:numPr>
        <w:rPr>
          <w:rFonts w:ascii="Arial" w:cs="Arial" w:eastAsia="Arial" w:hAnsi="Arial"/>
          <w:sz w:val="21"/>
          <w:szCs w:val="21"/>
          <w:color w:val="231F20"/>
        </w:rPr>
      </w:pPr>
      <w:r>
        <w:rPr>
          <w:rFonts w:ascii="Times New Roman" w:cs="Times New Roman" w:eastAsia="Times New Roman" w:hAnsi="Times New Roman"/>
          <w:sz w:val="21"/>
          <w:szCs w:val="21"/>
          <w:color w:val="231F20"/>
        </w:rPr>
        <w:t>variations in weather, which could decrease demand for the Company’s distribution services;</w:t>
      </w:r>
    </w:p>
    <w:p>
      <w:pPr>
        <w:spacing w:after="0" w:line="134" w:lineRule="exact"/>
        <w:rPr>
          <w:rFonts w:ascii="Arial" w:cs="Arial" w:eastAsia="Arial" w:hAnsi="Arial"/>
          <w:sz w:val="21"/>
          <w:szCs w:val="21"/>
          <w:color w:val="231F20"/>
        </w:rPr>
      </w:pPr>
    </w:p>
    <w:p>
      <w:pPr>
        <w:ind w:left="980" w:right="240" w:hanging="361"/>
        <w:spacing w:after="0" w:line="278" w:lineRule="auto"/>
        <w:tabs>
          <w:tab w:leader="none" w:pos="980" w:val="left"/>
        </w:tabs>
        <w:numPr>
          <w:ilvl w:val="0"/>
          <w:numId w:val="9"/>
        </w:numPr>
        <w:rPr>
          <w:rFonts w:ascii="Arial" w:cs="Arial" w:eastAsia="Arial" w:hAnsi="Arial"/>
          <w:sz w:val="21"/>
          <w:szCs w:val="21"/>
          <w:color w:val="231F20"/>
        </w:rPr>
      </w:pPr>
      <w:r>
        <w:rPr>
          <w:rFonts w:ascii="Times New Roman" w:cs="Times New Roman" w:eastAsia="Times New Roman" w:hAnsi="Times New Roman"/>
          <w:sz w:val="21"/>
          <w:szCs w:val="21"/>
          <w:color w:val="231F20"/>
        </w:rPr>
        <w:t>long-term global climate change, which could adversely affect customer demand or cause extreme weather events that could disrupt the Company’s electric and natural gas distribution services;</w:t>
      </w:r>
    </w:p>
    <w:p>
      <w:pPr>
        <w:spacing w:after="0" w:line="57" w:lineRule="exact"/>
        <w:rPr>
          <w:rFonts w:ascii="Arial" w:cs="Arial" w:eastAsia="Arial" w:hAnsi="Arial"/>
          <w:sz w:val="21"/>
          <w:szCs w:val="21"/>
          <w:color w:val="231F20"/>
        </w:rPr>
      </w:pPr>
    </w:p>
    <w:p>
      <w:pPr>
        <w:ind w:left="980" w:hanging="361"/>
        <w:spacing w:after="0"/>
        <w:tabs>
          <w:tab w:leader="none" w:pos="980" w:val="left"/>
        </w:tabs>
        <w:numPr>
          <w:ilvl w:val="0"/>
          <w:numId w:val="9"/>
        </w:numPr>
        <w:rPr>
          <w:rFonts w:ascii="Arial" w:cs="Arial" w:eastAsia="Arial" w:hAnsi="Arial"/>
          <w:sz w:val="21"/>
          <w:szCs w:val="21"/>
          <w:color w:val="231F20"/>
        </w:rPr>
      </w:pPr>
      <w:r>
        <w:rPr>
          <w:rFonts w:ascii="Times New Roman" w:cs="Times New Roman" w:eastAsia="Times New Roman" w:hAnsi="Times New Roman"/>
          <w:sz w:val="21"/>
          <w:szCs w:val="21"/>
          <w:color w:val="231F20"/>
        </w:rPr>
        <w:t>macroeconomic events, including the imposition of tariffs;</w:t>
      </w:r>
    </w:p>
    <w:p>
      <w:pPr>
        <w:spacing w:after="0" w:line="134" w:lineRule="exact"/>
        <w:rPr>
          <w:rFonts w:ascii="Arial" w:cs="Arial" w:eastAsia="Arial" w:hAnsi="Arial"/>
          <w:sz w:val="21"/>
          <w:szCs w:val="21"/>
          <w:color w:val="231F20"/>
        </w:rPr>
      </w:pPr>
    </w:p>
    <w:p>
      <w:pPr>
        <w:ind w:left="980" w:hanging="361"/>
        <w:spacing w:after="0"/>
        <w:tabs>
          <w:tab w:leader="none" w:pos="980" w:val="left"/>
        </w:tabs>
        <w:numPr>
          <w:ilvl w:val="0"/>
          <w:numId w:val="9"/>
        </w:numPr>
        <w:rPr>
          <w:rFonts w:ascii="Arial" w:cs="Arial" w:eastAsia="Arial" w:hAnsi="Arial"/>
          <w:sz w:val="21"/>
          <w:szCs w:val="21"/>
          <w:color w:val="231F20"/>
        </w:rPr>
      </w:pPr>
      <w:r>
        <w:rPr>
          <w:rFonts w:ascii="Times New Roman" w:cs="Times New Roman" w:eastAsia="Times New Roman" w:hAnsi="Times New Roman"/>
          <w:sz w:val="21"/>
          <w:szCs w:val="21"/>
          <w:color w:val="231F20"/>
        </w:rPr>
        <w:t>employee workforce factors, including the ability to attract and retain key personnel;</w:t>
      </w:r>
    </w:p>
    <w:p>
      <w:pPr>
        <w:spacing w:after="0" w:line="134" w:lineRule="exact"/>
        <w:rPr>
          <w:rFonts w:ascii="Arial" w:cs="Arial" w:eastAsia="Arial" w:hAnsi="Arial"/>
          <w:sz w:val="21"/>
          <w:szCs w:val="21"/>
          <w:color w:val="231F20"/>
        </w:rPr>
      </w:pPr>
    </w:p>
    <w:p>
      <w:pPr>
        <w:ind w:left="980" w:hanging="361"/>
        <w:spacing w:after="0"/>
        <w:tabs>
          <w:tab w:leader="none" w:pos="980" w:val="left"/>
        </w:tabs>
        <w:numPr>
          <w:ilvl w:val="0"/>
          <w:numId w:val="9"/>
        </w:numPr>
        <w:rPr>
          <w:rFonts w:ascii="Arial" w:cs="Arial" w:eastAsia="Arial" w:hAnsi="Arial"/>
          <w:sz w:val="21"/>
          <w:szCs w:val="21"/>
          <w:color w:val="231F20"/>
        </w:rPr>
      </w:pPr>
      <w:r>
        <w:rPr>
          <w:rFonts w:ascii="Times New Roman" w:cs="Times New Roman" w:eastAsia="Times New Roman" w:hAnsi="Times New Roman"/>
          <w:sz w:val="21"/>
          <w:szCs w:val="21"/>
          <w:color w:val="231F20"/>
        </w:rPr>
        <w:t>the Company’s ability to retain its existing customers and attract new customers;</w:t>
      </w:r>
    </w:p>
    <w:p>
      <w:pPr>
        <w:spacing w:after="0" w:line="134" w:lineRule="exact"/>
        <w:rPr>
          <w:rFonts w:ascii="Arial" w:cs="Arial" w:eastAsia="Arial" w:hAnsi="Arial"/>
          <w:sz w:val="21"/>
          <w:szCs w:val="21"/>
          <w:color w:val="231F20"/>
        </w:rPr>
      </w:pPr>
    </w:p>
    <w:p>
      <w:pPr>
        <w:ind w:left="980" w:hanging="361"/>
        <w:spacing w:after="0"/>
        <w:tabs>
          <w:tab w:leader="none" w:pos="980" w:val="left"/>
        </w:tabs>
        <w:numPr>
          <w:ilvl w:val="0"/>
          <w:numId w:val="9"/>
        </w:numPr>
        <w:rPr>
          <w:rFonts w:ascii="Arial" w:cs="Arial" w:eastAsia="Arial" w:hAnsi="Arial"/>
          <w:sz w:val="21"/>
          <w:szCs w:val="21"/>
          <w:color w:val="231F20"/>
        </w:rPr>
      </w:pPr>
      <w:r>
        <w:rPr>
          <w:rFonts w:ascii="Times New Roman" w:cs="Times New Roman" w:eastAsia="Times New Roman" w:hAnsi="Times New Roman"/>
          <w:sz w:val="21"/>
          <w:szCs w:val="21"/>
          <w:color w:val="231F20"/>
        </w:rPr>
        <w:t>increased competition; and</w:t>
      </w:r>
    </w:p>
    <w:p>
      <w:pPr>
        <w:spacing w:after="0" w:line="134" w:lineRule="exact"/>
        <w:rPr>
          <w:rFonts w:ascii="Arial" w:cs="Arial" w:eastAsia="Arial" w:hAnsi="Arial"/>
          <w:sz w:val="21"/>
          <w:szCs w:val="21"/>
          <w:color w:val="231F20"/>
        </w:rPr>
      </w:pPr>
    </w:p>
    <w:p>
      <w:pPr>
        <w:ind w:left="980" w:hanging="361"/>
        <w:spacing w:after="0"/>
        <w:tabs>
          <w:tab w:leader="none" w:pos="980" w:val="left"/>
        </w:tabs>
        <w:numPr>
          <w:ilvl w:val="0"/>
          <w:numId w:val="9"/>
        </w:numPr>
        <w:rPr>
          <w:rFonts w:ascii="Arial" w:cs="Arial" w:eastAsia="Arial" w:hAnsi="Arial"/>
          <w:sz w:val="21"/>
          <w:szCs w:val="21"/>
          <w:color w:val="231F20"/>
        </w:rPr>
      </w:pPr>
      <w:r>
        <w:rPr>
          <w:rFonts w:ascii="Times New Roman" w:cs="Times New Roman" w:eastAsia="Times New Roman" w:hAnsi="Times New Roman"/>
          <w:sz w:val="21"/>
          <w:szCs w:val="21"/>
          <w:color w:val="231F20"/>
        </w:rPr>
        <w:t>other presently unknown or unforeseen factors.</w:t>
      </w:r>
    </w:p>
    <w:p>
      <w:pPr>
        <w:spacing w:after="0" w:line="239" w:lineRule="exact"/>
        <w:rPr>
          <w:sz w:val="20"/>
          <w:szCs w:val="20"/>
          <w:color w:val="auto"/>
        </w:rPr>
      </w:pPr>
    </w:p>
    <w:p>
      <w:pPr>
        <w:ind w:firstLine="612"/>
        <w:spacing w:after="0" w:line="247" w:lineRule="auto"/>
        <w:rPr>
          <w:sz w:val="20"/>
          <w:szCs w:val="20"/>
          <w:color w:val="auto"/>
        </w:rPr>
      </w:pPr>
      <w:r>
        <w:rPr>
          <w:rFonts w:ascii="Times New Roman" w:cs="Times New Roman" w:eastAsia="Times New Roman" w:hAnsi="Times New Roman"/>
          <w:sz w:val="21"/>
          <w:szCs w:val="21"/>
          <w:color w:val="231F20"/>
        </w:rPr>
        <w:t>Many of these risks are beyond the Company’s control. Any forward-looking statements speak only as of the date of this report, and the Company undertakes no obligation to update any forward-looking statements to reflect events or circumstances after the date on which such statements are made or to reflect the occurrence of unanticipated events, except as required by law. New factors emerge from time to time, and it is not possible for the Company to predict all such factors, nor can the Company assess the effect of any such factor on its business or the extent to which any factor, or combination of factors, may cause results to differ materially from those contained in any forward-looking statements.</w:t>
      </w:r>
    </w:p>
    <w:p>
      <w:pPr>
        <w:sectPr>
          <w:pgSz w:w="12240" w:h="15840" w:orient="portrait"/>
          <w:cols w:equalWidth="0" w:num="1">
            <w:col w:w="10800"/>
          </w:cols>
          <w:pgMar w:left="720" w:top="944" w:right="720" w:bottom="1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231F20"/>
        </w:rPr>
        <w:t>2</w:t>
      </w:r>
    </w:p>
    <w:p>
      <w:pPr>
        <w:sectPr>
          <w:pgSz w:w="12240" w:h="15840" w:orient="portrait"/>
          <w:cols w:equalWidth="0" w:num="1">
            <w:col w:w="10800"/>
          </w:cols>
          <w:pgMar w:left="720" w:top="944" w:right="720" w:bottom="176"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21"/>
          <w:szCs w:val="21"/>
          <w:b w:val="1"/>
          <w:bCs w:val="1"/>
          <w:color w:val="231F20"/>
        </w:rPr>
        <w:t>PART 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Item 1. Business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231F20"/>
        </w:rPr>
        <w:t>UNITIL CORPORATION</w:t>
      </w:r>
    </w:p>
    <w:p>
      <w:pPr>
        <w:spacing w:after="0" w:line="118" w:lineRule="exact"/>
        <w:rPr>
          <w:sz w:val="20"/>
          <w:szCs w:val="20"/>
          <w:color w:val="auto"/>
        </w:rPr>
      </w:pPr>
    </w:p>
    <w:p>
      <w:pPr>
        <w:ind w:right="80" w:firstLine="612"/>
        <w:spacing w:after="0" w:line="259" w:lineRule="auto"/>
        <w:rPr>
          <w:sz w:val="20"/>
          <w:szCs w:val="20"/>
          <w:color w:val="auto"/>
        </w:rPr>
      </w:pPr>
      <w:r>
        <w:rPr>
          <w:rFonts w:ascii="Times New Roman" w:cs="Times New Roman" w:eastAsia="Times New Roman" w:hAnsi="Times New Roman"/>
          <w:sz w:val="21"/>
          <w:szCs w:val="21"/>
          <w:color w:val="231F20"/>
        </w:rPr>
        <w:t>In this Annual Report on Form 10-K, the “Company”, “Unitil”, “we”, and “our” refer to Unitil Corporation and its subsidiaries, unless the context requires otherwise. Unitil is a public utility holding company incorporated under the laws of the State of New Hampshire in 1984. The following companies are wholly-owned subsidiaries of Unitil:</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State and Year of</w:t>
            </w:r>
          </w:p>
        </w:tc>
        <w:tc>
          <w:tcPr>
            <w:tcW w:w="220" w:type="dxa"/>
            <w:vAlign w:val="bottom"/>
          </w:tcPr>
          <w:p>
            <w:pPr>
              <w:spacing w:after="0"/>
              <w:rPr>
                <w:sz w:val="16"/>
                <w:szCs w:val="16"/>
                <w:color w:val="auto"/>
              </w:rPr>
            </w:pPr>
          </w:p>
        </w:tc>
        <w:tc>
          <w:tcPr>
            <w:tcW w:w="4280" w:type="dxa"/>
            <w:vAlign w:val="bottom"/>
          </w:tcPr>
          <w:p>
            <w:pPr>
              <w:spacing w:after="0"/>
              <w:rPr>
                <w:sz w:val="16"/>
                <w:szCs w:val="16"/>
                <w:color w:val="auto"/>
              </w:rPr>
            </w:pPr>
          </w:p>
        </w:tc>
      </w:tr>
      <w:tr>
        <w:trPr>
          <w:trHeight w:val="203"/>
        </w:trPr>
        <w:tc>
          <w:tcPr>
            <w:tcW w:w="4640" w:type="dxa"/>
            <w:vAlign w:val="bottom"/>
            <w:tcBorders>
              <w:bottom w:val="single" w:sz="8" w:color="231F20"/>
            </w:tcBorders>
          </w:tcPr>
          <w:p>
            <w:pPr>
              <w:ind w:left="1760"/>
              <w:spacing w:after="0"/>
              <w:rPr>
                <w:sz w:val="20"/>
                <w:szCs w:val="20"/>
                <w:color w:val="auto"/>
              </w:rPr>
            </w:pPr>
            <w:r>
              <w:rPr>
                <w:rFonts w:ascii="Times New Roman" w:cs="Times New Roman" w:eastAsia="Times New Roman" w:hAnsi="Times New Roman"/>
                <w:sz w:val="16"/>
                <w:szCs w:val="16"/>
                <w:b w:val="1"/>
                <w:bCs w:val="1"/>
                <w:color w:val="231F20"/>
              </w:rPr>
              <w:t>Company Name</w:t>
            </w:r>
          </w:p>
        </w:tc>
        <w:tc>
          <w:tcPr>
            <w:tcW w:w="220" w:type="dxa"/>
            <w:vAlign w:val="bottom"/>
          </w:tcPr>
          <w:p>
            <w:pPr>
              <w:spacing w:after="0"/>
              <w:rPr>
                <w:sz w:val="17"/>
                <w:szCs w:val="17"/>
                <w:color w:val="auto"/>
              </w:rPr>
            </w:pPr>
          </w:p>
        </w:tc>
        <w:tc>
          <w:tcPr>
            <w:tcW w:w="14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Organization</w:t>
            </w:r>
          </w:p>
        </w:tc>
        <w:tc>
          <w:tcPr>
            <w:tcW w:w="220" w:type="dxa"/>
            <w:vAlign w:val="bottom"/>
          </w:tcPr>
          <w:p>
            <w:pPr>
              <w:spacing w:after="0"/>
              <w:rPr>
                <w:sz w:val="17"/>
                <w:szCs w:val="17"/>
                <w:color w:val="auto"/>
              </w:rPr>
            </w:pPr>
          </w:p>
        </w:tc>
        <w:tc>
          <w:tcPr>
            <w:tcW w:w="4280" w:type="dxa"/>
            <w:vAlign w:val="bottom"/>
            <w:tcBorders>
              <w:bottom w:val="single" w:sz="8" w:color="231F20"/>
            </w:tcBorders>
          </w:tcPr>
          <w:p>
            <w:pPr>
              <w:ind w:left="1520"/>
              <w:spacing w:after="0"/>
              <w:rPr>
                <w:sz w:val="20"/>
                <w:szCs w:val="20"/>
                <w:color w:val="auto"/>
              </w:rPr>
            </w:pPr>
            <w:r>
              <w:rPr>
                <w:rFonts w:ascii="Times New Roman" w:cs="Times New Roman" w:eastAsia="Times New Roman" w:hAnsi="Times New Roman"/>
                <w:sz w:val="16"/>
                <w:szCs w:val="16"/>
                <w:b w:val="1"/>
                <w:bCs w:val="1"/>
                <w:color w:val="231F20"/>
              </w:rPr>
              <w:t>Principal Business</w:t>
            </w:r>
          </w:p>
        </w:tc>
      </w:tr>
      <w:tr>
        <w:trPr>
          <w:trHeight w:val="235"/>
        </w:trPr>
        <w:tc>
          <w:tcPr>
            <w:tcW w:w="4640" w:type="dxa"/>
            <w:vAlign w:val="bottom"/>
          </w:tcPr>
          <w:p>
            <w:pPr>
              <w:spacing w:after="0"/>
              <w:rPr>
                <w:sz w:val="20"/>
                <w:szCs w:val="20"/>
                <w:color w:val="auto"/>
              </w:rPr>
            </w:pPr>
            <w:r>
              <w:rPr>
                <w:rFonts w:ascii="Times New Roman" w:cs="Times New Roman" w:eastAsia="Times New Roman" w:hAnsi="Times New Roman"/>
                <w:sz w:val="19"/>
                <w:szCs w:val="19"/>
                <w:color w:val="231F20"/>
              </w:rPr>
              <w:t>Unitil Energy Systems, Inc. (Unitil Energy)</w:t>
            </w:r>
          </w:p>
        </w:tc>
        <w:tc>
          <w:tcPr>
            <w:tcW w:w="2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NH - 1901</w:t>
            </w:r>
          </w:p>
        </w:tc>
        <w:tc>
          <w:tcPr>
            <w:tcW w:w="2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9"/>
                <w:szCs w:val="19"/>
                <w:color w:val="231F20"/>
              </w:rPr>
              <w:t>Electric Distribution Utility</w:t>
            </w:r>
          </w:p>
        </w:tc>
      </w:tr>
      <w:tr>
        <w:trPr>
          <w:trHeight w:val="242"/>
        </w:trPr>
        <w:tc>
          <w:tcPr>
            <w:tcW w:w="4640" w:type="dxa"/>
            <w:vAlign w:val="bottom"/>
          </w:tcPr>
          <w:p>
            <w:pPr>
              <w:spacing w:after="0"/>
              <w:rPr>
                <w:sz w:val="20"/>
                <w:szCs w:val="20"/>
                <w:color w:val="auto"/>
              </w:rPr>
            </w:pPr>
            <w:r>
              <w:rPr>
                <w:rFonts w:ascii="Times New Roman" w:cs="Times New Roman" w:eastAsia="Times New Roman" w:hAnsi="Times New Roman"/>
                <w:sz w:val="19"/>
                <w:szCs w:val="19"/>
                <w:color w:val="231F20"/>
              </w:rPr>
              <w:t>Fitchburg Gas and Electric Light Company (Fitchburg)</w:t>
            </w:r>
          </w:p>
        </w:tc>
        <w:tc>
          <w:tcPr>
            <w:tcW w:w="2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9"/>
              </w:rPr>
              <w:t>MA - 1852</w:t>
            </w:r>
          </w:p>
        </w:tc>
        <w:tc>
          <w:tcPr>
            <w:tcW w:w="220" w:type="dxa"/>
            <w:vAlign w:val="bottom"/>
          </w:tcPr>
          <w:p>
            <w:pPr>
              <w:spacing w:after="0"/>
              <w:rPr>
                <w:sz w:val="21"/>
                <w:szCs w:val="21"/>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9"/>
                <w:szCs w:val="19"/>
                <w:color w:val="231F20"/>
              </w:rPr>
              <w:t>Electric &amp; Natural Gas Distribution Utility</w:t>
            </w:r>
          </w:p>
        </w:tc>
      </w:tr>
      <w:tr>
        <w:trPr>
          <w:trHeight w:val="242"/>
        </w:trPr>
        <w:tc>
          <w:tcPr>
            <w:tcW w:w="4640" w:type="dxa"/>
            <w:vAlign w:val="bottom"/>
          </w:tcPr>
          <w:p>
            <w:pPr>
              <w:spacing w:after="0"/>
              <w:rPr>
                <w:sz w:val="20"/>
                <w:szCs w:val="20"/>
                <w:color w:val="auto"/>
              </w:rPr>
            </w:pPr>
            <w:r>
              <w:rPr>
                <w:rFonts w:ascii="Times New Roman" w:cs="Times New Roman" w:eastAsia="Times New Roman" w:hAnsi="Times New Roman"/>
                <w:sz w:val="19"/>
                <w:szCs w:val="19"/>
                <w:color w:val="231F20"/>
              </w:rPr>
              <w:t>Northern Utilities, Inc. (Northern Utilities)</w:t>
            </w:r>
          </w:p>
        </w:tc>
        <w:tc>
          <w:tcPr>
            <w:tcW w:w="2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8"/>
              </w:rPr>
              <w:t>NH - 1979</w:t>
            </w:r>
          </w:p>
        </w:tc>
        <w:tc>
          <w:tcPr>
            <w:tcW w:w="45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231F20"/>
              </w:rPr>
              <w:t>Natural Gas Distribution Utility</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9"/>
                <w:szCs w:val="19"/>
                <w:color w:val="231F20"/>
              </w:rPr>
              <w:t>Bangor Natural Gas Company (Bangor)</w:t>
            </w:r>
          </w:p>
        </w:tc>
        <w:tc>
          <w:tcPr>
            <w:tcW w:w="2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9"/>
              </w:rPr>
              <w:t>ME - 1998</w:t>
            </w:r>
          </w:p>
        </w:tc>
        <w:tc>
          <w:tcPr>
            <w:tcW w:w="45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231F20"/>
              </w:rPr>
              <w:t>Natural Gas Distribution Utility</w:t>
            </w:r>
          </w:p>
        </w:tc>
      </w:tr>
      <w:tr>
        <w:trPr>
          <w:trHeight w:val="218"/>
        </w:trPr>
        <w:tc>
          <w:tcPr>
            <w:tcW w:w="4640" w:type="dxa"/>
            <w:vAlign w:val="bottom"/>
          </w:tcPr>
          <w:p>
            <w:pPr>
              <w:spacing w:after="0"/>
              <w:rPr>
                <w:sz w:val="20"/>
                <w:szCs w:val="20"/>
                <w:color w:val="auto"/>
              </w:rPr>
            </w:pPr>
            <w:r>
              <w:rPr>
                <w:rFonts w:ascii="Times New Roman" w:cs="Times New Roman" w:eastAsia="Times New Roman" w:hAnsi="Times New Roman"/>
                <w:sz w:val="19"/>
                <w:szCs w:val="19"/>
                <w:color w:val="231F20"/>
              </w:rPr>
              <w:t>Maine Natural Gas Corporation (Maine Natural)</w:t>
            </w:r>
          </w:p>
        </w:tc>
        <w:tc>
          <w:tcPr>
            <w:tcW w:w="2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9"/>
              </w:rPr>
              <w:t>ME - 1998</w:t>
            </w:r>
          </w:p>
        </w:tc>
        <w:tc>
          <w:tcPr>
            <w:tcW w:w="45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231F20"/>
              </w:rPr>
              <w:t>Natural Gas Distribution Utility</w:t>
            </w:r>
          </w:p>
        </w:tc>
      </w:tr>
      <w:tr>
        <w:trPr>
          <w:trHeight w:val="242"/>
        </w:trPr>
        <w:tc>
          <w:tcPr>
            <w:tcW w:w="4640" w:type="dxa"/>
            <w:vAlign w:val="bottom"/>
          </w:tcPr>
          <w:p>
            <w:pPr>
              <w:spacing w:after="0"/>
              <w:rPr>
                <w:sz w:val="20"/>
                <w:szCs w:val="20"/>
                <w:color w:val="auto"/>
              </w:rPr>
            </w:pPr>
            <w:r>
              <w:rPr>
                <w:rFonts w:ascii="Times New Roman" w:cs="Times New Roman" w:eastAsia="Times New Roman" w:hAnsi="Times New Roman"/>
                <w:sz w:val="19"/>
                <w:szCs w:val="19"/>
                <w:color w:val="231F20"/>
              </w:rPr>
              <w:t>Granite State Gas Transmission, Inc. (Granite State)</w:t>
            </w:r>
          </w:p>
        </w:tc>
        <w:tc>
          <w:tcPr>
            <w:tcW w:w="2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NH - 1955</w:t>
            </w:r>
          </w:p>
        </w:tc>
        <w:tc>
          <w:tcPr>
            <w:tcW w:w="45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231F20"/>
              </w:rPr>
              <w:t>Natural Gas Transmission Pipeline</w:t>
            </w:r>
          </w:p>
        </w:tc>
      </w:tr>
      <w:tr>
        <w:trPr>
          <w:trHeight w:val="241"/>
        </w:trPr>
        <w:tc>
          <w:tcPr>
            <w:tcW w:w="4640" w:type="dxa"/>
            <w:vAlign w:val="bottom"/>
          </w:tcPr>
          <w:p>
            <w:pPr>
              <w:spacing w:after="0"/>
              <w:rPr>
                <w:sz w:val="20"/>
                <w:szCs w:val="20"/>
                <w:color w:val="auto"/>
              </w:rPr>
            </w:pPr>
            <w:r>
              <w:rPr>
                <w:rFonts w:ascii="Times New Roman" w:cs="Times New Roman" w:eastAsia="Times New Roman" w:hAnsi="Times New Roman"/>
                <w:sz w:val="19"/>
                <w:szCs w:val="19"/>
                <w:color w:val="231F20"/>
              </w:rPr>
              <w:t>Unitil Power Corp. (Unitil Power)</w:t>
            </w:r>
          </w:p>
        </w:tc>
        <w:tc>
          <w:tcPr>
            <w:tcW w:w="2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NH - 1984</w:t>
            </w:r>
          </w:p>
        </w:tc>
        <w:tc>
          <w:tcPr>
            <w:tcW w:w="220" w:type="dxa"/>
            <w:vAlign w:val="bottom"/>
          </w:tcPr>
          <w:p>
            <w:pPr>
              <w:spacing w:after="0"/>
              <w:rPr>
                <w:sz w:val="21"/>
                <w:szCs w:val="21"/>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9"/>
                <w:szCs w:val="19"/>
                <w:color w:val="231F20"/>
              </w:rPr>
              <w:t>Wholesale Electric Power Utility</w:t>
            </w:r>
          </w:p>
        </w:tc>
      </w:tr>
      <w:tr>
        <w:trPr>
          <w:trHeight w:val="241"/>
        </w:trPr>
        <w:tc>
          <w:tcPr>
            <w:tcW w:w="4640" w:type="dxa"/>
            <w:vAlign w:val="bottom"/>
          </w:tcPr>
          <w:p>
            <w:pPr>
              <w:spacing w:after="0"/>
              <w:rPr>
                <w:sz w:val="20"/>
                <w:szCs w:val="20"/>
                <w:color w:val="auto"/>
              </w:rPr>
            </w:pPr>
            <w:r>
              <w:rPr>
                <w:rFonts w:ascii="Times New Roman" w:cs="Times New Roman" w:eastAsia="Times New Roman" w:hAnsi="Times New Roman"/>
                <w:sz w:val="19"/>
                <w:szCs w:val="19"/>
                <w:color w:val="231F20"/>
              </w:rPr>
              <w:t>Unitil Service Corp. (Unitil Service)</w:t>
            </w:r>
          </w:p>
        </w:tc>
        <w:tc>
          <w:tcPr>
            <w:tcW w:w="2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NH - 1984</w:t>
            </w:r>
          </w:p>
        </w:tc>
        <w:tc>
          <w:tcPr>
            <w:tcW w:w="220" w:type="dxa"/>
            <w:vAlign w:val="bottom"/>
          </w:tcPr>
          <w:p>
            <w:pPr>
              <w:spacing w:after="0"/>
              <w:rPr>
                <w:sz w:val="21"/>
                <w:szCs w:val="21"/>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9"/>
                <w:szCs w:val="19"/>
                <w:color w:val="231F20"/>
              </w:rPr>
              <w:t>Utility Service Company</w:t>
            </w:r>
          </w:p>
        </w:tc>
      </w:tr>
      <w:tr>
        <w:trPr>
          <w:trHeight w:val="241"/>
        </w:trPr>
        <w:tc>
          <w:tcPr>
            <w:tcW w:w="4640" w:type="dxa"/>
            <w:vAlign w:val="bottom"/>
          </w:tcPr>
          <w:p>
            <w:pPr>
              <w:spacing w:after="0"/>
              <w:rPr>
                <w:sz w:val="20"/>
                <w:szCs w:val="20"/>
                <w:color w:val="auto"/>
              </w:rPr>
            </w:pPr>
            <w:r>
              <w:rPr>
                <w:rFonts w:ascii="Times New Roman" w:cs="Times New Roman" w:eastAsia="Times New Roman" w:hAnsi="Times New Roman"/>
                <w:sz w:val="19"/>
                <w:szCs w:val="19"/>
                <w:color w:val="231F20"/>
              </w:rPr>
              <w:t>Unitil Realty Corp. (Unitil Realty)</w:t>
            </w:r>
          </w:p>
        </w:tc>
        <w:tc>
          <w:tcPr>
            <w:tcW w:w="2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NH - 1986</w:t>
            </w:r>
          </w:p>
        </w:tc>
        <w:tc>
          <w:tcPr>
            <w:tcW w:w="220" w:type="dxa"/>
            <w:vAlign w:val="bottom"/>
          </w:tcPr>
          <w:p>
            <w:pPr>
              <w:spacing w:after="0"/>
              <w:rPr>
                <w:sz w:val="21"/>
                <w:szCs w:val="21"/>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9"/>
                <w:szCs w:val="19"/>
                <w:color w:val="231F20"/>
              </w:rPr>
              <w:t>Real Estate Management</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9"/>
                <w:szCs w:val="19"/>
                <w:color w:val="231F20"/>
              </w:rPr>
              <w:t>Unitil Resources, Inc. (Unitil Resources)</w:t>
            </w:r>
          </w:p>
        </w:tc>
        <w:tc>
          <w:tcPr>
            <w:tcW w:w="2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NH - 1993</w:t>
            </w:r>
          </w:p>
        </w:tc>
        <w:tc>
          <w:tcPr>
            <w:tcW w:w="45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231F20"/>
              </w:rPr>
              <w:t>Non-regulated Energy Services</w:t>
            </w:r>
          </w:p>
        </w:tc>
      </w:tr>
      <w:tr>
        <w:trPr>
          <w:trHeight w:val="255"/>
        </w:trPr>
        <w:tc>
          <w:tcPr>
            <w:tcW w:w="4640" w:type="dxa"/>
            <w:vAlign w:val="bottom"/>
          </w:tcPr>
          <w:p>
            <w:pPr>
              <w:spacing w:after="0"/>
              <w:rPr>
                <w:sz w:val="20"/>
                <w:szCs w:val="20"/>
                <w:color w:val="auto"/>
              </w:rPr>
            </w:pPr>
            <w:r>
              <w:rPr>
                <w:rFonts w:ascii="Times New Roman" w:cs="Times New Roman" w:eastAsia="Times New Roman" w:hAnsi="Times New Roman"/>
                <w:sz w:val="19"/>
                <w:szCs w:val="19"/>
                <w:color w:val="231F20"/>
              </w:rPr>
              <w:t>Unitil Water Corp. (Unitil Water)</w:t>
            </w:r>
          </w:p>
        </w:tc>
        <w:tc>
          <w:tcPr>
            <w:tcW w:w="22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NH - 2025</w:t>
            </w:r>
          </w:p>
        </w:tc>
        <w:tc>
          <w:tcPr>
            <w:tcW w:w="45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231F20"/>
              </w:rPr>
              <w:t>Non-regulated Company</w:t>
            </w:r>
          </w:p>
        </w:tc>
      </w:tr>
    </w:tbl>
    <w:p>
      <w:pPr>
        <w:spacing w:after="0" w:line="238" w:lineRule="exact"/>
        <w:rPr>
          <w:sz w:val="20"/>
          <w:szCs w:val="20"/>
          <w:color w:val="auto"/>
        </w:rPr>
      </w:pPr>
    </w:p>
    <w:p>
      <w:pPr>
        <w:ind w:right="540" w:firstLine="612"/>
        <w:spacing w:after="0" w:line="279" w:lineRule="auto"/>
        <w:rPr>
          <w:sz w:val="20"/>
          <w:szCs w:val="20"/>
          <w:color w:val="auto"/>
        </w:rPr>
      </w:pPr>
      <w:r>
        <w:rPr>
          <w:rFonts w:ascii="Times New Roman" w:cs="Times New Roman" w:eastAsia="Times New Roman" w:hAnsi="Times New Roman"/>
          <w:sz w:val="21"/>
          <w:szCs w:val="21"/>
          <w:color w:val="231F20"/>
        </w:rPr>
        <w:t>Unitil and its subsidiaries are subject to regulation as a holding company system by the Federal Energy Regulatory Commission (FERC) under the Energy Policy Act of 2005.</w:t>
      </w:r>
    </w:p>
    <w:p>
      <w:pPr>
        <w:spacing w:after="0" w:line="162" w:lineRule="exact"/>
        <w:rPr>
          <w:sz w:val="20"/>
          <w:szCs w:val="20"/>
          <w:color w:val="auto"/>
        </w:rPr>
      </w:pPr>
    </w:p>
    <w:p>
      <w:pPr>
        <w:ind w:firstLine="612"/>
        <w:spacing w:after="0" w:line="243" w:lineRule="auto"/>
        <w:rPr>
          <w:sz w:val="20"/>
          <w:szCs w:val="20"/>
          <w:color w:val="auto"/>
        </w:rPr>
      </w:pPr>
      <w:r>
        <w:rPr>
          <w:rFonts w:ascii="Times New Roman" w:cs="Times New Roman" w:eastAsia="Times New Roman" w:hAnsi="Times New Roman"/>
          <w:sz w:val="21"/>
          <w:szCs w:val="21"/>
          <w:color w:val="231F20"/>
        </w:rPr>
        <w:t>Unitil’s principal business is the local distribution of electricity and natural gas to approximately 215,100 customers throughout its service territories in the states of New Hampshire, Massachusetts and Maine. Unitil is the parent company of five wholly -owned distribution utilities: i) Unitil Energy, which provides electric service in the southeastern seacoast and state capital regions of New Hampshire, including the capital city of Concord, ii) Fitchburg, which provides both electric and natural gas service in the greater Fitchburg area of north central Massachusetts, iii) Northern Utilities, which provides natural gas service in southeastern New Hampshire and portions of southern and central Maine, including the city of Portland, which is the largest city in northern New England, iv) Bangor, which provides natural gas service in the Bangor area of central Maine, and v) Maine Natural, which provides natural gas service in southern and central Maine, including the greater Portland region, as well as the capital city of Augusta. In addition, Unitil is the parent company of Granite State, an interstate natural gas transmission pipeline company that provides interstate natural gas pipeline access and transportation services to Northern Utilities in its New Hampshire and Maine service territory. Together, Unitil’s five distribution utilities serve approximately 110,100 electric customers and 105,000 natural gas customers.</w:t>
      </w:r>
    </w:p>
    <w:p>
      <w:pPr>
        <w:spacing w:after="0" w:line="256" w:lineRule="exact"/>
        <w:rPr>
          <w:sz w:val="20"/>
          <w:szCs w:val="20"/>
          <w:color w:val="auto"/>
        </w:rPr>
      </w:pPr>
    </w:p>
    <w:tbl>
      <w:tblPr>
        <w:tblLayout w:type="fixed"/>
        <w:tblInd w:w="540" w:type="dxa"/>
        <w:tblCellMar>
          <w:top w:w="0" w:type="dxa"/>
          <w:left w:w="0" w:type="dxa"/>
          <w:bottom w:w="0" w:type="dxa"/>
          <w:right w:w="0" w:type="dxa"/>
        </w:tblCellMar>
      </w:tblPr>
      <w:tr>
        <w:trPr>
          <w:trHeight w:val="213"/>
        </w:trPr>
        <w:tc>
          <w:tcPr>
            <w:tcW w:w="5580" w:type="dxa"/>
            <w:vAlign w:val="bottom"/>
          </w:tcPr>
          <w:p>
            <w:pPr>
              <w:spacing w:after="0"/>
              <w:rPr>
                <w:sz w:val="18"/>
                <w:szCs w:val="18"/>
                <w:color w:val="auto"/>
              </w:rPr>
            </w:pPr>
          </w:p>
        </w:tc>
        <w:tc>
          <w:tcPr>
            <w:tcW w:w="408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231F20"/>
              </w:rPr>
              <w:t>Customers Served as of December 31, 2025</w:t>
            </w:r>
          </w:p>
        </w:tc>
        <w:tc>
          <w:tcPr>
            <w:tcW w:w="60" w:type="dxa"/>
            <w:vAlign w:val="bottom"/>
          </w:tcPr>
          <w:p>
            <w:pPr>
              <w:spacing w:after="0"/>
              <w:rPr>
                <w:sz w:val="18"/>
                <w:szCs w:val="18"/>
                <w:color w:val="auto"/>
              </w:rPr>
            </w:pPr>
          </w:p>
        </w:tc>
      </w:tr>
      <w:tr>
        <w:trPr>
          <w:trHeight w:val="184"/>
        </w:trPr>
        <w:tc>
          <w:tcPr>
            <w:tcW w:w="5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Commercial &amp;</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5580" w:type="dxa"/>
            <w:vAlign w:val="bottom"/>
            <w:tcBorders>
              <w:bottom w:val="single" w:sz="8" w:color="E6E7E8"/>
            </w:tcBorders>
          </w:tcPr>
          <w:p>
            <w:pPr>
              <w:spacing w:after="0"/>
              <w:rPr>
                <w:sz w:val="17"/>
                <w:szCs w:val="17"/>
                <w:color w:val="auto"/>
              </w:rPr>
            </w:pPr>
          </w:p>
        </w:tc>
        <w:tc>
          <w:tcPr>
            <w:tcW w:w="1200" w:type="dxa"/>
            <w:vAlign w:val="bottom"/>
            <w:tcBorders>
              <w:bottom w:val="single" w:sz="8" w:color="231F20"/>
            </w:tcBorders>
          </w:tcPr>
          <w:p>
            <w:pPr>
              <w:jc w:val="right"/>
              <w:ind w:right="128"/>
              <w:spacing w:after="0"/>
              <w:rPr>
                <w:sz w:val="20"/>
                <w:szCs w:val="20"/>
                <w:color w:val="auto"/>
              </w:rPr>
            </w:pPr>
            <w:r>
              <w:rPr>
                <w:rFonts w:ascii="Times New Roman" w:cs="Times New Roman" w:eastAsia="Times New Roman" w:hAnsi="Times New Roman"/>
                <w:sz w:val="16"/>
                <w:szCs w:val="16"/>
                <w:b w:val="1"/>
                <w:bCs w:val="1"/>
                <w:color w:val="231F20"/>
              </w:rPr>
              <w:t>Residential</w:t>
            </w:r>
          </w:p>
        </w:tc>
        <w:tc>
          <w:tcPr>
            <w:tcW w:w="240" w:type="dxa"/>
            <w:vAlign w:val="bottom"/>
            <w:tcBorders>
              <w:bottom w:val="single" w:sz="8" w:color="E6E7E8"/>
            </w:tcBorders>
          </w:tcPr>
          <w:p>
            <w:pPr>
              <w:spacing w:after="0"/>
              <w:rPr>
                <w:sz w:val="17"/>
                <w:szCs w:val="17"/>
                <w:color w:val="auto"/>
              </w:rPr>
            </w:pPr>
          </w:p>
        </w:tc>
        <w:tc>
          <w:tcPr>
            <w:tcW w:w="12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Industrial (C&amp;I)</w:t>
            </w:r>
          </w:p>
        </w:tc>
        <w:tc>
          <w:tcPr>
            <w:tcW w:w="220" w:type="dxa"/>
            <w:vAlign w:val="bottom"/>
            <w:tcBorders>
              <w:bottom w:val="single" w:sz="8" w:color="E6E7E8"/>
            </w:tcBorders>
          </w:tcPr>
          <w:p>
            <w:pPr>
              <w:spacing w:after="0"/>
              <w:rPr>
                <w:sz w:val="17"/>
                <w:szCs w:val="17"/>
                <w:color w:val="auto"/>
              </w:rPr>
            </w:pPr>
          </w:p>
        </w:tc>
        <w:tc>
          <w:tcPr>
            <w:tcW w:w="1220" w:type="dxa"/>
            <w:vAlign w:val="bottom"/>
            <w:tcBorders>
              <w:bottom w:val="single" w:sz="8" w:color="231F20"/>
            </w:tcBorders>
          </w:tcPr>
          <w:p>
            <w:pPr>
              <w:jc w:val="right"/>
              <w:ind w:right="348"/>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60" w:type="dxa"/>
            <w:vAlign w:val="bottom"/>
            <w:tcBorders>
              <w:bottom w:val="single" w:sz="8" w:color="E6E7E8"/>
            </w:tcBorders>
          </w:tcPr>
          <w:p>
            <w:pPr>
              <w:spacing w:after="0"/>
              <w:rPr>
                <w:sz w:val="17"/>
                <w:szCs w:val="17"/>
                <w:color w:val="auto"/>
              </w:rPr>
            </w:pPr>
          </w:p>
        </w:tc>
      </w:tr>
      <w:tr>
        <w:trPr>
          <w:trHeight w:val="228"/>
        </w:trPr>
        <w:tc>
          <w:tcPr>
            <w:tcW w:w="5580" w:type="dxa"/>
            <w:vAlign w:val="bottom"/>
            <w:shd w:val="clear" w:color="auto" w:fill="E6E7E8"/>
          </w:tcPr>
          <w:p>
            <w:pPr>
              <w:spacing w:after="0"/>
              <w:rPr>
                <w:sz w:val="20"/>
                <w:szCs w:val="20"/>
                <w:color w:val="auto"/>
              </w:rPr>
            </w:pPr>
            <w:r>
              <w:rPr>
                <w:rFonts w:ascii="Times New Roman" w:cs="Times New Roman" w:eastAsia="Times New Roman" w:hAnsi="Times New Roman"/>
                <w:sz w:val="19"/>
                <w:szCs w:val="19"/>
                <w:color w:val="231F20"/>
              </w:rPr>
              <w:t>Electric:</w:t>
            </w:r>
          </w:p>
        </w:tc>
        <w:tc>
          <w:tcPr>
            <w:tcW w:w="1200" w:type="dxa"/>
            <w:vAlign w:val="bottom"/>
            <w:shd w:val="clear" w:color="auto" w:fill="E6E7E8"/>
          </w:tcPr>
          <w:p>
            <w:pPr>
              <w:spacing w:after="0"/>
              <w:rPr>
                <w:sz w:val="19"/>
                <w:szCs w:val="19"/>
                <w:color w:val="auto"/>
              </w:rPr>
            </w:pPr>
          </w:p>
        </w:tc>
        <w:tc>
          <w:tcPr>
            <w:tcW w:w="240" w:type="dxa"/>
            <w:vAlign w:val="bottom"/>
            <w:shd w:val="clear" w:color="auto" w:fill="E6E7E8"/>
          </w:tcPr>
          <w:p>
            <w:pPr>
              <w:spacing w:after="0"/>
              <w:rPr>
                <w:sz w:val="19"/>
                <w:szCs w:val="19"/>
                <w:color w:val="auto"/>
              </w:rPr>
            </w:pPr>
          </w:p>
        </w:tc>
        <w:tc>
          <w:tcPr>
            <w:tcW w:w="1200" w:type="dxa"/>
            <w:vAlign w:val="bottom"/>
            <w:shd w:val="clear" w:color="auto" w:fill="E6E7E8"/>
          </w:tcPr>
          <w:p>
            <w:pPr>
              <w:spacing w:after="0"/>
              <w:rPr>
                <w:sz w:val="19"/>
                <w:szCs w:val="19"/>
                <w:color w:val="auto"/>
              </w:rPr>
            </w:pPr>
          </w:p>
        </w:tc>
        <w:tc>
          <w:tcPr>
            <w:tcW w:w="220" w:type="dxa"/>
            <w:vAlign w:val="bottom"/>
            <w:shd w:val="clear" w:color="auto" w:fill="E6E7E8"/>
          </w:tcPr>
          <w:p>
            <w:pPr>
              <w:spacing w:after="0"/>
              <w:rPr>
                <w:sz w:val="19"/>
                <w:szCs w:val="19"/>
                <w:color w:val="auto"/>
              </w:rPr>
            </w:pPr>
          </w:p>
        </w:tc>
        <w:tc>
          <w:tcPr>
            <w:tcW w:w="1220" w:type="dxa"/>
            <w:vAlign w:val="bottom"/>
            <w:shd w:val="clear" w:color="auto" w:fill="E6E7E8"/>
          </w:tcPr>
          <w:p>
            <w:pPr>
              <w:spacing w:after="0"/>
              <w:rPr>
                <w:sz w:val="19"/>
                <w:szCs w:val="19"/>
                <w:color w:val="auto"/>
              </w:rPr>
            </w:pPr>
          </w:p>
        </w:tc>
        <w:tc>
          <w:tcPr>
            <w:tcW w:w="60" w:type="dxa"/>
            <w:vAlign w:val="bottom"/>
            <w:shd w:val="clear" w:color="auto" w:fill="E6E7E8"/>
          </w:tcPr>
          <w:p>
            <w:pPr>
              <w:spacing w:after="0"/>
              <w:rPr>
                <w:sz w:val="19"/>
                <w:szCs w:val="19"/>
                <w:color w:val="auto"/>
              </w:rPr>
            </w:pPr>
          </w:p>
        </w:tc>
      </w:tr>
      <w:tr>
        <w:trPr>
          <w:trHeight w:val="233"/>
        </w:trPr>
        <w:tc>
          <w:tcPr>
            <w:tcW w:w="558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Unitil Energy</w:t>
            </w: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67,879</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11,532</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79,411</w:t>
            </w:r>
          </w:p>
        </w:tc>
        <w:tc>
          <w:tcPr>
            <w:tcW w:w="60" w:type="dxa"/>
            <w:vAlign w:val="bottom"/>
          </w:tcPr>
          <w:p>
            <w:pPr>
              <w:spacing w:after="0"/>
              <w:rPr>
                <w:sz w:val="20"/>
                <w:szCs w:val="20"/>
                <w:color w:val="auto"/>
              </w:rPr>
            </w:pPr>
          </w:p>
        </w:tc>
      </w:tr>
      <w:tr>
        <w:trPr>
          <w:trHeight w:val="233"/>
        </w:trPr>
        <w:tc>
          <w:tcPr>
            <w:tcW w:w="558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Fitchburg</w:t>
            </w:r>
          </w:p>
        </w:tc>
        <w:tc>
          <w:tcPr>
            <w:tcW w:w="12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26,422</w:t>
            </w:r>
          </w:p>
        </w:tc>
        <w:tc>
          <w:tcPr>
            <w:tcW w:w="1440" w:type="dxa"/>
            <w:vAlign w:val="bottom"/>
            <w:gridSpan w:val="2"/>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4,231</w:t>
            </w:r>
          </w:p>
        </w:tc>
        <w:tc>
          <w:tcPr>
            <w:tcW w:w="1440" w:type="dxa"/>
            <w:vAlign w:val="bottom"/>
            <w:gridSpan w:val="2"/>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30,653</w:t>
            </w:r>
          </w:p>
        </w:tc>
        <w:tc>
          <w:tcPr>
            <w:tcW w:w="60" w:type="dxa"/>
            <w:vAlign w:val="bottom"/>
            <w:shd w:val="clear" w:color="auto" w:fill="E6E7E8"/>
          </w:tcPr>
          <w:p>
            <w:pPr>
              <w:spacing w:after="0"/>
              <w:rPr>
                <w:sz w:val="20"/>
                <w:szCs w:val="20"/>
                <w:color w:val="auto"/>
              </w:rPr>
            </w:pPr>
          </w:p>
        </w:tc>
      </w:tr>
      <w:tr>
        <w:trPr>
          <w:trHeight w:val="228"/>
        </w:trPr>
        <w:tc>
          <w:tcPr>
            <w:tcW w:w="5580" w:type="dxa"/>
            <w:vAlign w:val="bottom"/>
            <w:tcBorders>
              <w:bottom w:val="single" w:sz="8" w:color="E6E7E8"/>
            </w:tcBorders>
          </w:tcPr>
          <w:p>
            <w:pPr>
              <w:ind w:left="400"/>
              <w:spacing w:after="0"/>
              <w:rPr>
                <w:sz w:val="20"/>
                <w:szCs w:val="20"/>
                <w:color w:val="auto"/>
              </w:rPr>
            </w:pPr>
            <w:r>
              <w:rPr>
                <w:rFonts w:ascii="Times New Roman" w:cs="Times New Roman" w:eastAsia="Times New Roman" w:hAnsi="Times New Roman"/>
                <w:sz w:val="19"/>
                <w:szCs w:val="19"/>
                <w:color w:val="231F20"/>
              </w:rPr>
              <w:t>Total Electric</w:t>
            </w:r>
          </w:p>
        </w:tc>
        <w:tc>
          <w:tcPr>
            <w:tcW w:w="12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94,301</w:t>
            </w:r>
          </w:p>
        </w:tc>
        <w:tc>
          <w:tcPr>
            <w:tcW w:w="240" w:type="dxa"/>
            <w:vAlign w:val="bottom"/>
            <w:tcBorders>
              <w:bottom w:val="single" w:sz="8" w:color="E6E7E8"/>
            </w:tcBorders>
          </w:tcPr>
          <w:p>
            <w:pPr>
              <w:spacing w:after="0"/>
              <w:rPr>
                <w:sz w:val="19"/>
                <w:szCs w:val="19"/>
                <w:color w:val="auto"/>
              </w:rPr>
            </w:pPr>
          </w:p>
        </w:tc>
        <w:tc>
          <w:tcPr>
            <w:tcW w:w="12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15,763</w:t>
            </w:r>
          </w:p>
        </w:tc>
        <w:tc>
          <w:tcPr>
            <w:tcW w:w="220" w:type="dxa"/>
            <w:vAlign w:val="bottom"/>
            <w:tcBorders>
              <w:bottom w:val="single" w:sz="8" w:color="E6E7E8"/>
            </w:tcBorders>
          </w:tcPr>
          <w:p>
            <w:pPr>
              <w:spacing w:after="0"/>
              <w:rPr>
                <w:sz w:val="19"/>
                <w:szCs w:val="19"/>
                <w:color w:val="auto"/>
              </w:rPr>
            </w:pPr>
          </w:p>
        </w:tc>
        <w:tc>
          <w:tcPr>
            <w:tcW w:w="12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110,064</w:t>
            </w:r>
          </w:p>
        </w:tc>
        <w:tc>
          <w:tcPr>
            <w:tcW w:w="60" w:type="dxa"/>
            <w:vAlign w:val="bottom"/>
            <w:tcBorders>
              <w:bottom w:val="single" w:sz="8" w:color="E6E7E8"/>
            </w:tcBorders>
          </w:tcPr>
          <w:p>
            <w:pPr>
              <w:spacing w:after="0"/>
              <w:rPr>
                <w:sz w:val="19"/>
                <w:szCs w:val="19"/>
                <w:color w:val="auto"/>
              </w:rPr>
            </w:pPr>
          </w:p>
        </w:tc>
      </w:tr>
      <w:tr>
        <w:trPr>
          <w:trHeight w:val="228"/>
        </w:trPr>
        <w:tc>
          <w:tcPr>
            <w:tcW w:w="5580" w:type="dxa"/>
            <w:vAlign w:val="bottom"/>
            <w:shd w:val="clear" w:color="auto" w:fill="E6E7E8"/>
          </w:tcPr>
          <w:p>
            <w:pPr>
              <w:spacing w:after="0"/>
              <w:rPr>
                <w:sz w:val="20"/>
                <w:szCs w:val="20"/>
                <w:color w:val="auto"/>
              </w:rPr>
            </w:pPr>
            <w:r>
              <w:rPr>
                <w:rFonts w:ascii="Times New Roman" w:cs="Times New Roman" w:eastAsia="Times New Roman" w:hAnsi="Times New Roman"/>
                <w:sz w:val="19"/>
                <w:szCs w:val="19"/>
                <w:color w:val="231F20"/>
              </w:rPr>
              <w:t>Natural Gas:</w:t>
            </w:r>
          </w:p>
        </w:tc>
        <w:tc>
          <w:tcPr>
            <w:tcW w:w="1200" w:type="dxa"/>
            <w:vAlign w:val="bottom"/>
            <w:shd w:val="clear" w:color="auto" w:fill="E6E7E8"/>
          </w:tcPr>
          <w:p>
            <w:pPr>
              <w:spacing w:after="0"/>
              <w:rPr>
                <w:sz w:val="19"/>
                <w:szCs w:val="19"/>
                <w:color w:val="auto"/>
              </w:rPr>
            </w:pPr>
          </w:p>
        </w:tc>
        <w:tc>
          <w:tcPr>
            <w:tcW w:w="240" w:type="dxa"/>
            <w:vAlign w:val="bottom"/>
            <w:shd w:val="clear" w:color="auto" w:fill="E6E7E8"/>
          </w:tcPr>
          <w:p>
            <w:pPr>
              <w:spacing w:after="0"/>
              <w:rPr>
                <w:sz w:val="19"/>
                <w:szCs w:val="19"/>
                <w:color w:val="auto"/>
              </w:rPr>
            </w:pPr>
          </w:p>
        </w:tc>
        <w:tc>
          <w:tcPr>
            <w:tcW w:w="1200" w:type="dxa"/>
            <w:vAlign w:val="bottom"/>
            <w:shd w:val="clear" w:color="auto" w:fill="E6E7E8"/>
          </w:tcPr>
          <w:p>
            <w:pPr>
              <w:spacing w:after="0"/>
              <w:rPr>
                <w:sz w:val="19"/>
                <w:szCs w:val="19"/>
                <w:color w:val="auto"/>
              </w:rPr>
            </w:pPr>
          </w:p>
        </w:tc>
        <w:tc>
          <w:tcPr>
            <w:tcW w:w="220" w:type="dxa"/>
            <w:vAlign w:val="bottom"/>
            <w:shd w:val="clear" w:color="auto" w:fill="E6E7E8"/>
          </w:tcPr>
          <w:p>
            <w:pPr>
              <w:spacing w:after="0"/>
              <w:rPr>
                <w:sz w:val="19"/>
                <w:szCs w:val="19"/>
                <w:color w:val="auto"/>
              </w:rPr>
            </w:pPr>
          </w:p>
        </w:tc>
        <w:tc>
          <w:tcPr>
            <w:tcW w:w="1220" w:type="dxa"/>
            <w:vAlign w:val="bottom"/>
            <w:shd w:val="clear" w:color="auto" w:fill="E6E7E8"/>
          </w:tcPr>
          <w:p>
            <w:pPr>
              <w:spacing w:after="0"/>
              <w:rPr>
                <w:sz w:val="19"/>
                <w:szCs w:val="19"/>
                <w:color w:val="auto"/>
              </w:rPr>
            </w:pPr>
          </w:p>
        </w:tc>
        <w:tc>
          <w:tcPr>
            <w:tcW w:w="60" w:type="dxa"/>
            <w:vAlign w:val="bottom"/>
            <w:shd w:val="clear" w:color="auto" w:fill="E6E7E8"/>
          </w:tcPr>
          <w:p>
            <w:pPr>
              <w:spacing w:after="0"/>
              <w:rPr>
                <w:sz w:val="19"/>
                <w:szCs w:val="19"/>
                <w:color w:val="auto"/>
              </w:rPr>
            </w:pPr>
          </w:p>
        </w:tc>
      </w:tr>
      <w:tr>
        <w:trPr>
          <w:trHeight w:val="233"/>
        </w:trPr>
        <w:tc>
          <w:tcPr>
            <w:tcW w:w="558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Northern Utilities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56,094</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17,161</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73,255</w:t>
            </w:r>
          </w:p>
        </w:tc>
        <w:tc>
          <w:tcPr>
            <w:tcW w:w="60" w:type="dxa"/>
            <w:vAlign w:val="bottom"/>
          </w:tcPr>
          <w:p>
            <w:pPr>
              <w:spacing w:after="0"/>
              <w:rPr>
                <w:sz w:val="20"/>
                <w:szCs w:val="20"/>
                <w:color w:val="auto"/>
              </w:rPr>
            </w:pPr>
          </w:p>
        </w:tc>
      </w:tr>
      <w:tr>
        <w:trPr>
          <w:trHeight w:val="233"/>
        </w:trPr>
        <w:tc>
          <w:tcPr>
            <w:tcW w:w="558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Fitchburg</w:t>
            </w:r>
          </w:p>
        </w:tc>
        <w:tc>
          <w:tcPr>
            <w:tcW w:w="12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14,706</w:t>
            </w:r>
          </w:p>
        </w:tc>
        <w:tc>
          <w:tcPr>
            <w:tcW w:w="1440" w:type="dxa"/>
            <w:vAlign w:val="bottom"/>
            <w:gridSpan w:val="2"/>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1,735</w:t>
            </w:r>
          </w:p>
        </w:tc>
        <w:tc>
          <w:tcPr>
            <w:tcW w:w="1440" w:type="dxa"/>
            <w:vAlign w:val="bottom"/>
            <w:gridSpan w:val="2"/>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16,441</w:t>
            </w:r>
          </w:p>
        </w:tc>
        <w:tc>
          <w:tcPr>
            <w:tcW w:w="60" w:type="dxa"/>
            <w:vAlign w:val="bottom"/>
            <w:shd w:val="clear" w:color="auto" w:fill="E6E7E8"/>
          </w:tcPr>
          <w:p>
            <w:pPr>
              <w:spacing w:after="0"/>
              <w:rPr>
                <w:sz w:val="20"/>
                <w:szCs w:val="20"/>
                <w:color w:val="auto"/>
              </w:rPr>
            </w:pPr>
          </w:p>
        </w:tc>
      </w:tr>
      <w:tr>
        <w:trPr>
          <w:trHeight w:val="233"/>
        </w:trPr>
        <w:tc>
          <w:tcPr>
            <w:tcW w:w="558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Bangor</w:t>
            </w: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7,162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1,751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8,913</w:t>
            </w:r>
          </w:p>
        </w:tc>
        <w:tc>
          <w:tcPr>
            <w:tcW w:w="60" w:type="dxa"/>
            <w:vAlign w:val="bottom"/>
          </w:tcPr>
          <w:p>
            <w:pPr>
              <w:spacing w:after="0"/>
              <w:rPr>
                <w:sz w:val="20"/>
                <w:szCs w:val="20"/>
                <w:color w:val="auto"/>
              </w:rPr>
            </w:pPr>
          </w:p>
        </w:tc>
      </w:tr>
      <w:tr>
        <w:trPr>
          <w:trHeight w:val="233"/>
        </w:trPr>
        <w:tc>
          <w:tcPr>
            <w:tcW w:w="558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Maine Natural</w:t>
            </w:r>
          </w:p>
        </w:tc>
        <w:tc>
          <w:tcPr>
            <w:tcW w:w="12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4,803</w:t>
            </w:r>
          </w:p>
        </w:tc>
        <w:tc>
          <w:tcPr>
            <w:tcW w:w="1440" w:type="dxa"/>
            <w:vAlign w:val="bottom"/>
            <w:gridSpan w:val="2"/>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1,650</w:t>
            </w:r>
          </w:p>
        </w:tc>
        <w:tc>
          <w:tcPr>
            <w:tcW w:w="1440" w:type="dxa"/>
            <w:vAlign w:val="bottom"/>
            <w:gridSpan w:val="2"/>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6,453</w:t>
            </w:r>
          </w:p>
        </w:tc>
        <w:tc>
          <w:tcPr>
            <w:tcW w:w="60" w:type="dxa"/>
            <w:vAlign w:val="bottom"/>
            <w:shd w:val="clear" w:color="auto" w:fill="E6E7E8"/>
          </w:tcPr>
          <w:p>
            <w:pPr>
              <w:spacing w:after="0"/>
              <w:rPr>
                <w:sz w:val="20"/>
                <w:szCs w:val="20"/>
                <w:color w:val="auto"/>
              </w:rPr>
            </w:pPr>
          </w:p>
        </w:tc>
      </w:tr>
      <w:tr>
        <w:trPr>
          <w:trHeight w:val="228"/>
        </w:trPr>
        <w:tc>
          <w:tcPr>
            <w:tcW w:w="5580" w:type="dxa"/>
            <w:vAlign w:val="bottom"/>
            <w:tcBorders>
              <w:bottom w:val="single" w:sz="8" w:color="E6E7E8"/>
            </w:tcBorders>
          </w:tcPr>
          <w:p>
            <w:pPr>
              <w:ind w:left="400"/>
              <w:spacing w:after="0"/>
              <w:rPr>
                <w:sz w:val="20"/>
                <w:szCs w:val="20"/>
                <w:color w:val="auto"/>
              </w:rPr>
            </w:pPr>
            <w:r>
              <w:rPr>
                <w:rFonts w:ascii="Times New Roman" w:cs="Times New Roman" w:eastAsia="Times New Roman" w:hAnsi="Times New Roman"/>
                <w:sz w:val="19"/>
                <w:szCs w:val="19"/>
                <w:color w:val="231F20"/>
              </w:rPr>
              <w:t>Total Natural Gas</w:t>
            </w:r>
          </w:p>
        </w:tc>
        <w:tc>
          <w:tcPr>
            <w:tcW w:w="12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82,765</w:t>
            </w:r>
          </w:p>
        </w:tc>
        <w:tc>
          <w:tcPr>
            <w:tcW w:w="240" w:type="dxa"/>
            <w:vAlign w:val="bottom"/>
            <w:tcBorders>
              <w:bottom w:val="single" w:sz="8" w:color="E6E7E8"/>
            </w:tcBorders>
          </w:tcPr>
          <w:p>
            <w:pPr>
              <w:spacing w:after="0"/>
              <w:rPr>
                <w:sz w:val="19"/>
                <w:szCs w:val="19"/>
                <w:color w:val="auto"/>
              </w:rPr>
            </w:pPr>
          </w:p>
        </w:tc>
        <w:tc>
          <w:tcPr>
            <w:tcW w:w="12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22,297</w:t>
            </w:r>
          </w:p>
        </w:tc>
        <w:tc>
          <w:tcPr>
            <w:tcW w:w="220" w:type="dxa"/>
            <w:vAlign w:val="bottom"/>
            <w:tcBorders>
              <w:bottom w:val="single" w:sz="8" w:color="E6E7E8"/>
            </w:tcBorders>
          </w:tcPr>
          <w:p>
            <w:pPr>
              <w:spacing w:after="0"/>
              <w:rPr>
                <w:sz w:val="19"/>
                <w:szCs w:val="19"/>
                <w:color w:val="auto"/>
              </w:rPr>
            </w:pPr>
          </w:p>
        </w:tc>
        <w:tc>
          <w:tcPr>
            <w:tcW w:w="12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105,062</w:t>
            </w:r>
          </w:p>
        </w:tc>
        <w:tc>
          <w:tcPr>
            <w:tcW w:w="60" w:type="dxa"/>
            <w:vAlign w:val="bottom"/>
            <w:tcBorders>
              <w:bottom w:val="single" w:sz="8" w:color="E6E7E8"/>
            </w:tcBorders>
          </w:tcPr>
          <w:p>
            <w:pPr>
              <w:spacing w:after="0"/>
              <w:rPr>
                <w:sz w:val="19"/>
                <w:szCs w:val="19"/>
                <w:color w:val="auto"/>
              </w:rPr>
            </w:pPr>
          </w:p>
        </w:tc>
      </w:tr>
      <w:tr>
        <w:trPr>
          <w:trHeight w:val="228"/>
        </w:trPr>
        <w:tc>
          <w:tcPr>
            <w:tcW w:w="5580" w:type="dxa"/>
            <w:vAlign w:val="bottom"/>
            <w:shd w:val="clear" w:color="auto" w:fill="E6E7E8"/>
          </w:tcPr>
          <w:p>
            <w:pPr>
              <w:spacing w:after="0"/>
              <w:rPr>
                <w:sz w:val="20"/>
                <w:szCs w:val="20"/>
                <w:color w:val="auto"/>
              </w:rPr>
            </w:pPr>
            <w:r>
              <w:rPr>
                <w:rFonts w:ascii="Times New Roman" w:cs="Times New Roman" w:eastAsia="Times New Roman" w:hAnsi="Times New Roman"/>
                <w:sz w:val="19"/>
                <w:szCs w:val="19"/>
                <w:color w:val="231F20"/>
              </w:rPr>
              <w:t>Total Customers Served</w:t>
            </w:r>
          </w:p>
        </w:tc>
        <w:tc>
          <w:tcPr>
            <w:tcW w:w="120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177,066</w:t>
            </w:r>
          </w:p>
        </w:tc>
        <w:tc>
          <w:tcPr>
            <w:tcW w:w="240" w:type="dxa"/>
            <w:vAlign w:val="bottom"/>
            <w:shd w:val="clear" w:color="auto" w:fill="E6E7E8"/>
          </w:tcPr>
          <w:p>
            <w:pPr>
              <w:spacing w:after="0"/>
              <w:rPr>
                <w:sz w:val="19"/>
                <w:szCs w:val="19"/>
                <w:color w:val="auto"/>
              </w:rPr>
            </w:pPr>
          </w:p>
        </w:tc>
        <w:tc>
          <w:tcPr>
            <w:tcW w:w="120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38,060</w:t>
            </w:r>
          </w:p>
        </w:tc>
        <w:tc>
          <w:tcPr>
            <w:tcW w:w="220" w:type="dxa"/>
            <w:vAlign w:val="bottom"/>
            <w:shd w:val="clear" w:color="auto" w:fill="E6E7E8"/>
          </w:tcPr>
          <w:p>
            <w:pPr>
              <w:spacing w:after="0"/>
              <w:rPr>
                <w:sz w:val="19"/>
                <w:szCs w:val="19"/>
                <w:color w:val="auto"/>
              </w:rPr>
            </w:pPr>
          </w:p>
        </w:tc>
        <w:tc>
          <w:tcPr>
            <w:tcW w:w="12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215,126</w:t>
            </w:r>
          </w:p>
        </w:tc>
        <w:tc>
          <w:tcPr>
            <w:tcW w:w="60" w:type="dxa"/>
            <w:vAlign w:val="bottom"/>
            <w:shd w:val="clear" w:color="auto" w:fill="E6E7E8"/>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-1965960</wp:posOffset>
            </wp:positionV>
            <wp:extent cx="26295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5">
                      <a:extLst>
                        <a:ext uri="{28A0092B-C50C-407E-A947-70E740481C1C}"/>
                      </a:extLst>
                    </a:blip>
                    <a:srcRect/>
                    <a:stretch>
                      <a:fillRect/>
                    </a:stretch>
                  </pic:blipFill>
                  <pic:spPr bwMode="auto">
                    <a:xfrm>
                      <a:off x="0" y="0"/>
                      <a:ext cx="2629535" cy="38100"/>
                    </a:xfrm>
                    <a:prstGeom prst="rect">
                      <a:avLst/>
                    </a:prstGeom>
                    <a:noFill/>
                  </pic:spPr>
                </pic:pic>
              </a:graphicData>
            </a:graphic>
          </wp:anchor>
        </w:drawing>
      </w:r>
    </w:p>
    <w:p>
      <w:pPr>
        <w:spacing w:after="0" w:line="235" w:lineRule="exact"/>
        <w:rPr>
          <w:sz w:val="20"/>
          <w:szCs w:val="20"/>
          <w:color w:val="auto"/>
        </w:rPr>
      </w:pPr>
    </w:p>
    <w:p>
      <w:pPr>
        <w:ind w:right="40" w:firstLine="619"/>
        <w:spacing w:after="0" w:line="278" w:lineRule="auto"/>
        <w:rPr>
          <w:sz w:val="20"/>
          <w:szCs w:val="20"/>
          <w:color w:val="auto"/>
        </w:rPr>
      </w:pPr>
      <w:r>
        <w:rPr>
          <w:rFonts w:ascii="Times New Roman" w:cs="Times New Roman" w:eastAsia="Times New Roman" w:hAnsi="Times New Roman"/>
          <w:sz w:val="20"/>
          <w:szCs w:val="20"/>
          <w:color w:val="231F20"/>
        </w:rPr>
        <w:t>Unitil had an investment in Net Utility Plant of $1.8 billion at December 31, 2025. The Company’s total operating revenue was $536.0 million in 2025. Unitil’s operating revenue is substantially derived from regulated electric and natural gas distribution utility operations. A seventh utility subsidiary, Unitil Power, formerly functioned as the full requirements wholesale</w:t>
      </w:r>
    </w:p>
    <w:p>
      <w:pPr>
        <w:sectPr>
          <w:pgSz w:w="12240" w:h="15840" w:orient="portrait"/>
          <w:cols w:equalWidth="0" w:num="1">
            <w:col w:w="10800"/>
          </w:cols>
          <w:pgMar w:left="720" w:top="924" w:right="720" w:bottom="176" w:gutter="0" w:footer="0" w:header="0"/>
        </w:sect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231F20"/>
        </w:rPr>
        <w:t>3</w:t>
      </w:r>
    </w:p>
    <w:p>
      <w:pPr>
        <w:sectPr>
          <w:pgSz w:w="12240" w:h="15840" w:orient="portrait"/>
          <w:cols w:equalWidth="0" w:num="1">
            <w:col w:w="10800"/>
          </w:cols>
          <w:pgMar w:left="720" w:top="924" w:right="720" w:bottom="176" w:gutter="0" w:footer="0" w:header="0"/>
          <w:type w:val="continuous"/>
        </w:sectPr>
      </w:pPr>
    </w:p>
    <w:bookmarkStart w:id="23" w:name="page24"/>
    <w:bookmarkEnd w:id="23"/>
    <w:p>
      <w:pPr>
        <w:ind w:right="180"/>
        <w:spacing w:after="0" w:line="279" w:lineRule="auto"/>
        <w:rPr>
          <w:sz w:val="20"/>
          <w:szCs w:val="20"/>
          <w:color w:val="auto"/>
        </w:rPr>
      </w:pPr>
      <w:r>
        <w:rPr>
          <w:rFonts w:ascii="Times New Roman" w:cs="Times New Roman" w:eastAsia="Times New Roman" w:hAnsi="Times New Roman"/>
          <w:sz w:val="21"/>
          <w:szCs w:val="21"/>
          <w:color w:val="231F20"/>
        </w:rPr>
        <w:t>power supply provider for Unitil Energy, but ceased being the wholesale supplier of Unitil Energy with the implementation of industry restructuring and divested its long-term power supply contracts.</w:t>
      </w:r>
    </w:p>
    <w:p>
      <w:pPr>
        <w:spacing w:after="0" w:line="42" w:lineRule="exact"/>
        <w:rPr>
          <w:sz w:val="20"/>
          <w:szCs w:val="20"/>
          <w:color w:val="auto"/>
        </w:rPr>
      </w:pPr>
    </w:p>
    <w:p>
      <w:pPr>
        <w:ind w:right="120" w:firstLine="612"/>
        <w:spacing w:after="0" w:line="244" w:lineRule="auto"/>
        <w:rPr>
          <w:sz w:val="20"/>
          <w:szCs w:val="20"/>
          <w:color w:val="auto"/>
        </w:rPr>
      </w:pPr>
      <w:r>
        <w:rPr>
          <w:rFonts w:ascii="Times New Roman" w:cs="Times New Roman" w:eastAsia="Times New Roman" w:hAnsi="Times New Roman"/>
          <w:sz w:val="21"/>
          <w:szCs w:val="21"/>
          <w:color w:val="231F20"/>
        </w:rPr>
        <w:t>Unitil has four other wholly-owned non-utility subsidiaries: Unitil Service, Unitil Realty, Unitil Resources and Unitil Water. Unitil Service provides, at cost, a variety of administrative and professional services, including regulatory, financial, accounting, human resources, engineering, operations, technology and energy supply management services on a centralized basis to its affiliated Unitil companies. Unitil Realty owns and manages the Company’s corporate office in Hampton, New Hampshire and land in Kingston, New Hampshire on which Unitil Energy’s solar facility is located, which became operational in May 2025. Unitil Resources is the Company’s wholly-owned non-regulated subsidiary which currently does not have any activity. Unitil Water currently does not have any activity. For segment information relating to each segment’s revenue, earnings and assets, see Note 2 (Segment Information) to the Consolidated Financial Statements included in Part II, Item 8 (Financial Statements and Supplementary Data) of this report. All of the Company’s revenues are attributable to customers in the United States of America and all its long-lived assets are located in the United States of America.</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231F20"/>
        </w:rPr>
        <w:t>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Electric Distribution Utility Operations</w:t>
      </w:r>
    </w:p>
    <w:p>
      <w:pPr>
        <w:spacing w:after="0" w:line="124" w:lineRule="exact"/>
        <w:rPr>
          <w:sz w:val="20"/>
          <w:szCs w:val="20"/>
          <w:color w:val="auto"/>
        </w:rPr>
      </w:pPr>
    </w:p>
    <w:p>
      <w:pPr>
        <w:ind w:right="60" w:firstLine="612"/>
        <w:spacing w:after="0" w:line="245" w:lineRule="auto"/>
        <w:rPr>
          <w:sz w:val="20"/>
          <w:szCs w:val="20"/>
          <w:color w:val="auto"/>
        </w:rPr>
      </w:pPr>
      <w:r>
        <w:rPr>
          <w:rFonts w:ascii="Times New Roman" w:cs="Times New Roman" w:eastAsia="Times New Roman" w:hAnsi="Times New Roman"/>
          <w:sz w:val="21"/>
          <w:szCs w:val="21"/>
          <w:color w:val="231F20"/>
        </w:rPr>
        <w:t>Unitil’s electric distribution operations are conducted through two of the Company’s utilities, Unitil Energy and Fitchburg. Revenue from Unitil’s electric utility operations was $236.4 million in 2025, which represents about 44% of Unitil’s total operating revenue. The Company’s GAAP (as defined below) Electric Gross Margin was $82.7 million in 2025. The Company’s Electric Adjusted Gross Margin (a non-GAAP financial measure) was $114.6 million in 2025, or 37% of Unitil’s total Adjusted Gross Margin. See “Results of Operations” in Part II, Item 7 (Management’s Discussion and Analysis of Financial Condition and Results of Operations) for a discussion of the non-GAAP financial measures presented in this Annual Report on Form 10-K, including a reconciliation of the non-GAAP financial measures to the most comparable GAAP financial measures for the periods presented.</w:t>
      </w:r>
    </w:p>
    <w:p>
      <w:pPr>
        <w:spacing w:after="0" w:line="200" w:lineRule="exact"/>
        <w:rPr>
          <w:sz w:val="20"/>
          <w:szCs w:val="20"/>
          <w:color w:val="auto"/>
        </w:rPr>
      </w:pPr>
    </w:p>
    <w:p>
      <w:pPr>
        <w:ind w:right="80" w:firstLine="612"/>
        <w:spacing w:after="0" w:line="247" w:lineRule="auto"/>
        <w:rPr>
          <w:sz w:val="20"/>
          <w:szCs w:val="20"/>
          <w:color w:val="auto"/>
        </w:rPr>
      </w:pPr>
      <w:r>
        <w:rPr>
          <w:rFonts w:ascii="Times New Roman" w:cs="Times New Roman" w:eastAsia="Times New Roman" w:hAnsi="Times New Roman"/>
          <w:sz w:val="21"/>
          <w:szCs w:val="21"/>
          <w:color w:val="231F20"/>
        </w:rPr>
        <w:t>The primary business of Unitil’s electric utility operations is the local distribution of electricity to customers in its service territory in New Hampshire and Massachusetts. All of Unitil Energy’s and Fitchburg’s electric customers are entitled to purchase their supply of electricity from third-party competitive suppliers, while Unitil Energy and Fitchburg remain their electric distribution company. Both Unitil Energy and Fitchburg supply electricity to those customers who do not obtain their supply from third-party competitive suppliers, with the approved costs associated with electricity supply being recovered on a pass-through basis under regulated reconciling rate mechanisms that are periodically adjusted.</w:t>
      </w:r>
    </w:p>
    <w:p>
      <w:pPr>
        <w:spacing w:after="0" w:line="198" w:lineRule="exact"/>
        <w:rPr>
          <w:sz w:val="20"/>
          <w:szCs w:val="20"/>
          <w:color w:val="auto"/>
        </w:rPr>
      </w:pPr>
    </w:p>
    <w:p>
      <w:pPr>
        <w:ind w:firstLine="612"/>
        <w:spacing w:after="0" w:line="244" w:lineRule="auto"/>
        <w:rPr>
          <w:sz w:val="20"/>
          <w:szCs w:val="20"/>
          <w:color w:val="auto"/>
        </w:rPr>
      </w:pPr>
      <w:r>
        <w:rPr>
          <w:rFonts w:ascii="Times New Roman" w:cs="Times New Roman" w:eastAsia="Times New Roman" w:hAnsi="Times New Roman"/>
          <w:sz w:val="21"/>
          <w:szCs w:val="21"/>
          <w:color w:val="231F20"/>
        </w:rPr>
        <w:t>Unitil Energy distributes electricity to approximately 79,400 customers in New Hampshire in the capital city of Concord as well as parts of thirteen surrounding towns, and all or part of nineteen towns in the southeastern and seacoast regions of New Hampshire, including the towns of Hampton, Exeter, Atkinson and Plaistow. Unitil Energy’s service territory consists of approximately 408 square miles. Unitil Energy’s service territory encompasses retail and recreation centers for the central and southeastern parts of the state and includes the Hampton Beach recreational area. These areas serve diversified commercial and industrial businesses, including manufacturing firms engaged in the production of electronic components, wire and plastics, as well as firms engaged in the aviation, defense, healthcare and education sectors. Unitil Energy’s 2025 electric operating revenue was $157.3 million, of which approximately 55% was derived from residential sales and 45% from commercial and industrial (C&amp;I) sales.</w:t>
      </w:r>
    </w:p>
    <w:p>
      <w:pPr>
        <w:spacing w:after="0" w:line="204" w:lineRule="exact"/>
        <w:rPr>
          <w:sz w:val="20"/>
          <w:szCs w:val="20"/>
          <w:color w:val="auto"/>
        </w:rPr>
      </w:pPr>
    </w:p>
    <w:p>
      <w:pPr>
        <w:ind w:right="160" w:firstLine="612"/>
        <w:spacing w:after="0" w:line="246" w:lineRule="auto"/>
        <w:rPr>
          <w:sz w:val="20"/>
          <w:szCs w:val="20"/>
          <w:color w:val="auto"/>
        </w:rPr>
      </w:pPr>
      <w:r>
        <w:rPr>
          <w:rFonts w:ascii="Times New Roman" w:cs="Times New Roman" w:eastAsia="Times New Roman" w:hAnsi="Times New Roman"/>
          <w:sz w:val="21"/>
          <w:szCs w:val="21"/>
          <w:color w:val="231F20"/>
        </w:rPr>
        <w:t>Fitchburg is engaged in the distribution of both electricity and natural gas in the greater Fitchburg area of north central Massachusetts. Fitchburg’s service territory encompasses approximately 170 square miles. Electricity is distributed by Fitchburg to approximately 30,700 customers in the communities of Fitchburg, Ashby, Townsend and Lunenburg. Fitchburg’s industrial customers include paper manufacturing and paper products companies, rubber and plastics manufacturers, precision machining and molding, non-lethal ballistics manufacturing, specialty chemicals compounding, cannabis growing and processing facilities, printing, and educational institutions. Fitchburg’s 2025 electric operating revenue was $79.1 million, of which approximately 59% was derived from residential sales and 41% from C&amp;I sales.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Natural Gas Operations</w:t>
      </w:r>
    </w:p>
    <w:p>
      <w:pPr>
        <w:spacing w:after="0" w:line="124" w:lineRule="exact"/>
        <w:rPr>
          <w:sz w:val="20"/>
          <w:szCs w:val="20"/>
          <w:color w:val="auto"/>
        </w:rPr>
      </w:pPr>
    </w:p>
    <w:p>
      <w:pPr>
        <w:ind w:right="60" w:firstLine="612"/>
        <w:spacing w:after="0" w:line="278" w:lineRule="auto"/>
        <w:rPr>
          <w:sz w:val="20"/>
          <w:szCs w:val="20"/>
          <w:color w:val="auto"/>
        </w:rPr>
      </w:pPr>
      <w:r>
        <w:rPr>
          <w:rFonts w:ascii="Times New Roman" w:cs="Times New Roman" w:eastAsia="Times New Roman" w:hAnsi="Times New Roman"/>
          <w:sz w:val="20"/>
          <w:szCs w:val="20"/>
          <w:color w:val="231F20"/>
        </w:rPr>
        <w:t>Unitil’s natural gas operations include gas distribution utility operations and interstate gas transmission pipeline operations. Revenue from Unitil’s gas operations was $299.6 million in 2025, which represents about 56% of Unitil’s total operating revenue. The Company’s GAAP Gas Gross Margin was $142.3 million in 2025. The Company’s Gas Adjusted Gross</w:t>
      </w:r>
    </w:p>
    <w:p>
      <w:pPr>
        <w:sectPr>
          <w:pgSz w:w="12240" w:h="15840" w:orient="portrait"/>
          <w:cols w:equalWidth="0" w:num="1">
            <w:col w:w="10780"/>
          </w:cols>
          <w:pgMar w:left="720" w:top="929" w:right="740" w:bottom="176"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231F20"/>
        </w:rPr>
        <w:t>4</w:t>
      </w:r>
    </w:p>
    <w:p>
      <w:pPr>
        <w:sectPr>
          <w:pgSz w:w="12240" w:h="15840" w:orient="portrait"/>
          <w:cols w:equalWidth="0" w:num="1">
            <w:col w:w="10780"/>
          </w:cols>
          <w:pgMar w:left="720" w:top="929" w:right="740" w:bottom="176" w:gutter="0" w:footer="0" w:header="0"/>
          <w:type w:val="continuous"/>
        </w:sectPr>
      </w:pPr>
    </w:p>
    <w:bookmarkStart w:id="24" w:name="page25"/>
    <w:bookmarkEnd w:id="24"/>
    <w:p>
      <w:pPr>
        <w:ind w:right="20"/>
        <w:spacing w:after="0" w:line="253" w:lineRule="auto"/>
        <w:rPr>
          <w:sz w:val="20"/>
          <w:szCs w:val="20"/>
          <w:color w:val="auto"/>
        </w:rPr>
      </w:pPr>
      <w:r>
        <w:rPr>
          <w:rFonts w:ascii="Times New Roman" w:cs="Times New Roman" w:eastAsia="Times New Roman" w:hAnsi="Times New Roman"/>
          <w:sz w:val="21"/>
          <w:szCs w:val="21"/>
          <w:color w:val="231F20"/>
        </w:rPr>
        <w:t>Margin (a non-GAAP financial measure) was $199.1 million in 2025, or 63% of Unitil’s total Adjusted Gross Margin. See “Results of Operations” in Part II, Item 7 (Management’s Discussion and Analysis of Financial Condition and Results of Operations) for a discussion of the non-GAAP financial measures presented in this Annual Report on Form 10-K, including a reconciliation of the non-GAAP financial measures to the most comparable GAAP financial measures for the periods presented.</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Natural Gas Distribution Utility Operations</w:t>
      </w:r>
    </w:p>
    <w:p>
      <w:pPr>
        <w:spacing w:after="0" w:line="124" w:lineRule="exact"/>
        <w:rPr>
          <w:sz w:val="20"/>
          <w:szCs w:val="20"/>
          <w:color w:val="auto"/>
        </w:rPr>
      </w:pPr>
    </w:p>
    <w:p>
      <w:pPr>
        <w:ind w:right="100" w:firstLine="612"/>
        <w:spacing w:after="0" w:line="245" w:lineRule="auto"/>
        <w:rPr>
          <w:sz w:val="20"/>
          <w:szCs w:val="20"/>
          <w:color w:val="auto"/>
        </w:rPr>
      </w:pPr>
      <w:r>
        <w:rPr>
          <w:rFonts w:ascii="Times New Roman" w:cs="Times New Roman" w:eastAsia="Times New Roman" w:hAnsi="Times New Roman"/>
          <w:sz w:val="21"/>
          <w:szCs w:val="21"/>
          <w:color w:val="231F20"/>
        </w:rPr>
        <w:t>Unitil’s natural gas distribution operations are conducted through four of the Company’s operating utilities, Northern Utilities, Fitchburg, Bangor and Maine Natural. The primary business of Unitil’s natural gas utility operations is the local distribution of natural gas to customers in its service territories in New Hampshire, Massachusetts and Maine. Northern Utilities’, Bangor’s and Maine Natural’s C&amp;I customers and Fitchburg’s residential and C&amp;I customers are able to purchase their natural gas supply from third-party competitive suppliers, while Northern Utilities, Bangor, Maine Natural or Fitchburg remains their gas distribution company. Northern Utilities, Fitchburg, Bangor and Maine Natural supply gas to those customers who do not obtain their supply from third-party competitive suppliers, with the approved costs associated with this gas supply recovered on a pass-through basis under regulated reconciling rate mechanisms that are periodically adjusted.</w:t>
      </w:r>
    </w:p>
    <w:p>
      <w:pPr>
        <w:spacing w:after="0" w:line="200" w:lineRule="exact"/>
        <w:rPr>
          <w:sz w:val="20"/>
          <w:szCs w:val="20"/>
          <w:color w:val="auto"/>
        </w:rPr>
      </w:pPr>
    </w:p>
    <w:p>
      <w:pPr>
        <w:ind w:right="20" w:firstLine="612"/>
        <w:spacing w:after="0" w:line="246" w:lineRule="auto"/>
        <w:rPr>
          <w:sz w:val="20"/>
          <w:szCs w:val="20"/>
          <w:color w:val="auto"/>
        </w:rPr>
      </w:pPr>
      <w:r>
        <w:rPr>
          <w:rFonts w:ascii="Times New Roman" w:cs="Times New Roman" w:eastAsia="Times New Roman" w:hAnsi="Times New Roman"/>
          <w:sz w:val="21"/>
          <w:szCs w:val="21"/>
          <w:color w:val="231F20"/>
        </w:rPr>
        <w:t>Northern Utilities distributes natural gas to approximately 73,200 customers in fifty New Hampshire and southern Maine communities, from Plaistow, New Hampshire in the south to the city of Portland, Maine and then extending to Lewiston-Auburn, Maine to the north. Northern Utilities has a diversified customer base both in Maine and New Hampshire. Commercial businesses include healthcare, education, government and retail. Northern Utilities’ industrial base includes manufacturers in the auto, housing, paper, printing, textile, pharmaceutical, electronics, wire and food production industries as well as a military installation. Northern Utilities’ 2025 gas operating revenue was $191.3 million, of which approximately 37% was derived from residential firm sales and 63% from C&amp;I firm sales.</w:t>
      </w:r>
    </w:p>
    <w:p>
      <w:pPr>
        <w:spacing w:after="0" w:line="198" w:lineRule="exact"/>
        <w:rPr>
          <w:sz w:val="20"/>
          <w:szCs w:val="20"/>
          <w:color w:val="auto"/>
        </w:rPr>
      </w:pPr>
    </w:p>
    <w:p>
      <w:pPr>
        <w:ind w:right="160" w:firstLine="612"/>
        <w:spacing w:after="0" w:line="249" w:lineRule="auto"/>
        <w:rPr>
          <w:sz w:val="20"/>
          <w:szCs w:val="20"/>
          <w:color w:val="auto"/>
        </w:rPr>
      </w:pPr>
      <w:r>
        <w:rPr>
          <w:rFonts w:ascii="Times New Roman" w:cs="Times New Roman" w:eastAsia="Times New Roman" w:hAnsi="Times New Roman"/>
          <w:sz w:val="21"/>
          <w:szCs w:val="21"/>
          <w:color w:val="231F20"/>
        </w:rPr>
        <w:t>Fitchburg distributes natural gas to approximately 16,400 customers in the communities of Fitchburg, Lunenburg, Townsend, Ashby, Gardner and Westminster, all located in Massachusetts. Fitchburg’s industrial customers include paper manufacturing and paper products companies, rubber and plastics manufacturers, cannabis growing and processing facilities, printing, and educational institutions. Fitchburg’s 2025 gas operating revenue was $59.5 million, of which approximately 59% was derived from residential firm sales and 41% from C&amp;I firm sales.</w:t>
      </w:r>
    </w:p>
    <w:p>
      <w:pPr>
        <w:spacing w:after="0" w:line="195" w:lineRule="exact"/>
        <w:rPr>
          <w:sz w:val="20"/>
          <w:szCs w:val="20"/>
          <w:color w:val="auto"/>
        </w:rPr>
      </w:pPr>
    </w:p>
    <w:p>
      <w:pPr>
        <w:ind w:firstLine="612"/>
        <w:spacing w:after="0" w:line="249" w:lineRule="auto"/>
        <w:rPr>
          <w:sz w:val="20"/>
          <w:szCs w:val="20"/>
          <w:color w:val="auto"/>
        </w:rPr>
      </w:pPr>
      <w:r>
        <w:rPr>
          <w:rFonts w:ascii="Times New Roman" w:cs="Times New Roman" w:eastAsia="Times New Roman" w:hAnsi="Times New Roman"/>
          <w:sz w:val="21"/>
          <w:szCs w:val="21"/>
          <w:color w:val="231F20"/>
        </w:rPr>
        <w:t>Bangor distributes natural gas to approximately 8,900 customers in ten communities in the Bangor area of central Maine. Bangor’s commercial customers include healthcare, education, retail and hospitality. Bangor’s industrial customers include manufacturers in outdoor products, electronics, and food production industries. Bangor’s 2025 gas operating revenue from the date of acquisition was $27.9 million, of which approximately 39% was derived from residential firm sales and 61% from C&amp;I firm sales.</w:t>
      </w:r>
    </w:p>
    <w:p>
      <w:pPr>
        <w:spacing w:after="0" w:line="195" w:lineRule="exact"/>
        <w:rPr>
          <w:sz w:val="20"/>
          <w:szCs w:val="20"/>
          <w:color w:val="auto"/>
        </w:rPr>
      </w:pPr>
    </w:p>
    <w:p>
      <w:pPr>
        <w:ind w:right="280" w:firstLine="612"/>
        <w:spacing w:after="0" w:line="249" w:lineRule="auto"/>
        <w:rPr>
          <w:sz w:val="20"/>
          <w:szCs w:val="20"/>
          <w:color w:val="auto"/>
        </w:rPr>
      </w:pPr>
      <w:r>
        <w:rPr>
          <w:rFonts w:ascii="Times New Roman" w:cs="Times New Roman" w:eastAsia="Times New Roman" w:hAnsi="Times New Roman"/>
          <w:sz w:val="21"/>
          <w:szCs w:val="21"/>
          <w:color w:val="231F20"/>
        </w:rPr>
        <w:t>Maine Natural distributes natural gas to approximately 6,500 customers in nine communities in the greater Portland region of Maine, as well as the capital city of Augusta. Maine Natural’s commercial customers include healthcare, education, government and retail. Maine Natural’s industrial customers include shipbuilding, construction, aggregate and materials production, and paving. Maine Natural’s 2025 gas operating revenue from the date of acquisition was $8.3 million, of which approximately 28% was derived from residential firm sales and 72% from C&amp;I firm sales.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Gas Transmission Pipeline Operations</w:t>
      </w:r>
    </w:p>
    <w:p>
      <w:pPr>
        <w:spacing w:after="0" w:line="124" w:lineRule="exact"/>
        <w:rPr>
          <w:sz w:val="20"/>
          <w:szCs w:val="20"/>
          <w:color w:val="auto"/>
        </w:rPr>
      </w:pPr>
    </w:p>
    <w:p>
      <w:pPr>
        <w:ind w:right="80" w:firstLine="612"/>
        <w:spacing w:after="0" w:line="247" w:lineRule="auto"/>
        <w:rPr>
          <w:sz w:val="20"/>
          <w:szCs w:val="20"/>
          <w:color w:val="auto"/>
        </w:rPr>
      </w:pPr>
      <w:r>
        <w:rPr>
          <w:rFonts w:ascii="Times New Roman" w:cs="Times New Roman" w:eastAsia="Times New Roman" w:hAnsi="Times New Roman"/>
          <w:sz w:val="21"/>
          <w:szCs w:val="21"/>
          <w:color w:val="231F20"/>
        </w:rPr>
        <w:t>Granite State is an interstate natural gas transmission pipeline company, operating 85 miles of underground gas transmission pipeline primarily located in Maine and New Hampshire. Granite State provides Northern Utilities with interconnection to major natural gas pipelines and access to domestic natural gas supplies in the south and Canadian natural gas supplies in the north. Granite State had operating revenue of $12.6 million in 2025. Granite State derives its revenues principally from the transportation services provided to Northern Utilities and to third-party suppliers under FERC-approved rates.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Seasonality</w:t>
      </w:r>
    </w:p>
    <w:p>
      <w:pPr>
        <w:spacing w:after="0" w:line="124" w:lineRule="exact"/>
        <w:rPr>
          <w:sz w:val="20"/>
          <w:szCs w:val="20"/>
          <w:color w:val="auto"/>
        </w:rPr>
      </w:pPr>
    </w:p>
    <w:p>
      <w:pPr>
        <w:jc w:val="both"/>
        <w:ind w:right="200" w:firstLine="612"/>
        <w:spacing w:after="0" w:line="259" w:lineRule="auto"/>
        <w:rPr>
          <w:sz w:val="20"/>
          <w:szCs w:val="20"/>
          <w:color w:val="auto"/>
        </w:rPr>
      </w:pPr>
      <w:r>
        <w:rPr>
          <w:rFonts w:ascii="Times New Roman" w:cs="Times New Roman" w:eastAsia="Times New Roman" w:hAnsi="Times New Roman"/>
          <w:sz w:val="21"/>
          <w:szCs w:val="21"/>
          <w:color w:val="231F20"/>
        </w:rPr>
        <w:t>The Company’s results of operations are expected to reflect the seasonal nature of the natural gas business. Annual gas revenues are substantially realized during the colder weather seasons of the year as a result of higher sales of natural gas used for heating-related purposes. Accordingly, the results of operations are historically most favorable in the first and fourth</w:t>
      </w:r>
    </w:p>
    <w:p>
      <w:pPr>
        <w:sectPr>
          <w:pgSz w:w="12240" w:h="15840" w:orient="portrait"/>
          <w:cols w:equalWidth="0" w:num="1">
            <w:col w:w="10800"/>
          </w:cols>
          <w:pgMar w:left="720" w:top="929" w:right="720" w:bottom="176"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231F20"/>
        </w:rPr>
        <w:t>5</w:t>
      </w:r>
    </w:p>
    <w:p>
      <w:pPr>
        <w:sectPr>
          <w:pgSz w:w="12240" w:h="15840" w:orient="portrait"/>
          <w:cols w:equalWidth="0" w:num="1">
            <w:col w:w="10800"/>
          </w:cols>
          <w:pgMar w:left="720" w:top="929" w:right="720" w:bottom="176" w:gutter="0" w:footer="0" w:header="0"/>
          <w:type w:val="continuous"/>
        </w:sectPr>
      </w:pPr>
    </w:p>
    <w:bookmarkStart w:id="25" w:name="page26"/>
    <w:bookmarkEnd w:id="25"/>
    <w:p>
      <w:pPr>
        <w:ind w:right="160"/>
        <w:spacing w:after="0" w:line="259" w:lineRule="auto"/>
        <w:rPr>
          <w:sz w:val="20"/>
          <w:szCs w:val="20"/>
          <w:color w:val="auto"/>
        </w:rPr>
      </w:pPr>
      <w:r>
        <w:rPr>
          <w:rFonts w:ascii="Times New Roman" w:cs="Times New Roman" w:eastAsia="Times New Roman" w:hAnsi="Times New Roman"/>
          <w:sz w:val="21"/>
          <w:szCs w:val="21"/>
          <w:color w:val="231F20"/>
        </w:rPr>
        <w:t>quarters. Fluctuations in seasonal weather conditions may have a significant effect on the result of operations. Sales of electricity are generally less sensitive to weather than natural gas sales, but may also be affected by weather conditions and the temperature in the winter and summer seasons.</w:t>
      </w:r>
    </w:p>
    <w:p>
      <w:pPr>
        <w:spacing w:after="0" w:line="183" w:lineRule="exact"/>
        <w:rPr>
          <w:sz w:val="20"/>
          <w:szCs w:val="20"/>
          <w:color w:val="auto"/>
        </w:rPr>
      </w:pPr>
    </w:p>
    <w:p>
      <w:pPr>
        <w:ind w:firstLine="612"/>
        <w:spacing w:after="0" w:line="279" w:lineRule="auto"/>
        <w:rPr>
          <w:sz w:val="20"/>
          <w:szCs w:val="20"/>
          <w:color w:val="auto"/>
        </w:rPr>
      </w:pPr>
      <w:r>
        <w:rPr>
          <w:rFonts w:ascii="Times New Roman" w:cs="Times New Roman" w:eastAsia="Times New Roman" w:hAnsi="Times New Roman"/>
          <w:sz w:val="21"/>
          <w:szCs w:val="21"/>
          <w:color w:val="231F20"/>
        </w:rPr>
        <w:t>Unitil Energy, Fitchburg, Northern Utilities, Bangor and Maine Natural have a well-diversified customer mix and are not dependent on a single customer, or a few customers, for their electric and natural gas sales.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Revenue Decoupling</w:t>
      </w:r>
    </w:p>
    <w:p>
      <w:pPr>
        <w:spacing w:after="0" w:line="244" w:lineRule="exact"/>
        <w:rPr>
          <w:sz w:val="20"/>
          <w:szCs w:val="20"/>
          <w:color w:val="auto"/>
        </w:rPr>
      </w:pPr>
    </w:p>
    <w:p>
      <w:pPr>
        <w:ind w:right="60" w:firstLine="619"/>
        <w:spacing w:after="0" w:line="247" w:lineRule="auto"/>
        <w:rPr>
          <w:sz w:val="20"/>
          <w:szCs w:val="20"/>
          <w:color w:val="auto"/>
        </w:rPr>
      </w:pPr>
      <w:r>
        <w:rPr>
          <w:rFonts w:ascii="Times New Roman" w:cs="Times New Roman" w:eastAsia="Times New Roman" w:hAnsi="Times New Roman"/>
          <w:sz w:val="21"/>
          <w:szCs w:val="21"/>
          <w:color w:val="231F20"/>
        </w:rPr>
        <w:t>The Company’s electric and gas sales in Massachusetts and New Hampshire are largely decoupled. Revenue decoupling eliminates the dependency of distribution revenue on the volume of electricity or gas sold. The difference between distribution revenue amounts billed to customers and the targeted revenue decoupling amounts is recognized as an increase or a decrease in Accrued Revenue, which forms the basis for resetting rates for future cash recoveries from, or credits to, customers. These revenue decoupling targets may be adjusted as a result of rate cases and other authorized adjustments that the Company files with the MDPU and NHPUC.</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Non-Regulated and Other Non-Utility Operations</w:t>
      </w:r>
    </w:p>
    <w:p>
      <w:pPr>
        <w:spacing w:after="0" w:line="124" w:lineRule="exact"/>
        <w:rPr>
          <w:sz w:val="20"/>
          <w:szCs w:val="20"/>
          <w:color w:val="auto"/>
        </w:rPr>
      </w:pPr>
    </w:p>
    <w:p>
      <w:pPr>
        <w:ind w:right="40" w:firstLine="612"/>
        <w:spacing w:after="0" w:line="247" w:lineRule="auto"/>
        <w:rPr>
          <w:sz w:val="20"/>
          <w:szCs w:val="20"/>
          <w:color w:val="auto"/>
        </w:rPr>
      </w:pPr>
      <w:r>
        <w:rPr>
          <w:rFonts w:ascii="Times New Roman" w:cs="Times New Roman" w:eastAsia="Times New Roman" w:hAnsi="Times New Roman"/>
          <w:sz w:val="21"/>
          <w:szCs w:val="21"/>
          <w:color w:val="231F20"/>
        </w:rPr>
        <w:t>The results of Unitil’s other non-utility subsidiaries, Unitil Service, Unitil Resources, Unitil Realty, Unitil Water and the holding company, are included in the Company’s consolidated results of operations. The results of these non-utility operations are principally derived from income earned on short-term investments and real property owned for Unitil’s and its subsidiaries’ use and are reported, after intercompany eliminations, in Other segment income. For segment information, see Note 2 (Segment Information) to the Consolidated Financial Statements included in Part II, Item 8 (Financial Statements and Supplementary Data) of this report.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231F20"/>
        </w:rPr>
        <w:t>RATES AND REGULATION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Regulation</w:t>
      </w:r>
    </w:p>
    <w:p>
      <w:pPr>
        <w:spacing w:after="0" w:line="124" w:lineRule="exact"/>
        <w:rPr>
          <w:sz w:val="20"/>
          <w:szCs w:val="20"/>
          <w:color w:val="auto"/>
        </w:rPr>
      </w:pPr>
    </w:p>
    <w:p>
      <w:pPr>
        <w:ind w:right="80" w:firstLine="612"/>
        <w:spacing w:after="0" w:line="244" w:lineRule="auto"/>
        <w:rPr>
          <w:sz w:val="20"/>
          <w:szCs w:val="20"/>
          <w:color w:val="auto"/>
        </w:rPr>
      </w:pPr>
      <w:r>
        <w:rPr>
          <w:rFonts w:ascii="Times New Roman" w:cs="Times New Roman" w:eastAsia="Times New Roman" w:hAnsi="Times New Roman"/>
          <w:sz w:val="21"/>
          <w:szCs w:val="21"/>
          <w:color w:val="231F20"/>
        </w:rPr>
        <w:t>Unitil is subject to comprehensive regulation by federal and state regulatory authorities. Unitil and its subsidiaries are subject to regulation as a holding company system by the FERC under the Energy Policy Act of 2005 with regard to certain bookkeeping, accounting and reporting requirements. Unitil’s utility operations related to wholesale and interstate energy business activities also are regulated by the FERC. Unitil’s distribution utilities are subject to regulation by the applicable state public utility commissions, with regard to their rates, issuance of securities and other accounting and operational matters: Unitil Energy is subject to regulation by the NHPUC; Fitchburg is subject to regulation by the MDPU; Northern Utilities is regulated by the NHPUC and Maine Public Utilities Commission (MPUC); and Bangor and Maine Natural are regulated by the MPUC. Granite State, Unitil’s interstate natural gas transmission pipeline, is subject to regulation by the FERC with regard to its rates and operations. Because Unitil’s primary operations are subject to rate regulation, the regulatory treatment of various matters could significantly affect the Company’s operations and financial position.</w:t>
      </w:r>
    </w:p>
    <w:p>
      <w:pPr>
        <w:spacing w:after="0" w:line="200" w:lineRule="exact"/>
        <w:rPr>
          <w:sz w:val="20"/>
          <w:szCs w:val="20"/>
          <w:color w:val="auto"/>
        </w:rPr>
      </w:pPr>
    </w:p>
    <w:p>
      <w:pPr>
        <w:ind w:firstLine="612"/>
        <w:spacing w:after="0" w:line="244" w:lineRule="auto"/>
        <w:rPr>
          <w:sz w:val="20"/>
          <w:szCs w:val="20"/>
          <w:color w:val="auto"/>
        </w:rPr>
      </w:pPr>
      <w:r>
        <w:rPr>
          <w:rFonts w:ascii="Times New Roman" w:cs="Times New Roman" w:eastAsia="Times New Roman" w:hAnsi="Times New Roman"/>
          <w:sz w:val="21"/>
          <w:szCs w:val="21"/>
          <w:color w:val="231F20"/>
        </w:rPr>
        <w:t>Unitil Energy, Fitchburg, Northern Utilities and Maine Natural’s non-Augusta service areas deliver electricity and/or natural gas to all customers in their service territory, at rates established under cost of service regulation. Under this regulatory structure, Unitil’s distribution utilities are provided the opportunity to recover the cost of providing distribution service to their customers based on a test year, and to earn a reasonable return on their capital investment in utility assets. In addition, the Company’s distribution utilities and its natural gas transmission pipeline company may recover certain base rate costs, including capital project spending and enhanced reliability and vegetation management programs, through annual step adjustments and cost tracking rate mechanisms. Bangor and Maine Natural’s Augusta Service Area deliver natural gas to their customers at rates established under alternative rate plans, which provide multi-year rate changes designed to approximate market-based rates. The Company's electric and gas sales in New Hampshire and Massachusetts are largely decoupled.</w:t>
      </w:r>
    </w:p>
    <w:p>
      <w:pPr>
        <w:spacing w:after="0" w:line="204" w:lineRule="exact"/>
        <w:rPr>
          <w:sz w:val="20"/>
          <w:szCs w:val="20"/>
          <w:color w:val="auto"/>
        </w:rPr>
      </w:pPr>
    </w:p>
    <w:p>
      <w:pPr>
        <w:ind w:right="140" w:firstLine="612"/>
        <w:spacing w:after="0" w:line="259" w:lineRule="auto"/>
        <w:rPr>
          <w:sz w:val="20"/>
          <w:szCs w:val="20"/>
          <w:color w:val="auto"/>
        </w:rPr>
      </w:pPr>
      <w:r>
        <w:rPr>
          <w:rFonts w:ascii="Times New Roman" w:cs="Times New Roman" w:eastAsia="Times New Roman" w:hAnsi="Times New Roman"/>
          <w:sz w:val="21"/>
          <w:szCs w:val="21"/>
          <w:color w:val="231F20"/>
        </w:rPr>
        <w:t>Also see Note 1 (Summary of Significant Accounting Policies), Note 6 (Energy Supply) and Note 8 (Commitments and Contingencies) to the accompanying Consolidated Financial Statements for additional information regarding rates and regulation.</w:t>
      </w:r>
    </w:p>
    <w:p>
      <w:pPr>
        <w:sectPr>
          <w:pgSz w:w="12240" w:h="15840" w:orient="portrait"/>
          <w:cols w:equalWidth="0" w:num="1">
            <w:col w:w="10800"/>
          </w:cols>
          <w:pgMar w:left="720" w:top="929" w:right="720" w:bottom="1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231F20"/>
        </w:rPr>
        <w:t>6</w:t>
      </w:r>
    </w:p>
    <w:p>
      <w:pPr>
        <w:sectPr>
          <w:pgSz w:w="12240" w:h="15840" w:orient="portrait"/>
          <w:cols w:equalWidth="0" w:num="1">
            <w:col w:w="10800"/>
          </w:cols>
          <w:pgMar w:left="720" w:top="929" w:right="720" w:bottom="176"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1"/>
          <w:szCs w:val="21"/>
          <w:b w:val="1"/>
          <w:bCs w:val="1"/>
          <w:i w:val="1"/>
          <w:iCs w:val="1"/>
          <w:color w:val="231F20"/>
        </w:rPr>
        <w:t>EMPLOYEES</w:t>
      </w:r>
    </w:p>
    <w:p>
      <w:pPr>
        <w:spacing w:after="0" w:line="118" w:lineRule="exact"/>
        <w:rPr>
          <w:sz w:val="20"/>
          <w:szCs w:val="20"/>
          <w:color w:val="auto"/>
        </w:rPr>
      </w:pPr>
    </w:p>
    <w:p>
      <w:pPr>
        <w:ind w:firstLine="612"/>
        <w:spacing w:after="0" w:line="279" w:lineRule="auto"/>
        <w:rPr>
          <w:sz w:val="20"/>
          <w:szCs w:val="20"/>
          <w:color w:val="auto"/>
        </w:rPr>
      </w:pPr>
      <w:r>
        <w:rPr>
          <w:rFonts w:ascii="Times New Roman" w:cs="Times New Roman" w:eastAsia="Times New Roman" w:hAnsi="Times New Roman"/>
          <w:sz w:val="21"/>
          <w:szCs w:val="21"/>
          <w:color w:val="231F20"/>
        </w:rPr>
        <w:t>As of December 31, 2025, the Company and its subsidiaries had 595 employees. The Company considers its relationship with employees to be good and has not experienced any major labor disruptions.</w:t>
      </w:r>
    </w:p>
    <w:p>
      <w:pPr>
        <w:spacing w:after="0" w:line="162" w:lineRule="exact"/>
        <w:rPr>
          <w:sz w:val="20"/>
          <w:szCs w:val="20"/>
          <w:color w:val="auto"/>
        </w:rPr>
      </w:pPr>
    </w:p>
    <w:p>
      <w:pPr>
        <w:ind w:firstLine="612"/>
        <w:spacing w:after="0" w:line="279" w:lineRule="auto"/>
        <w:rPr>
          <w:sz w:val="20"/>
          <w:szCs w:val="20"/>
          <w:color w:val="auto"/>
        </w:rPr>
      </w:pPr>
      <w:r>
        <w:rPr>
          <w:rFonts w:ascii="Times New Roman" w:cs="Times New Roman" w:eastAsia="Times New Roman" w:hAnsi="Times New Roman"/>
          <w:sz w:val="21"/>
          <w:szCs w:val="21"/>
          <w:color w:val="231F20"/>
        </w:rPr>
        <w:t>The Company strives to be the employer of choice in the communities it serves. The Company works diligently to attract the best talent from a diverse range of sources to meet the current and future demands of the Company’s business.</w:t>
      </w:r>
    </w:p>
    <w:p>
      <w:pPr>
        <w:spacing w:after="0" w:line="162" w:lineRule="exact"/>
        <w:rPr>
          <w:sz w:val="20"/>
          <w:szCs w:val="20"/>
          <w:color w:val="auto"/>
        </w:rPr>
      </w:pPr>
    </w:p>
    <w:p>
      <w:pPr>
        <w:ind w:right="300" w:firstLine="612"/>
        <w:spacing w:after="0" w:line="249" w:lineRule="auto"/>
        <w:rPr>
          <w:sz w:val="20"/>
          <w:szCs w:val="20"/>
          <w:color w:val="auto"/>
        </w:rPr>
      </w:pPr>
      <w:r>
        <w:rPr>
          <w:rFonts w:ascii="Times New Roman" w:cs="Times New Roman" w:eastAsia="Times New Roman" w:hAnsi="Times New Roman"/>
          <w:sz w:val="21"/>
          <w:szCs w:val="21"/>
          <w:color w:val="231F20"/>
        </w:rPr>
        <w:t>To attract and retain a talented workforce, Unitil provides employee wages that are competitive and consistent with employee positions, skill levels, experience, knowledge and geographic location. All employees are eligible for health insurance, paid and unpaid leave, educational assistance, retirement plan and life and disability/accident coverage. Feedback from employees is collected annually in the Company’s employee opinion survey. This feedback helps create action plans to improve the engagement of employees consistent with the Company’s culture of continuous improvement.</w:t>
      </w:r>
    </w:p>
    <w:p>
      <w:pPr>
        <w:spacing w:after="0" w:line="195" w:lineRule="exact"/>
        <w:rPr>
          <w:sz w:val="20"/>
          <w:szCs w:val="20"/>
          <w:color w:val="auto"/>
        </w:rPr>
      </w:pPr>
    </w:p>
    <w:p>
      <w:pPr>
        <w:ind w:right="160" w:firstLine="612"/>
        <w:spacing w:after="0" w:line="259" w:lineRule="auto"/>
        <w:rPr>
          <w:sz w:val="20"/>
          <w:szCs w:val="20"/>
          <w:color w:val="auto"/>
        </w:rPr>
      </w:pPr>
      <w:r>
        <w:rPr>
          <w:rFonts w:ascii="Times New Roman" w:cs="Times New Roman" w:eastAsia="Times New Roman" w:hAnsi="Times New Roman"/>
          <w:sz w:val="21"/>
          <w:szCs w:val="21"/>
          <w:color w:val="231F20"/>
        </w:rPr>
        <w:t>As of December 31, 2025, a total of 192 employees of certain of the Company’s subsidiaries were represented by labor unions. The following table details by subsidiary the employees covered by a collective bargaining agreement (CBA) as of December 31, 2025:</w:t>
      </w:r>
    </w:p>
    <w:p>
      <w:pPr>
        <w:spacing w:after="0" w:line="235"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6520" w:type="dxa"/>
            <w:vAlign w:val="bottom"/>
            <w:tcBorders>
              <w:bottom w:val="single" w:sz="8" w:color="E6E7E8"/>
            </w:tcBorders>
          </w:tcPr>
          <w:p>
            <w:pPr>
              <w:spacing w:after="0"/>
              <w:rPr>
                <w:sz w:val="17"/>
                <w:szCs w:val="17"/>
                <w:color w:val="auto"/>
              </w:rPr>
            </w:pPr>
          </w:p>
        </w:tc>
        <w:tc>
          <w:tcPr>
            <w:tcW w:w="1640" w:type="dxa"/>
            <w:vAlign w:val="bottom"/>
            <w:tcBorders>
              <w:bottom w:val="single" w:sz="8" w:color="231F20"/>
            </w:tcBorders>
          </w:tcPr>
          <w:p>
            <w:pPr>
              <w:jc w:val="right"/>
              <w:ind w:right="67"/>
              <w:spacing w:after="0"/>
              <w:rPr>
                <w:sz w:val="20"/>
                <w:szCs w:val="20"/>
                <w:color w:val="auto"/>
              </w:rPr>
            </w:pPr>
            <w:r>
              <w:rPr>
                <w:rFonts w:ascii="Times New Roman" w:cs="Times New Roman" w:eastAsia="Times New Roman" w:hAnsi="Times New Roman"/>
                <w:sz w:val="16"/>
                <w:szCs w:val="16"/>
                <w:b w:val="1"/>
                <w:bCs w:val="1"/>
                <w:color w:val="231F20"/>
              </w:rPr>
              <w:t>Employees Covered</w:t>
            </w:r>
          </w:p>
        </w:tc>
        <w:tc>
          <w:tcPr>
            <w:tcW w:w="140" w:type="dxa"/>
            <w:vAlign w:val="bottom"/>
            <w:tcBorders>
              <w:bottom w:val="single" w:sz="8" w:color="E6E7E8"/>
            </w:tcBorders>
          </w:tcPr>
          <w:p>
            <w:pPr>
              <w:spacing w:after="0"/>
              <w:rPr>
                <w:sz w:val="17"/>
                <w:szCs w:val="17"/>
                <w:color w:val="auto"/>
              </w:rPr>
            </w:pPr>
          </w:p>
        </w:tc>
        <w:tc>
          <w:tcPr>
            <w:tcW w:w="14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CBA Expiration</w:t>
            </w:r>
          </w:p>
        </w:tc>
      </w:tr>
      <w:tr>
        <w:trPr>
          <w:trHeight w:val="227"/>
        </w:trPr>
        <w:tc>
          <w:tcPr>
            <w:tcW w:w="6520" w:type="dxa"/>
            <w:vAlign w:val="bottom"/>
            <w:shd w:val="clear" w:color="auto" w:fill="E6E7E8"/>
          </w:tcPr>
          <w:p>
            <w:pPr>
              <w:spacing w:after="0"/>
              <w:rPr>
                <w:sz w:val="20"/>
                <w:szCs w:val="20"/>
                <w:color w:val="auto"/>
              </w:rPr>
            </w:pPr>
            <w:r>
              <w:rPr>
                <w:rFonts w:ascii="Times New Roman" w:cs="Times New Roman" w:eastAsia="Times New Roman" w:hAnsi="Times New Roman"/>
                <w:sz w:val="19"/>
                <w:szCs w:val="19"/>
                <w:color w:val="231F20"/>
              </w:rPr>
              <w:t>Unitil Energy</w:t>
            </w:r>
          </w:p>
        </w:tc>
        <w:tc>
          <w:tcPr>
            <w:tcW w:w="1640" w:type="dxa"/>
            <w:vAlign w:val="bottom"/>
            <w:shd w:val="clear" w:color="auto" w:fill="E6E7E8"/>
          </w:tcPr>
          <w:p>
            <w:pPr>
              <w:jc w:val="right"/>
              <w:ind w:right="707"/>
              <w:spacing w:after="0"/>
              <w:rPr>
                <w:sz w:val="20"/>
                <w:szCs w:val="20"/>
                <w:color w:val="auto"/>
              </w:rPr>
            </w:pPr>
            <w:r>
              <w:rPr>
                <w:rFonts w:ascii="Times New Roman" w:cs="Times New Roman" w:eastAsia="Times New Roman" w:hAnsi="Times New Roman"/>
                <w:sz w:val="19"/>
                <w:szCs w:val="19"/>
                <w:color w:val="231F20"/>
              </w:rPr>
              <w:t>40</w:t>
            </w:r>
          </w:p>
        </w:tc>
        <w:tc>
          <w:tcPr>
            <w:tcW w:w="140" w:type="dxa"/>
            <w:vAlign w:val="bottom"/>
            <w:shd w:val="clear" w:color="auto" w:fill="E6E7E8"/>
          </w:tcPr>
          <w:p>
            <w:pPr>
              <w:spacing w:after="0"/>
              <w:rPr>
                <w:sz w:val="19"/>
                <w:szCs w:val="19"/>
                <w:color w:val="auto"/>
              </w:rPr>
            </w:pPr>
          </w:p>
        </w:tc>
        <w:tc>
          <w:tcPr>
            <w:tcW w:w="1420" w:type="dxa"/>
            <w:vAlign w:val="bottom"/>
            <w:shd w:val="clear" w:color="auto" w:fill="E6E7E8"/>
          </w:tcPr>
          <w:p>
            <w:pPr>
              <w:jc w:val="center"/>
              <w:spacing w:after="0"/>
              <w:rPr>
                <w:sz w:val="20"/>
                <w:szCs w:val="20"/>
                <w:color w:val="auto"/>
              </w:rPr>
            </w:pPr>
            <w:r>
              <w:rPr>
                <w:rFonts w:ascii="Times New Roman" w:cs="Times New Roman" w:eastAsia="Times New Roman" w:hAnsi="Times New Roman"/>
                <w:sz w:val="19"/>
                <w:szCs w:val="19"/>
                <w:color w:val="231F20"/>
              </w:rPr>
              <w:t>5/31/2028</w:t>
            </w:r>
          </w:p>
        </w:tc>
      </w:tr>
      <w:tr>
        <w:trPr>
          <w:trHeight w:val="233"/>
        </w:trPr>
        <w:tc>
          <w:tcPr>
            <w:tcW w:w="6520" w:type="dxa"/>
            <w:vAlign w:val="bottom"/>
          </w:tcPr>
          <w:p>
            <w:pPr>
              <w:spacing w:after="0"/>
              <w:rPr>
                <w:sz w:val="20"/>
                <w:szCs w:val="20"/>
                <w:color w:val="auto"/>
              </w:rPr>
            </w:pPr>
            <w:r>
              <w:rPr>
                <w:rFonts w:ascii="Times New Roman" w:cs="Times New Roman" w:eastAsia="Times New Roman" w:hAnsi="Times New Roman"/>
                <w:sz w:val="19"/>
                <w:szCs w:val="19"/>
                <w:color w:val="231F20"/>
              </w:rPr>
              <w:t>Fitchburg</w:t>
            </w:r>
          </w:p>
        </w:tc>
        <w:tc>
          <w:tcPr>
            <w:tcW w:w="1640" w:type="dxa"/>
            <w:vAlign w:val="bottom"/>
          </w:tcPr>
          <w:p>
            <w:pPr>
              <w:jc w:val="right"/>
              <w:ind w:right="707"/>
              <w:spacing w:after="0"/>
              <w:rPr>
                <w:sz w:val="20"/>
                <w:szCs w:val="20"/>
                <w:color w:val="auto"/>
              </w:rPr>
            </w:pPr>
            <w:r>
              <w:rPr>
                <w:rFonts w:ascii="Times New Roman" w:cs="Times New Roman" w:eastAsia="Times New Roman" w:hAnsi="Times New Roman"/>
                <w:sz w:val="19"/>
                <w:szCs w:val="19"/>
                <w:color w:val="231F20"/>
              </w:rPr>
              <w:t>45</w:t>
            </w:r>
          </w:p>
        </w:tc>
        <w:tc>
          <w:tcPr>
            <w:tcW w:w="14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5/31/2027</w:t>
            </w:r>
          </w:p>
        </w:tc>
      </w:tr>
      <w:tr>
        <w:trPr>
          <w:trHeight w:val="233"/>
        </w:trPr>
        <w:tc>
          <w:tcPr>
            <w:tcW w:w="6520" w:type="dxa"/>
            <w:vAlign w:val="bottom"/>
            <w:shd w:val="clear" w:color="auto" w:fill="E6E7E8"/>
          </w:tcPr>
          <w:p>
            <w:pPr>
              <w:spacing w:after="0"/>
              <w:rPr>
                <w:sz w:val="20"/>
                <w:szCs w:val="20"/>
                <w:color w:val="auto"/>
              </w:rPr>
            </w:pPr>
            <w:r>
              <w:rPr>
                <w:rFonts w:ascii="Times New Roman" w:cs="Times New Roman" w:eastAsia="Times New Roman" w:hAnsi="Times New Roman"/>
                <w:sz w:val="19"/>
                <w:szCs w:val="19"/>
                <w:color w:val="231F20"/>
              </w:rPr>
              <w:t>Northern Utilities NH Division</w:t>
            </w:r>
          </w:p>
        </w:tc>
        <w:tc>
          <w:tcPr>
            <w:tcW w:w="1640" w:type="dxa"/>
            <w:vAlign w:val="bottom"/>
            <w:shd w:val="clear" w:color="auto" w:fill="E6E7E8"/>
          </w:tcPr>
          <w:p>
            <w:pPr>
              <w:jc w:val="right"/>
              <w:ind w:right="707"/>
              <w:spacing w:after="0"/>
              <w:rPr>
                <w:sz w:val="20"/>
                <w:szCs w:val="20"/>
                <w:color w:val="auto"/>
              </w:rPr>
            </w:pPr>
            <w:r>
              <w:rPr>
                <w:rFonts w:ascii="Times New Roman" w:cs="Times New Roman" w:eastAsia="Times New Roman" w:hAnsi="Times New Roman"/>
                <w:sz w:val="19"/>
                <w:szCs w:val="19"/>
                <w:color w:val="231F20"/>
              </w:rPr>
              <w:t>35</w:t>
            </w:r>
          </w:p>
        </w:tc>
        <w:tc>
          <w:tcPr>
            <w:tcW w:w="1560" w:type="dxa"/>
            <w:vAlign w:val="bottom"/>
            <w:gridSpan w:val="2"/>
            <w:shd w:val="clear" w:color="auto" w:fill="E6E7E8"/>
          </w:tcPr>
          <w:p>
            <w:pPr>
              <w:jc w:val="center"/>
              <w:ind w:left="45"/>
              <w:spacing w:after="0"/>
              <w:rPr>
                <w:sz w:val="20"/>
                <w:szCs w:val="20"/>
                <w:color w:val="auto"/>
              </w:rPr>
            </w:pPr>
            <w:r>
              <w:rPr>
                <w:rFonts w:ascii="Times New Roman" w:cs="Times New Roman" w:eastAsia="Times New Roman" w:hAnsi="Times New Roman"/>
                <w:sz w:val="19"/>
                <w:szCs w:val="19"/>
                <w:color w:val="231F20"/>
              </w:rPr>
              <w:t>5/31/2030</w:t>
            </w:r>
          </w:p>
        </w:tc>
      </w:tr>
      <w:tr>
        <w:trPr>
          <w:trHeight w:val="233"/>
        </w:trPr>
        <w:tc>
          <w:tcPr>
            <w:tcW w:w="6520" w:type="dxa"/>
            <w:vAlign w:val="bottom"/>
          </w:tcPr>
          <w:p>
            <w:pPr>
              <w:spacing w:after="0"/>
              <w:rPr>
                <w:sz w:val="20"/>
                <w:szCs w:val="20"/>
                <w:color w:val="auto"/>
              </w:rPr>
            </w:pPr>
            <w:r>
              <w:rPr>
                <w:rFonts w:ascii="Times New Roman" w:cs="Times New Roman" w:eastAsia="Times New Roman" w:hAnsi="Times New Roman"/>
                <w:sz w:val="19"/>
                <w:szCs w:val="19"/>
                <w:color w:val="231F20"/>
              </w:rPr>
              <w:t>Northern Utilities ME Division</w:t>
            </w:r>
          </w:p>
        </w:tc>
        <w:tc>
          <w:tcPr>
            <w:tcW w:w="1640" w:type="dxa"/>
            <w:vAlign w:val="bottom"/>
          </w:tcPr>
          <w:p>
            <w:pPr>
              <w:jc w:val="right"/>
              <w:ind w:right="707"/>
              <w:spacing w:after="0"/>
              <w:rPr>
                <w:sz w:val="20"/>
                <w:szCs w:val="20"/>
                <w:color w:val="auto"/>
              </w:rPr>
            </w:pPr>
            <w:r>
              <w:rPr>
                <w:rFonts w:ascii="Times New Roman" w:cs="Times New Roman" w:eastAsia="Times New Roman" w:hAnsi="Times New Roman"/>
                <w:sz w:val="19"/>
                <w:szCs w:val="19"/>
                <w:color w:val="231F20"/>
              </w:rPr>
              <w:t>41</w:t>
            </w:r>
          </w:p>
        </w:tc>
        <w:tc>
          <w:tcPr>
            <w:tcW w:w="1560" w:type="dxa"/>
            <w:vAlign w:val="bottom"/>
            <w:gridSpan w:val="2"/>
          </w:tcPr>
          <w:p>
            <w:pPr>
              <w:jc w:val="center"/>
              <w:ind w:left="45"/>
              <w:spacing w:after="0"/>
              <w:rPr>
                <w:sz w:val="20"/>
                <w:szCs w:val="20"/>
                <w:color w:val="auto"/>
              </w:rPr>
            </w:pPr>
            <w:r>
              <w:rPr>
                <w:rFonts w:ascii="Times New Roman" w:cs="Times New Roman" w:eastAsia="Times New Roman" w:hAnsi="Times New Roman"/>
                <w:sz w:val="19"/>
                <w:szCs w:val="19"/>
                <w:color w:val="231F20"/>
              </w:rPr>
              <w:t>3/31/2027</w:t>
            </w:r>
          </w:p>
        </w:tc>
      </w:tr>
      <w:tr>
        <w:trPr>
          <w:trHeight w:val="233"/>
        </w:trPr>
        <w:tc>
          <w:tcPr>
            <w:tcW w:w="6520" w:type="dxa"/>
            <w:vAlign w:val="bottom"/>
            <w:shd w:val="clear" w:color="auto" w:fill="E6E7E8"/>
          </w:tcPr>
          <w:p>
            <w:pPr>
              <w:spacing w:after="0"/>
              <w:rPr>
                <w:sz w:val="20"/>
                <w:szCs w:val="20"/>
                <w:color w:val="auto"/>
              </w:rPr>
            </w:pPr>
            <w:r>
              <w:rPr>
                <w:rFonts w:ascii="Times New Roman" w:cs="Times New Roman" w:eastAsia="Times New Roman" w:hAnsi="Times New Roman"/>
                <w:sz w:val="19"/>
                <w:szCs w:val="19"/>
                <w:color w:val="231F20"/>
              </w:rPr>
              <w:t>Bangor</w:t>
            </w:r>
          </w:p>
        </w:tc>
        <w:tc>
          <w:tcPr>
            <w:tcW w:w="1640" w:type="dxa"/>
            <w:vAlign w:val="bottom"/>
            <w:shd w:val="clear" w:color="auto" w:fill="E6E7E8"/>
          </w:tcPr>
          <w:p>
            <w:pPr>
              <w:jc w:val="right"/>
              <w:ind w:right="707"/>
              <w:spacing w:after="0"/>
              <w:rPr>
                <w:sz w:val="20"/>
                <w:szCs w:val="20"/>
                <w:color w:val="auto"/>
              </w:rPr>
            </w:pPr>
            <w:r>
              <w:rPr>
                <w:rFonts w:ascii="Times New Roman" w:cs="Times New Roman" w:eastAsia="Times New Roman" w:hAnsi="Times New Roman"/>
                <w:sz w:val="19"/>
                <w:szCs w:val="19"/>
                <w:color w:val="231F20"/>
              </w:rPr>
              <w:t>13</w:t>
            </w:r>
          </w:p>
        </w:tc>
        <w:tc>
          <w:tcPr>
            <w:tcW w:w="1560" w:type="dxa"/>
            <w:vAlign w:val="bottom"/>
            <w:gridSpan w:val="2"/>
            <w:shd w:val="clear" w:color="auto" w:fill="E6E7E8"/>
          </w:tcPr>
          <w:p>
            <w:pPr>
              <w:jc w:val="center"/>
              <w:ind w:left="45"/>
              <w:spacing w:after="0"/>
              <w:rPr>
                <w:sz w:val="20"/>
                <w:szCs w:val="20"/>
                <w:color w:val="auto"/>
              </w:rPr>
            </w:pPr>
            <w:r>
              <w:rPr>
                <w:rFonts w:ascii="Times New Roman" w:cs="Times New Roman" w:eastAsia="Times New Roman" w:hAnsi="Times New Roman"/>
                <w:sz w:val="19"/>
                <w:szCs w:val="19"/>
                <w:color w:val="231F20"/>
              </w:rPr>
              <w:t>5/31/2026</w:t>
            </w:r>
          </w:p>
        </w:tc>
      </w:tr>
      <w:tr>
        <w:trPr>
          <w:trHeight w:val="233"/>
        </w:trPr>
        <w:tc>
          <w:tcPr>
            <w:tcW w:w="6520" w:type="dxa"/>
            <w:vAlign w:val="bottom"/>
          </w:tcPr>
          <w:p>
            <w:pPr>
              <w:spacing w:after="0"/>
              <w:rPr>
                <w:sz w:val="20"/>
                <w:szCs w:val="20"/>
                <w:color w:val="auto"/>
              </w:rPr>
            </w:pPr>
            <w:r>
              <w:rPr>
                <w:rFonts w:ascii="Times New Roman" w:cs="Times New Roman" w:eastAsia="Times New Roman" w:hAnsi="Times New Roman"/>
                <w:sz w:val="19"/>
                <w:szCs w:val="19"/>
                <w:color w:val="231F20"/>
              </w:rPr>
              <w:t>Maine Natural</w:t>
            </w:r>
          </w:p>
        </w:tc>
        <w:tc>
          <w:tcPr>
            <w:tcW w:w="1640" w:type="dxa"/>
            <w:vAlign w:val="bottom"/>
          </w:tcPr>
          <w:p>
            <w:pPr>
              <w:jc w:val="right"/>
              <w:ind w:right="707"/>
              <w:spacing w:after="0"/>
              <w:rPr>
                <w:sz w:val="20"/>
                <w:szCs w:val="20"/>
                <w:color w:val="auto"/>
              </w:rPr>
            </w:pPr>
            <w:r>
              <w:rPr>
                <w:rFonts w:ascii="Times New Roman" w:cs="Times New Roman" w:eastAsia="Times New Roman" w:hAnsi="Times New Roman"/>
                <w:sz w:val="19"/>
                <w:szCs w:val="19"/>
                <w:color w:val="231F20"/>
              </w:rPr>
              <w:t>8</w:t>
            </w:r>
          </w:p>
        </w:tc>
        <w:tc>
          <w:tcPr>
            <w:tcW w:w="1560" w:type="dxa"/>
            <w:vAlign w:val="bottom"/>
            <w:gridSpan w:val="2"/>
          </w:tcPr>
          <w:p>
            <w:pPr>
              <w:jc w:val="center"/>
              <w:ind w:left="45"/>
              <w:spacing w:after="0"/>
              <w:rPr>
                <w:sz w:val="20"/>
                <w:szCs w:val="20"/>
                <w:color w:val="auto"/>
              </w:rPr>
            </w:pPr>
            <w:r>
              <w:rPr>
                <w:rFonts w:ascii="Times New Roman" w:cs="Times New Roman" w:eastAsia="Times New Roman" w:hAnsi="Times New Roman"/>
                <w:sz w:val="19"/>
                <w:szCs w:val="19"/>
                <w:color w:val="231F20"/>
              </w:rPr>
              <w:t>3/31/2027</w:t>
            </w:r>
          </w:p>
        </w:tc>
      </w:tr>
      <w:tr>
        <w:trPr>
          <w:trHeight w:val="233"/>
        </w:trPr>
        <w:tc>
          <w:tcPr>
            <w:tcW w:w="6520" w:type="dxa"/>
            <w:vAlign w:val="bottom"/>
            <w:shd w:val="clear" w:color="auto" w:fill="E6E7E8"/>
          </w:tcPr>
          <w:p>
            <w:pPr>
              <w:spacing w:after="0"/>
              <w:rPr>
                <w:sz w:val="20"/>
                <w:szCs w:val="20"/>
                <w:color w:val="auto"/>
              </w:rPr>
            </w:pPr>
            <w:r>
              <w:rPr>
                <w:rFonts w:ascii="Times New Roman" w:cs="Times New Roman" w:eastAsia="Times New Roman" w:hAnsi="Times New Roman"/>
                <w:sz w:val="19"/>
                <w:szCs w:val="19"/>
                <w:color w:val="231F20"/>
              </w:rPr>
              <w:t>Granite State</w:t>
            </w:r>
          </w:p>
        </w:tc>
        <w:tc>
          <w:tcPr>
            <w:tcW w:w="1640" w:type="dxa"/>
            <w:vAlign w:val="bottom"/>
            <w:shd w:val="clear" w:color="auto" w:fill="E6E7E8"/>
          </w:tcPr>
          <w:p>
            <w:pPr>
              <w:jc w:val="right"/>
              <w:ind w:right="707"/>
              <w:spacing w:after="0"/>
              <w:rPr>
                <w:sz w:val="20"/>
                <w:szCs w:val="20"/>
                <w:color w:val="auto"/>
              </w:rPr>
            </w:pPr>
            <w:r>
              <w:rPr>
                <w:rFonts w:ascii="Times New Roman" w:cs="Times New Roman" w:eastAsia="Times New Roman" w:hAnsi="Times New Roman"/>
                <w:sz w:val="19"/>
                <w:szCs w:val="19"/>
                <w:color w:val="231F20"/>
              </w:rPr>
              <w:t>5</w:t>
            </w:r>
          </w:p>
        </w:tc>
        <w:tc>
          <w:tcPr>
            <w:tcW w:w="1560" w:type="dxa"/>
            <w:vAlign w:val="bottom"/>
            <w:gridSpan w:val="2"/>
            <w:shd w:val="clear" w:color="auto" w:fill="E6E7E8"/>
          </w:tcPr>
          <w:p>
            <w:pPr>
              <w:jc w:val="center"/>
              <w:ind w:left="45"/>
              <w:spacing w:after="0"/>
              <w:rPr>
                <w:sz w:val="20"/>
                <w:szCs w:val="20"/>
                <w:color w:val="auto"/>
              </w:rPr>
            </w:pPr>
            <w:r>
              <w:rPr>
                <w:rFonts w:ascii="Times New Roman" w:cs="Times New Roman" w:eastAsia="Times New Roman" w:hAnsi="Times New Roman"/>
                <w:sz w:val="19"/>
                <w:szCs w:val="19"/>
                <w:color w:val="231F20"/>
              </w:rPr>
              <w:t>3/31/2027</w:t>
            </w:r>
          </w:p>
        </w:tc>
      </w:tr>
      <w:tr>
        <w:trPr>
          <w:trHeight w:val="255"/>
        </w:trPr>
        <w:tc>
          <w:tcPr>
            <w:tcW w:w="6520" w:type="dxa"/>
            <w:vAlign w:val="bottom"/>
          </w:tcPr>
          <w:p>
            <w:pPr>
              <w:spacing w:after="0"/>
              <w:rPr>
                <w:sz w:val="20"/>
                <w:szCs w:val="20"/>
                <w:color w:val="auto"/>
              </w:rPr>
            </w:pPr>
            <w:r>
              <w:rPr>
                <w:rFonts w:ascii="Times New Roman" w:cs="Times New Roman" w:eastAsia="Times New Roman" w:hAnsi="Times New Roman"/>
                <w:sz w:val="19"/>
                <w:szCs w:val="19"/>
                <w:color w:val="231F20"/>
              </w:rPr>
              <w:t>Unitil Service</w:t>
            </w:r>
          </w:p>
        </w:tc>
        <w:tc>
          <w:tcPr>
            <w:tcW w:w="1640" w:type="dxa"/>
            <w:vAlign w:val="bottom"/>
          </w:tcPr>
          <w:p>
            <w:pPr>
              <w:jc w:val="right"/>
              <w:ind w:right="707"/>
              <w:spacing w:after="0"/>
              <w:rPr>
                <w:sz w:val="20"/>
                <w:szCs w:val="20"/>
                <w:color w:val="auto"/>
              </w:rPr>
            </w:pPr>
            <w:r>
              <w:rPr>
                <w:rFonts w:ascii="Times New Roman" w:cs="Times New Roman" w:eastAsia="Times New Roman" w:hAnsi="Times New Roman"/>
                <w:sz w:val="19"/>
                <w:szCs w:val="19"/>
                <w:color w:val="231F20"/>
              </w:rPr>
              <w:t>5</w:t>
            </w:r>
          </w:p>
        </w:tc>
        <w:tc>
          <w:tcPr>
            <w:tcW w:w="1560" w:type="dxa"/>
            <w:vAlign w:val="bottom"/>
            <w:gridSpan w:val="2"/>
          </w:tcPr>
          <w:p>
            <w:pPr>
              <w:jc w:val="center"/>
              <w:ind w:left="45"/>
              <w:spacing w:after="0"/>
              <w:rPr>
                <w:sz w:val="20"/>
                <w:szCs w:val="20"/>
                <w:color w:val="auto"/>
              </w:rPr>
            </w:pPr>
            <w:r>
              <w:rPr>
                <w:rFonts w:ascii="Times New Roman" w:cs="Times New Roman" w:eastAsia="Times New Roman" w:hAnsi="Times New Roman"/>
                <w:sz w:val="19"/>
                <w:szCs w:val="19"/>
                <w:color w:val="231F20"/>
              </w:rPr>
              <w:t>5/31/2028</w:t>
            </w:r>
          </w:p>
        </w:tc>
      </w:tr>
    </w:tbl>
    <w:p>
      <w:pPr>
        <w:spacing w:after="0" w:line="232" w:lineRule="exact"/>
        <w:rPr>
          <w:sz w:val="20"/>
          <w:szCs w:val="20"/>
          <w:color w:val="auto"/>
        </w:rPr>
      </w:pPr>
    </w:p>
    <w:p>
      <w:pPr>
        <w:ind w:right="100" w:firstLine="612"/>
        <w:spacing w:after="0" w:line="279" w:lineRule="auto"/>
        <w:rPr>
          <w:sz w:val="20"/>
          <w:szCs w:val="20"/>
          <w:color w:val="auto"/>
        </w:rPr>
      </w:pPr>
      <w:r>
        <w:rPr>
          <w:rFonts w:ascii="Times New Roman" w:cs="Times New Roman" w:eastAsia="Times New Roman" w:hAnsi="Times New Roman"/>
          <w:sz w:val="21"/>
          <w:szCs w:val="21"/>
          <w:color w:val="231F20"/>
        </w:rPr>
        <w:t>The CBAs provide discrete salary adjustments, established work practices and uniform benefit packages. The Company expects to negotiate new agreements prior to their expiration dates.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231F20"/>
        </w:rPr>
        <w:t>RECENT DEVELOPMENTS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Acquisition of Bangor Natural Gas Company</w:t>
      </w:r>
    </w:p>
    <w:p>
      <w:pPr>
        <w:spacing w:after="0" w:line="244" w:lineRule="exact"/>
        <w:rPr>
          <w:sz w:val="20"/>
          <w:szCs w:val="20"/>
          <w:color w:val="auto"/>
        </w:rPr>
      </w:pPr>
    </w:p>
    <w:p>
      <w:pPr>
        <w:jc w:val="both"/>
        <w:ind w:right="520" w:firstLine="619"/>
        <w:spacing w:after="0" w:line="259" w:lineRule="auto"/>
        <w:rPr>
          <w:sz w:val="20"/>
          <w:szCs w:val="20"/>
          <w:color w:val="auto"/>
        </w:rPr>
      </w:pPr>
      <w:r>
        <w:rPr>
          <w:rFonts w:ascii="Times New Roman" w:cs="Times New Roman" w:eastAsia="Times New Roman" w:hAnsi="Times New Roman"/>
          <w:sz w:val="21"/>
          <w:szCs w:val="21"/>
          <w:color w:val="231F20"/>
        </w:rPr>
        <w:t>On January 31, 2025, the Company acquired all issued and outstanding shares of Bangor for $71.4 million, which includes an estimated working capital adjustment. Through this acquisition, the Company expanded its service territory to include approximately 8,500 customers in the greater Bangor area of central Maine.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Acquisition of Maine Natural Gas Corporation</w:t>
      </w:r>
    </w:p>
    <w:p>
      <w:pPr>
        <w:spacing w:after="0" w:line="244" w:lineRule="exact"/>
        <w:rPr>
          <w:sz w:val="20"/>
          <w:szCs w:val="20"/>
          <w:color w:val="auto"/>
        </w:rPr>
      </w:pPr>
    </w:p>
    <w:p>
      <w:pPr>
        <w:ind w:right="100" w:firstLine="619"/>
        <w:spacing w:after="0" w:line="247" w:lineRule="auto"/>
        <w:rPr>
          <w:sz w:val="20"/>
          <w:szCs w:val="20"/>
          <w:color w:val="auto"/>
        </w:rPr>
      </w:pPr>
      <w:r>
        <w:rPr>
          <w:rFonts w:ascii="Times New Roman" w:cs="Times New Roman" w:eastAsia="Times New Roman" w:hAnsi="Times New Roman"/>
          <w:sz w:val="21"/>
          <w:szCs w:val="21"/>
          <w:color w:val="231F20"/>
        </w:rPr>
        <w:t>On March 31, 2025, the Company entered into a Stock Purchase Agreement (the Avangrid Purchase Agreement) between the Company and Avangrid Enterprises, Inc. (Avangrid). Pursuant to, and subject to the terms and conditions of, the Avangrid Purchase Agreement, the Company agreed to acquire all of the issued and outstanding shares of capital stock of Maine Natural from Avangrid for $86.0 million in cash, subject to certain adjustments as provided in the Avangrid Purchase Agreement. The MPUC issued an order on September 12, 2025 approving the merger of Maine Natural into the Company. The transaction closed on October 31, 2025.</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231F20"/>
        </w:rPr>
        <w:t>AVAILABLE INFORMATION</w:t>
      </w:r>
    </w:p>
    <w:p>
      <w:pPr>
        <w:spacing w:after="0" w:line="118" w:lineRule="exact"/>
        <w:rPr>
          <w:sz w:val="20"/>
          <w:szCs w:val="20"/>
          <w:color w:val="auto"/>
        </w:rPr>
      </w:pPr>
    </w:p>
    <w:p>
      <w:pPr>
        <w:ind w:right="140" w:firstLine="612"/>
        <w:spacing w:after="0" w:line="278" w:lineRule="auto"/>
        <w:rPr>
          <w:sz w:val="20"/>
          <w:szCs w:val="20"/>
          <w:color w:val="auto"/>
        </w:rPr>
      </w:pPr>
      <w:r>
        <w:rPr>
          <w:rFonts w:ascii="Times New Roman" w:cs="Times New Roman" w:eastAsia="Times New Roman" w:hAnsi="Times New Roman"/>
          <w:sz w:val="20"/>
          <w:szCs w:val="20"/>
          <w:color w:val="231F20"/>
        </w:rPr>
        <w:t xml:space="preserve">The Internet address for the Company’s website is </w:t>
      </w:r>
      <w:r>
        <w:rPr>
          <w:rFonts w:ascii="Times New Roman" w:cs="Times New Roman" w:eastAsia="Times New Roman" w:hAnsi="Times New Roman"/>
          <w:sz w:val="20"/>
          <w:szCs w:val="20"/>
          <w:i w:val="1"/>
          <w:iCs w:val="1"/>
          <w:u w:val="single" w:color="auto"/>
          <w:color w:val="231F20"/>
        </w:rPr>
        <w:t>unitil.com</w:t>
      </w:r>
      <w:r>
        <w:rPr>
          <w:rFonts w:ascii="Times New Roman" w:cs="Times New Roman" w:eastAsia="Times New Roman" w:hAnsi="Times New Roman"/>
          <w:sz w:val="20"/>
          <w:szCs w:val="20"/>
          <w:color w:val="231F20"/>
        </w:rPr>
        <w:t>. On the Investors section of the Company’s website, the Company makes available, free of charge, its Securities and Exchange Commission (SEC) reports, including annual reports on Form 10-K, quarterly reports on Form 10-Q, current reports on Form 8-K and other reports, as well as amendments to those</w:t>
      </w:r>
    </w:p>
    <w:p>
      <w:pPr>
        <w:sectPr>
          <w:pgSz w:w="12240" w:h="15840" w:orient="portrait"/>
          <w:cols w:equalWidth="0" w:num="1">
            <w:col w:w="10780"/>
          </w:cols>
          <w:pgMar w:left="720" w:top="930" w:right="740" w:bottom="1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231F20"/>
        </w:rPr>
        <w:t>7</w:t>
      </w:r>
    </w:p>
    <w:p>
      <w:pPr>
        <w:sectPr>
          <w:pgSz w:w="12240" w:h="15840" w:orient="portrait"/>
          <w:cols w:equalWidth="0" w:num="1">
            <w:col w:w="10780"/>
          </w:cols>
          <w:pgMar w:left="720" w:top="930" w:right="740" w:bottom="176" w:gutter="0" w:footer="0" w:header="0"/>
          <w:type w:val="continuous"/>
        </w:sectPr>
      </w:pPr>
    </w:p>
    <w:bookmarkStart w:id="27" w:name="page28"/>
    <w:bookmarkEnd w:id="27"/>
    <w:p>
      <w:pPr>
        <w:ind w:right="640"/>
        <w:spacing w:after="0" w:line="279" w:lineRule="auto"/>
        <w:rPr>
          <w:sz w:val="20"/>
          <w:szCs w:val="20"/>
          <w:color w:val="auto"/>
        </w:rPr>
      </w:pPr>
      <w:r>
        <w:rPr>
          <w:rFonts w:ascii="Times New Roman" w:cs="Times New Roman" w:eastAsia="Times New Roman" w:hAnsi="Times New Roman"/>
          <w:sz w:val="21"/>
          <w:szCs w:val="21"/>
          <w:color w:val="231F20"/>
        </w:rPr>
        <w:t>reports filed or furnished pursuant to Section 13(a) or 15(d) of the Exchange Act as soon as reasonably practical after the Company electronically files such material with, or furnishes such material to, the SEC.</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231F20"/>
        </w:rPr>
        <w:t>The Company’s current Code of Ethics was approved by Unitil’s Board of Directors (the “Board”) on January 15, 2004.</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231F20"/>
        </w:rPr>
        <w:t>This Code of Ethics, along with any amendments or waivers, is also available on Unitil’s website.</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231F20"/>
        </w:rPr>
        <w:t>Unitil’s common stock is listed on the New York Stock Exchange under the ticker symbol “UTL”.</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231F20"/>
        </w:rPr>
        <w:t>INVESTOR INFORMATION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Annual Meeting</w:t>
      </w:r>
    </w:p>
    <w:p>
      <w:pPr>
        <w:spacing w:after="0" w:line="124" w:lineRule="exact"/>
        <w:rPr>
          <w:sz w:val="20"/>
          <w:szCs w:val="20"/>
          <w:color w:val="auto"/>
        </w:rPr>
      </w:pPr>
    </w:p>
    <w:p>
      <w:pPr>
        <w:ind w:right="300" w:firstLine="612"/>
        <w:spacing w:after="0" w:line="279" w:lineRule="auto"/>
        <w:rPr>
          <w:sz w:val="20"/>
          <w:szCs w:val="20"/>
          <w:color w:val="auto"/>
        </w:rPr>
      </w:pPr>
      <w:r>
        <w:rPr>
          <w:rFonts w:ascii="Times New Roman" w:cs="Times New Roman" w:eastAsia="Times New Roman" w:hAnsi="Times New Roman"/>
          <w:sz w:val="21"/>
          <w:szCs w:val="21"/>
          <w:color w:val="231F20"/>
        </w:rPr>
        <w:t>The Company’s annual meeting of shareholders is scheduled to be held at the offices of the Company, 6 Liberty Lane West, Hampton, New Hampshire, on Wednesday, April 29, 2026, at 11:30 a.m. Eastern Time.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Transfer Agent</w:t>
      </w:r>
    </w:p>
    <w:p>
      <w:pPr>
        <w:spacing w:after="0" w:line="124" w:lineRule="exact"/>
        <w:rPr>
          <w:sz w:val="20"/>
          <w:szCs w:val="20"/>
          <w:color w:val="auto"/>
        </w:rPr>
      </w:pPr>
    </w:p>
    <w:p>
      <w:pPr>
        <w:ind w:right="20" w:firstLine="612"/>
        <w:spacing w:after="0" w:line="259" w:lineRule="auto"/>
        <w:rPr>
          <w:sz w:val="20"/>
          <w:szCs w:val="20"/>
          <w:color w:val="auto"/>
        </w:rPr>
      </w:pPr>
      <w:r>
        <w:rPr>
          <w:rFonts w:ascii="Times New Roman" w:cs="Times New Roman" w:eastAsia="Times New Roman" w:hAnsi="Times New Roman"/>
          <w:sz w:val="21"/>
          <w:szCs w:val="21"/>
          <w:color w:val="231F20"/>
        </w:rPr>
        <w:t>The Company’s transfer agent, Computershare Investor Services, is responsible for shareholder records, issuance of common stock, administration of the Dividend Reinvestment and Stock Purchase Plan, and the distribution of Unitil’s dividends and IRS Form 1099-DIV. Shareholders may contact Computershare at:</w:t>
      </w:r>
    </w:p>
    <w:p>
      <w:pPr>
        <w:spacing w:after="0" w:line="1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231F20"/>
        </w:rPr>
        <w:t>Computershare Investor Services</w:t>
      </w:r>
    </w:p>
    <w:p>
      <w:pPr>
        <w:spacing w:after="0" w:line="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231F20"/>
        </w:rPr>
        <w:t>P.O. Box 43078</w:t>
      </w:r>
    </w:p>
    <w:p>
      <w:pPr>
        <w:ind w:left="620"/>
        <w:spacing w:after="0"/>
        <w:rPr>
          <w:sz w:val="20"/>
          <w:szCs w:val="20"/>
          <w:color w:val="auto"/>
        </w:rPr>
      </w:pPr>
      <w:r>
        <w:rPr>
          <w:rFonts w:ascii="Times New Roman" w:cs="Times New Roman" w:eastAsia="Times New Roman" w:hAnsi="Times New Roman"/>
          <w:sz w:val="21"/>
          <w:szCs w:val="21"/>
          <w:color w:val="231F20"/>
        </w:rPr>
        <w:t>Providence, RI 02940-3078</w:t>
      </w:r>
    </w:p>
    <w:p>
      <w:pPr>
        <w:ind w:left="620"/>
        <w:spacing w:after="0"/>
        <w:rPr>
          <w:sz w:val="20"/>
          <w:szCs w:val="20"/>
          <w:color w:val="auto"/>
        </w:rPr>
      </w:pPr>
      <w:r>
        <w:rPr>
          <w:rFonts w:ascii="Times New Roman" w:cs="Times New Roman" w:eastAsia="Times New Roman" w:hAnsi="Times New Roman"/>
          <w:sz w:val="21"/>
          <w:szCs w:val="21"/>
          <w:color w:val="231F20"/>
        </w:rPr>
        <w:t>Telephone: 800-736-3001</w:t>
      </w:r>
    </w:p>
    <w:p>
      <w:pPr>
        <w:ind w:left="620"/>
        <w:spacing w:after="0"/>
        <w:rPr>
          <w:sz w:val="20"/>
          <w:szCs w:val="20"/>
          <w:color w:val="auto"/>
        </w:rPr>
      </w:pPr>
      <w:r>
        <w:rPr>
          <w:rFonts w:ascii="Times New Roman" w:cs="Times New Roman" w:eastAsia="Times New Roman" w:hAnsi="Times New Roman"/>
          <w:sz w:val="21"/>
          <w:szCs w:val="21"/>
          <w:i w:val="1"/>
          <w:iCs w:val="1"/>
          <w:u w:val="single" w:color="auto"/>
          <w:color w:val="231F20"/>
        </w:rPr>
        <w:t>computershare.com/investor</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Investor Relations</w:t>
      </w:r>
    </w:p>
    <w:p>
      <w:pPr>
        <w:spacing w:after="0" w:line="124" w:lineRule="exact"/>
        <w:rPr>
          <w:sz w:val="20"/>
          <w:szCs w:val="20"/>
          <w:color w:val="auto"/>
        </w:rPr>
      </w:pPr>
    </w:p>
    <w:p>
      <w:pPr>
        <w:jc w:val="both"/>
        <w:ind w:right="400" w:firstLine="612"/>
        <w:spacing w:after="0" w:line="259" w:lineRule="auto"/>
        <w:rPr>
          <w:sz w:val="20"/>
          <w:szCs w:val="20"/>
          <w:color w:val="auto"/>
        </w:rPr>
      </w:pPr>
      <w:r>
        <w:rPr>
          <w:rFonts w:ascii="Times New Roman" w:cs="Times New Roman" w:eastAsia="Times New Roman" w:hAnsi="Times New Roman"/>
          <w:sz w:val="21"/>
          <w:szCs w:val="21"/>
          <w:color w:val="231F20"/>
        </w:rPr>
        <w:t xml:space="preserve">For information about the Company, you may call the Company directly, toll-free, at: 800-999-6501 and ask for the Investor Relations Representative; visit the Investors page at </w:t>
      </w:r>
      <w:r>
        <w:rPr>
          <w:rFonts w:ascii="Times New Roman" w:cs="Times New Roman" w:eastAsia="Times New Roman" w:hAnsi="Times New Roman"/>
          <w:sz w:val="21"/>
          <w:szCs w:val="21"/>
          <w:i w:val="1"/>
          <w:iCs w:val="1"/>
          <w:u w:val="single" w:color="auto"/>
          <w:color w:val="231F20"/>
        </w:rPr>
        <w:t>unitil.com</w:t>
      </w:r>
      <w:r>
        <w:rPr>
          <w:rFonts w:ascii="Times New Roman" w:cs="Times New Roman" w:eastAsia="Times New Roman" w:hAnsi="Times New Roman"/>
          <w:sz w:val="21"/>
          <w:szCs w:val="21"/>
          <w:color w:val="231F20"/>
        </w:rPr>
        <w:t>; or contact the transfer agent, Computershare, at the number listed above.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Special Services &amp; Shareholder Programs Available to Holders of Record</w:t>
      </w:r>
    </w:p>
    <w:p>
      <w:pPr>
        <w:spacing w:after="0" w:line="124" w:lineRule="exact"/>
        <w:rPr>
          <w:sz w:val="20"/>
          <w:szCs w:val="20"/>
          <w:color w:val="auto"/>
        </w:rPr>
      </w:pPr>
    </w:p>
    <w:p>
      <w:pPr>
        <w:ind w:right="180" w:firstLine="612"/>
        <w:spacing w:after="0" w:line="259" w:lineRule="auto"/>
        <w:rPr>
          <w:sz w:val="20"/>
          <w:szCs w:val="20"/>
          <w:color w:val="auto"/>
        </w:rPr>
      </w:pPr>
      <w:r>
        <w:rPr>
          <w:rFonts w:ascii="Times New Roman" w:cs="Times New Roman" w:eastAsia="Times New Roman" w:hAnsi="Times New Roman"/>
          <w:sz w:val="21"/>
          <w:szCs w:val="21"/>
          <w:color w:val="231F20"/>
        </w:rPr>
        <w:t>If a shareholder’s shares of the Company’s common stock are registered directly in the shareholder’s name with the Company’s transfer agent, the shareholder is considered a holder of record of the shares. The following services and programs are available to shareholders of record:</w:t>
      </w:r>
    </w:p>
    <w:p>
      <w:pPr>
        <w:spacing w:after="0" w:line="78" w:lineRule="exact"/>
        <w:rPr>
          <w:sz w:val="20"/>
          <w:szCs w:val="20"/>
          <w:color w:val="auto"/>
        </w:rPr>
      </w:pPr>
    </w:p>
    <w:p>
      <w:pPr>
        <w:ind w:left="980" w:hanging="361"/>
        <w:spacing w:after="0"/>
        <w:tabs>
          <w:tab w:leader="none" w:pos="980" w:val="left"/>
        </w:tabs>
        <w:numPr>
          <w:ilvl w:val="0"/>
          <w:numId w:val="10"/>
        </w:numPr>
        <w:rPr>
          <w:rFonts w:ascii="Arial" w:cs="Arial" w:eastAsia="Arial" w:hAnsi="Arial"/>
          <w:sz w:val="21"/>
          <w:szCs w:val="21"/>
          <w:color w:val="231F20"/>
        </w:rPr>
      </w:pPr>
      <w:r>
        <w:rPr>
          <w:rFonts w:ascii="Times New Roman" w:cs="Times New Roman" w:eastAsia="Times New Roman" w:hAnsi="Times New Roman"/>
          <w:sz w:val="21"/>
          <w:szCs w:val="21"/>
          <w:color w:val="231F20"/>
        </w:rPr>
        <w:t xml:space="preserve">Online Account Access is available at </w:t>
      </w:r>
      <w:r>
        <w:rPr>
          <w:rFonts w:ascii="Times New Roman" w:cs="Times New Roman" w:eastAsia="Times New Roman" w:hAnsi="Times New Roman"/>
          <w:sz w:val="21"/>
          <w:szCs w:val="21"/>
          <w:i w:val="1"/>
          <w:iCs w:val="1"/>
          <w:u w:val="single" w:color="auto"/>
          <w:color w:val="231F20"/>
        </w:rPr>
        <w:t>computershare.com/investor</w:t>
      </w:r>
      <w:r>
        <w:rPr>
          <w:rFonts w:ascii="Times New Roman" w:cs="Times New Roman" w:eastAsia="Times New Roman" w:hAnsi="Times New Roman"/>
          <w:sz w:val="21"/>
          <w:szCs w:val="21"/>
          <w:color w:val="231F20"/>
        </w:rPr>
        <w:t>.</w:t>
      </w:r>
    </w:p>
    <w:p>
      <w:pPr>
        <w:spacing w:after="0" w:line="134" w:lineRule="exact"/>
        <w:rPr>
          <w:rFonts w:ascii="Arial" w:cs="Arial" w:eastAsia="Arial" w:hAnsi="Arial"/>
          <w:sz w:val="21"/>
          <w:szCs w:val="21"/>
          <w:color w:val="231F20"/>
        </w:rPr>
      </w:pPr>
    </w:p>
    <w:p>
      <w:pPr>
        <w:ind w:left="980" w:hanging="361"/>
        <w:spacing w:after="0"/>
        <w:tabs>
          <w:tab w:leader="none" w:pos="980" w:val="left"/>
        </w:tabs>
        <w:numPr>
          <w:ilvl w:val="0"/>
          <w:numId w:val="10"/>
        </w:numPr>
        <w:rPr>
          <w:rFonts w:ascii="Arial" w:cs="Arial" w:eastAsia="Arial" w:hAnsi="Arial"/>
          <w:sz w:val="21"/>
          <w:szCs w:val="21"/>
          <w:color w:val="231F20"/>
        </w:rPr>
      </w:pPr>
      <w:r>
        <w:rPr>
          <w:rFonts w:ascii="Times New Roman" w:cs="Times New Roman" w:eastAsia="Times New Roman" w:hAnsi="Times New Roman"/>
          <w:sz w:val="21"/>
          <w:szCs w:val="21"/>
          <w:color w:val="231F20"/>
        </w:rPr>
        <w:t>Dividend Reinvestment and Stock Purchase Plan:</w:t>
      </w:r>
    </w:p>
    <w:p>
      <w:pPr>
        <w:spacing w:after="0" w:line="119" w:lineRule="exact"/>
        <w:rPr>
          <w:rFonts w:ascii="Arial" w:cs="Arial" w:eastAsia="Arial" w:hAnsi="Arial"/>
          <w:sz w:val="21"/>
          <w:szCs w:val="21"/>
          <w:color w:val="231F20"/>
        </w:rPr>
      </w:pPr>
    </w:p>
    <w:p>
      <w:pPr>
        <w:ind w:left="980"/>
        <w:spacing w:after="0"/>
        <w:rPr>
          <w:rFonts w:ascii="Arial" w:cs="Arial" w:eastAsia="Arial" w:hAnsi="Arial"/>
          <w:sz w:val="21"/>
          <w:szCs w:val="21"/>
          <w:color w:val="231F20"/>
        </w:rPr>
      </w:pPr>
      <w:r>
        <w:rPr>
          <w:rFonts w:ascii="Times New Roman" w:cs="Times New Roman" w:eastAsia="Times New Roman" w:hAnsi="Times New Roman"/>
          <w:sz w:val="21"/>
          <w:szCs w:val="21"/>
          <w:color w:val="231F20"/>
        </w:rPr>
        <w:t>To enroll, please contact the Company’s Investor Relations Representative or Computershare.</w:t>
      </w:r>
    </w:p>
    <w:p>
      <w:pPr>
        <w:spacing w:after="0" w:line="135" w:lineRule="exact"/>
        <w:rPr>
          <w:rFonts w:ascii="Arial" w:cs="Arial" w:eastAsia="Arial" w:hAnsi="Arial"/>
          <w:sz w:val="21"/>
          <w:szCs w:val="21"/>
          <w:color w:val="231F20"/>
        </w:rPr>
      </w:pPr>
    </w:p>
    <w:p>
      <w:pPr>
        <w:ind w:left="980" w:hanging="361"/>
        <w:spacing w:after="0"/>
        <w:tabs>
          <w:tab w:leader="none" w:pos="980" w:val="left"/>
        </w:tabs>
        <w:numPr>
          <w:ilvl w:val="0"/>
          <w:numId w:val="10"/>
        </w:numPr>
        <w:rPr>
          <w:rFonts w:ascii="Arial" w:cs="Arial" w:eastAsia="Arial" w:hAnsi="Arial"/>
          <w:sz w:val="21"/>
          <w:szCs w:val="21"/>
          <w:color w:val="231F20"/>
        </w:rPr>
      </w:pPr>
      <w:r>
        <w:rPr>
          <w:rFonts w:ascii="Times New Roman" w:cs="Times New Roman" w:eastAsia="Times New Roman" w:hAnsi="Times New Roman"/>
          <w:sz w:val="21"/>
          <w:szCs w:val="21"/>
          <w:color w:val="231F20"/>
        </w:rPr>
        <w:t>Dividend Direct Deposit Service:</w:t>
      </w:r>
    </w:p>
    <w:p>
      <w:pPr>
        <w:spacing w:after="0" w:line="119" w:lineRule="exact"/>
        <w:rPr>
          <w:rFonts w:ascii="Arial" w:cs="Arial" w:eastAsia="Arial" w:hAnsi="Arial"/>
          <w:sz w:val="21"/>
          <w:szCs w:val="21"/>
          <w:color w:val="231F20"/>
        </w:rPr>
      </w:pPr>
    </w:p>
    <w:p>
      <w:pPr>
        <w:ind w:left="980"/>
        <w:spacing w:after="0"/>
        <w:rPr>
          <w:rFonts w:ascii="Arial" w:cs="Arial" w:eastAsia="Arial" w:hAnsi="Arial"/>
          <w:sz w:val="21"/>
          <w:szCs w:val="21"/>
          <w:color w:val="231F20"/>
        </w:rPr>
      </w:pPr>
      <w:r>
        <w:rPr>
          <w:rFonts w:ascii="Times New Roman" w:cs="Times New Roman" w:eastAsia="Times New Roman" w:hAnsi="Times New Roman"/>
          <w:sz w:val="21"/>
          <w:szCs w:val="21"/>
          <w:color w:val="231F20"/>
        </w:rPr>
        <w:t>To enroll, please contact the Company’s Investor Relations Representative or Computershare.</w:t>
      </w:r>
    </w:p>
    <w:p>
      <w:pPr>
        <w:spacing w:after="0" w:line="135" w:lineRule="exact"/>
        <w:rPr>
          <w:rFonts w:ascii="Arial" w:cs="Arial" w:eastAsia="Arial" w:hAnsi="Arial"/>
          <w:sz w:val="21"/>
          <w:szCs w:val="21"/>
          <w:color w:val="231F20"/>
        </w:rPr>
      </w:pPr>
    </w:p>
    <w:p>
      <w:pPr>
        <w:ind w:left="980" w:hanging="361"/>
        <w:spacing w:after="0"/>
        <w:tabs>
          <w:tab w:leader="none" w:pos="980" w:val="left"/>
        </w:tabs>
        <w:numPr>
          <w:ilvl w:val="0"/>
          <w:numId w:val="10"/>
        </w:numPr>
        <w:rPr>
          <w:rFonts w:ascii="Arial" w:cs="Arial" w:eastAsia="Arial" w:hAnsi="Arial"/>
          <w:sz w:val="21"/>
          <w:szCs w:val="21"/>
          <w:color w:val="231F20"/>
        </w:rPr>
      </w:pPr>
      <w:r>
        <w:rPr>
          <w:rFonts w:ascii="Times New Roman" w:cs="Times New Roman" w:eastAsia="Times New Roman" w:hAnsi="Times New Roman"/>
          <w:sz w:val="21"/>
          <w:szCs w:val="21"/>
          <w:color w:val="231F20"/>
        </w:rPr>
        <w:t>Direct Registration:</w:t>
      </w:r>
    </w:p>
    <w:p>
      <w:pPr>
        <w:spacing w:after="0" w:line="119" w:lineRule="exact"/>
        <w:rPr>
          <w:rFonts w:ascii="Arial" w:cs="Arial" w:eastAsia="Arial" w:hAnsi="Arial"/>
          <w:sz w:val="21"/>
          <w:szCs w:val="21"/>
          <w:color w:val="231F20"/>
        </w:rPr>
      </w:pPr>
    </w:p>
    <w:p>
      <w:pPr>
        <w:ind w:left="980" w:right="1280"/>
        <w:spacing w:after="0" w:line="279" w:lineRule="auto"/>
        <w:rPr>
          <w:rFonts w:ascii="Arial" w:cs="Arial" w:eastAsia="Arial" w:hAnsi="Arial"/>
          <w:sz w:val="21"/>
          <w:szCs w:val="21"/>
          <w:color w:val="231F20"/>
        </w:rPr>
      </w:pPr>
      <w:r>
        <w:rPr>
          <w:rFonts w:ascii="Times New Roman" w:cs="Times New Roman" w:eastAsia="Times New Roman" w:hAnsi="Times New Roman"/>
          <w:sz w:val="21"/>
          <w:szCs w:val="21"/>
          <w:color w:val="231F20"/>
        </w:rPr>
        <w:t>For information, please contact Computershare at 800-935-9330 or the Company’s Investor Relations Representative at 800-999-6501.</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Item 1A. Risk Factors</w:t>
      </w:r>
    </w:p>
    <w:p>
      <w:pPr>
        <w:spacing w:after="0" w:line="124" w:lineRule="exact"/>
        <w:rPr>
          <w:sz w:val="20"/>
          <w:szCs w:val="20"/>
          <w:color w:val="auto"/>
        </w:rPr>
      </w:pPr>
    </w:p>
    <w:p>
      <w:pPr>
        <w:ind w:firstLine="612"/>
        <w:spacing w:after="0" w:line="253" w:lineRule="auto"/>
        <w:rPr>
          <w:sz w:val="20"/>
          <w:szCs w:val="20"/>
          <w:color w:val="auto"/>
        </w:rPr>
      </w:pPr>
      <w:r>
        <w:rPr>
          <w:rFonts w:ascii="Times New Roman" w:cs="Times New Roman" w:eastAsia="Times New Roman" w:hAnsi="Times New Roman"/>
          <w:sz w:val="21"/>
          <w:szCs w:val="21"/>
          <w:color w:val="231F20"/>
        </w:rPr>
        <w:t>When considering an investment in the Company’s securities, investors should consider the following risk factors, as well as the information contained under the caption “Cautionary Statement” immediately following the Table of Contents in this Annual Report on Form 10-K. Additional risks not presently known to the Company or that the Company currently believes are immaterial may also impair business operations and financial results. If any of the following risks actually occur, the</w:t>
      </w:r>
    </w:p>
    <w:p>
      <w:pPr>
        <w:sectPr>
          <w:pgSz w:w="12240" w:h="15840" w:orient="portrait"/>
          <w:cols w:equalWidth="0" w:num="1">
            <w:col w:w="10800"/>
          </w:cols>
          <w:pgMar w:left="720" w:top="929" w:right="720" w:bottom="176" w:gutter="0" w:footer="0" w:header="0"/>
        </w:sect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231F20"/>
        </w:rPr>
        <w:t>8</w:t>
      </w:r>
    </w:p>
    <w:p>
      <w:pPr>
        <w:sectPr>
          <w:pgSz w:w="12240" w:h="15840" w:orient="portrait"/>
          <w:cols w:equalWidth="0" w:num="1">
            <w:col w:w="10800"/>
          </w:cols>
          <w:pgMar w:left="720" w:top="929" w:right="720" w:bottom="176" w:gutter="0" w:footer="0" w:header="0"/>
          <w:type w:val="continuous"/>
        </w:sectPr>
      </w:pPr>
    </w:p>
    <w:bookmarkStart w:id="28" w:name="page29"/>
    <w:bookmarkEnd w:id="28"/>
    <w:p>
      <w:pPr>
        <w:jc w:val="both"/>
        <w:ind w:right="160"/>
        <w:spacing w:after="0" w:line="259" w:lineRule="auto"/>
        <w:rPr>
          <w:sz w:val="20"/>
          <w:szCs w:val="20"/>
          <w:color w:val="auto"/>
        </w:rPr>
      </w:pPr>
      <w:r>
        <w:rPr>
          <w:rFonts w:ascii="Times New Roman" w:cs="Times New Roman" w:eastAsia="Times New Roman" w:hAnsi="Times New Roman"/>
          <w:sz w:val="21"/>
          <w:szCs w:val="21"/>
          <w:color w:val="231F20"/>
        </w:rPr>
        <w:t>Company’s business, financial condition or results of operations could be adversely affected. In such case, the trading price of the Company’s common stock could decline and investors could lose all or part of their investment. The risk factors below are categorized by operational, regulatory, financial and general.</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OPERATIONAL RISKS</w:t>
      </w:r>
    </w:p>
    <w:p>
      <w:pPr>
        <w:spacing w:after="0" w:line="126"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1"/>
          <w:szCs w:val="21"/>
          <w:b w:val="1"/>
          <w:bCs w:val="1"/>
          <w:i w:val="1"/>
          <w:iCs w:val="1"/>
          <w:color w:val="231F20"/>
        </w:rPr>
        <w:t>A substantial disruption or lack of growth in interstate natural gas pipeline transmission and storage capacity and electric transmission capacity may impair the Company’s ability to meet customers’ existing and future requirements.</w:t>
      </w:r>
    </w:p>
    <w:p>
      <w:pPr>
        <w:spacing w:after="0" w:line="44" w:lineRule="exact"/>
        <w:rPr>
          <w:sz w:val="20"/>
          <w:szCs w:val="20"/>
          <w:color w:val="auto"/>
        </w:rPr>
      </w:pPr>
    </w:p>
    <w:p>
      <w:pPr>
        <w:ind w:firstLine="612"/>
        <w:spacing w:after="0" w:line="247" w:lineRule="auto"/>
        <w:rPr>
          <w:sz w:val="20"/>
          <w:szCs w:val="20"/>
          <w:color w:val="auto"/>
        </w:rPr>
      </w:pPr>
      <w:r>
        <w:rPr>
          <w:rFonts w:ascii="Times New Roman" w:cs="Times New Roman" w:eastAsia="Times New Roman" w:hAnsi="Times New Roman"/>
          <w:sz w:val="21"/>
          <w:szCs w:val="21"/>
          <w:color w:val="231F20"/>
        </w:rPr>
        <w:t>To meet existing and future customer demands for electricity and natural gas, the Company must acquire sufficient supplies of electricity and natural gas. In addition, the Company must contract for reliable and adequate upstream transmission and transportation capacity for its distribution systems while considering the dynamics of the natural gas interstate pipelines and storage, the electric transmission markets and its own on-system resources. The Company’s financial condition or results of operations may be adversely affected if the future availability of electric and natural gas supply were insufficient to meet future customer demands for electricity and natural gas.</w:t>
      </w:r>
    </w:p>
    <w:p>
      <w:pPr>
        <w:spacing w:after="0" w:line="32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1"/>
          <w:szCs w:val="21"/>
          <w:b w:val="1"/>
          <w:bCs w:val="1"/>
          <w:i w:val="1"/>
          <w:iCs w:val="1"/>
          <w:color w:val="231F20"/>
        </w:rPr>
        <w:t>The Company’s electric and natural gas distribution activities (including storing natural gas and supplemental gas supplies) involve numerous hazards and operating risks that may result in accidents and other operating risks and costs. Any such accident or costs could adversely affect the Company’s financial position or results of operations.</w:t>
      </w:r>
    </w:p>
    <w:p>
      <w:pPr>
        <w:spacing w:after="0" w:line="64" w:lineRule="exact"/>
        <w:rPr>
          <w:sz w:val="20"/>
          <w:szCs w:val="20"/>
          <w:color w:val="auto"/>
        </w:rPr>
      </w:pPr>
    </w:p>
    <w:p>
      <w:pPr>
        <w:ind w:right="120" w:firstLine="612"/>
        <w:spacing w:after="0" w:line="269" w:lineRule="auto"/>
        <w:rPr>
          <w:sz w:val="20"/>
          <w:szCs w:val="20"/>
          <w:color w:val="auto"/>
        </w:rPr>
      </w:pPr>
      <w:r>
        <w:rPr>
          <w:rFonts w:ascii="Times New Roman" w:cs="Times New Roman" w:eastAsia="Times New Roman" w:hAnsi="Times New Roman"/>
          <w:sz w:val="20"/>
          <w:szCs w:val="20"/>
          <w:color w:val="231F20"/>
        </w:rPr>
        <w:t>Inherent in the Company’s electric and natural gas distribution activities are a variety of hazards and operating risks, including leaks, explosions, electrocutions, mechanical problems and aging infrastructure. These hazards and risks could result in loss of human life, significant damage to property, environmental pollution, damage to natural resources and impairment of the Company’s operations, which could adversely affect the Company’s financial position or results of operations.</w:t>
      </w:r>
    </w:p>
    <w:p>
      <w:pPr>
        <w:spacing w:after="0" w:line="175" w:lineRule="exact"/>
        <w:rPr>
          <w:sz w:val="20"/>
          <w:szCs w:val="20"/>
          <w:color w:val="auto"/>
        </w:rPr>
      </w:pPr>
    </w:p>
    <w:p>
      <w:pPr>
        <w:ind w:firstLine="612"/>
        <w:spacing w:after="0" w:line="249" w:lineRule="auto"/>
        <w:rPr>
          <w:sz w:val="20"/>
          <w:szCs w:val="20"/>
          <w:color w:val="auto"/>
        </w:rPr>
      </w:pPr>
      <w:r>
        <w:rPr>
          <w:rFonts w:ascii="Times New Roman" w:cs="Times New Roman" w:eastAsia="Times New Roman" w:hAnsi="Times New Roman"/>
          <w:sz w:val="21"/>
          <w:szCs w:val="21"/>
          <w:color w:val="231F20"/>
        </w:rPr>
        <w:t>The Company maintains insurance against some, but not all, of these risks and losses in accordance with customary industry practice. The location of pipelines, storage facilities and electric distribution equipment near populated areas (including residential areas, commercial business centers and industrial sites) could increase the level of damages associated with these hazards and operating risks. The occurrence of any of these events could adversely affect the Company’s financial position or results of operations.</w:t>
      </w:r>
    </w:p>
    <w:p>
      <w:pPr>
        <w:spacing w:after="0" w:line="317"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b w:val="1"/>
          <w:bCs w:val="1"/>
          <w:i w:val="1"/>
          <w:iCs w:val="1"/>
          <w:color w:val="231F20"/>
        </w:rPr>
        <w:t>The Company’s operational and information systems on which it relies to conduct its business and serve customers could fail to function properly due to technological problems, a cyber-attack, acts of terrorism, severe weather, a solar event, an electromagnetic event, a natural disaster, the age and condition of information technology assets, human error, or other reasons, that could disrupt the Company’s operations and cause the Company to incur unanticipated losses and expense.</w:t>
      </w:r>
    </w:p>
    <w:p>
      <w:pPr>
        <w:spacing w:after="0" w:line="53" w:lineRule="exact"/>
        <w:rPr>
          <w:sz w:val="20"/>
          <w:szCs w:val="20"/>
          <w:color w:val="auto"/>
        </w:rPr>
      </w:pPr>
    </w:p>
    <w:p>
      <w:pPr>
        <w:ind w:right="160" w:firstLine="619"/>
        <w:spacing w:after="0" w:line="246" w:lineRule="auto"/>
        <w:rPr>
          <w:sz w:val="20"/>
          <w:szCs w:val="20"/>
          <w:color w:val="auto"/>
        </w:rPr>
      </w:pPr>
      <w:r>
        <w:rPr>
          <w:rFonts w:ascii="Times New Roman" w:cs="Times New Roman" w:eastAsia="Times New Roman" w:hAnsi="Times New Roman"/>
          <w:sz w:val="21"/>
          <w:szCs w:val="21"/>
          <w:color w:val="231F20"/>
        </w:rPr>
        <w:t>The operation of the Company’s extensive electric and natural gas systems rely on evolving information and operating technology systems and network infrastructure that are likely to become more complex as new technologies and systems are developed. The Company’s business is highly dependent on its ability to process and monitor, on a daily basis, a very large number of transactions, many of which are highly complex. The failure of these systems and networks could significantly disrupt operations; result in outages and/or damages to the Company’s assets or operations or those of third parties on which it relies; and subject the Company to claims by customers or third parties, any of which could have a material effect on the Company’s financial condition, results of operations, and cash flows.</w:t>
      </w:r>
    </w:p>
    <w:p>
      <w:pPr>
        <w:spacing w:after="0" w:line="198" w:lineRule="exact"/>
        <w:rPr>
          <w:sz w:val="20"/>
          <w:szCs w:val="20"/>
          <w:color w:val="auto"/>
        </w:rPr>
      </w:pPr>
    </w:p>
    <w:p>
      <w:pPr>
        <w:ind w:right="100" w:firstLine="612"/>
        <w:spacing w:after="0" w:line="243" w:lineRule="auto"/>
        <w:rPr>
          <w:sz w:val="20"/>
          <w:szCs w:val="20"/>
          <w:color w:val="auto"/>
        </w:rPr>
      </w:pPr>
      <w:r>
        <w:rPr>
          <w:rFonts w:ascii="Times New Roman" w:cs="Times New Roman" w:eastAsia="Times New Roman" w:hAnsi="Times New Roman"/>
          <w:sz w:val="21"/>
          <w:szCs w:val="21"/>
          <w:color w:val="231F20"/>
        </w:rPr>
        <w:t>The Company’s information systems, including its financial information, operational systems, metering, and billing systems, require constant maintenance, modification, and updating, which can be costly and increases the risk of errors and malfunction. Any disruptions or deficiencies in existing information systems, or disruptions, delays or deficiencies in the modification or implementation of new information systems, could result in increased costs, the inability to track or collect revenues, the diversion of management’s and employees’ attention and resources, and could negatively affect the effectiveness of the Company’s control environment, and/or the Company’s ability to timely file required regulatory reports. Despite implementation of security and mitigation measures, all of the Company’s technology systems are vulnerable to impairment or failure due to cyber-attacks, computer viruses, human errors, acts of war or terrorism and other reasons. If the Company’s information technology systems were to fail or be materially impaired, the Company might be unable to fulfill critical business functions and serve its customers, which could have a material effect on the Company’s financial condition, results of operations, and cash flows.</w:t>
      </w:r>
    </w:p>
    <w:p>
      <w:pPr>
        <w:sectPr>
          <w:pgSz w:w="12240" w:h="15840" w:orient="portrait"/>
          <w:cols w:equalWidth="0" w:num="1">
            <w:col w:w="10780"/>
          </w:cols>
          <w:pgMar w:left="720" w:top="929" w:right="740" w:bottom="1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231F20"/>
        </w:rPr>
        <w:t>9</w:t>
      </w:r>
    </w:p>
    <w:p>
      <w:pPr>
        <w:sectPr>
          <w:pgSz w:w="12240" w:h="15840" w:orient="portrait"/>
          <w:cols w:equalWidth="0" w:num="1">
            <w:col w:w="10780"/>
          </w:cols>
          <w:pgMar w:left="720" w:top="929" w:right="740" w:bottom="176" w:gutter="0" w:footer="0" w:header="0"/>
          <w:type w:val="continuous"/>
        </w:sectPr>
      </w:pPr>
    </w:p>
    <w:bookmarkStart w:id="29" w:name="page30"/>
    <w:bookmarkEnd w:id="29"/>
    <w:p>
      <w:pPr>
        <w:ind w:right="360" w:firstLine="612"/>
        <w:spacing w:after="0" w:line="249" w:lineRule="auto"/>
        <w:rPr>
          <w:sz w:val="20"/>
          <w:szCs w:val="20"/>
          <w:color w:val="auto"/>
        </w:rPr>
      </w:pPr>
      <w:r>
        <w:rPr>
          <w:rFonts w:ascii="Times New Roman" w:cs="Times New Roman" w:eastAsia="Times New Roman" w:hAnsi="Times New Roman"/>
          <w:sz w:val="21"/>
          <w:szCs w:val="21"/>
          <w:color w:val="231F20"/>
        </w:rPr>
        <w:t>In the ordinary course of its business, the Company collects and retains sensitive electronic data including personal identification information about customers and employees, customer energy usage, and other confidential information. The theft, damage, or improper disclosure of sensitive electronic data through security breaches or other means could subject the Company to penalties for violation of applicable privacy laws or claims from third parties and could harm the Company’s reputation and adversely affect the Company’s financial condition and results of operations.</w:t>
      </w:r>
    </w:p>
    <w:p>
      <w:pPr>
        <w:spacing w:after="0" w:line="195" w:lineRule="exact"/>
        <w:rPr>
          <w:sz w:val="20"/>
          <w:szCs w:val="20"/>
          <w:color w:val="auto"/>
        </w:rPr>
      </w:pPr>
    </w:p>
    <w:p>
      <w:pPr>
        <w:ind w:right="520" w:firstLine="612"/>
        <w:spacing w:after="0" w:line="249" w:lineRule="auto"/>
        <w:rPr>
          <w:sz w:val="20"/>
          <w:szCs w:val="20"/>
          <w:color w:val="auto"/>
        </w:rPr>
      </w:pPr>
      <w:r>
        <w:rPr>
          <w:rFonts w:ascii="Times New Roman" w:cs="Times New Roman" w:eastAsia="Times New Roman" w:hAnsi="Times New Roman"/>
          <w:sz w:val="21"/>
          <w:szCs w:val="21"/>
          <w:color w:val="231F20"/>
        </w:rPr>
        <w:t>In addition, the Company’s electric and natural gas distribution and transmission delivery systems are part of an interconnected regional grid and pipeline system. If these neighboring interconnected systems were to be disrupted due to cyber-attacks, computer viruses, human errors, acts of war or terrorism or other reasons, the Company’s operations and its ability to serve its customers would be adversely affected, which could have a material effect on the Company’s financial condition, results of operations, and cash flows.</w:t>
      </w:r>
    </w:p>
    <w:p>
      <w:pPr>
        <w:spacing w:after="0" w:line="317"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21"/>
          <w:szCs w:val="21"/>
          <w:b w:val="1"/>
          <w:bCs w:val="1"/>
          <w:i w:val="1"/>
          <w:iCs w:val="1"/>
          <w:color w:val="231F20"/>
        </w:rPr>
        <w:t>We outsource certain business functions to third-party suppliers and service providers, and substandard performance by those third parties could harm the Company’s business, reputation and results of operations.</w:t>
      </w:r>
    </w:p>
    <w:p>
      <w:pPr>
        <w:spacing w:after="0" w:line="44" w:lineRule="exact"/>
        <w:rPr>
          <w:sz w:val="20"/>
          <w:szCs w:val="20"/>
          <w:color w:val="auto"/>
        </w:rPr>
      </w:pPr>
    </w:p>
    <w:p>
      <w:pPr>
        <w:ind w:right="40" w:firstLine="619"/>
        <w:spacing w:after="0" w:line="245" w:lineRule="auto"/>
        <w:rPr>
          <w:sz w:val="20"/>
          <w:szCs w:val="20"/>
          <w:color w:val="auto"/>
        </w:rPr>
      </w:pPr>
      <w:r>
        <w:rPr>
          <w:rFonts w:ascii="Times New Roman" w:cs="Times New Roman" w:eastAsia="Times New Roman" w:hAnsi="Times New Roman"/>
          <w:sz w:val="21"/>
          <w:szCs w:val="21"/>
          <w:color w:val="231F20"/>
        </w:rPr>
        <w:t>We outsource certain services to third parties in areas including information technology, telecommunications, networks, transaction processing, human resources, payroll and payroll processing and other areas. Outsourcing of services to third parties could expose us to substandard quality of service delivery or substandard deliverables, which may result in missed deadlines or other timeliness issues, non-compliance (including with applicable legal requirements and industry standards) or reputational harm, which could negatively affect the Company’s results of operations. We also continue to pursue enhancements to modernize the Company’s systems and processes. If any difficulties in the operation of these systems were to occur, they could adversely affect the Company’s results of operations, or adversely affect the Company’s ability to work with regulators, unions, customers or employees.</w:t>
      </w:r>
    </w:p>
    <w:p>
      <w:pPr>
        <w:spacing w:after="0" w:line="322"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1"/>
          <w:szCs w:val="21"/>
          <w:b w:val="1"/>
          <w:bCs w:val="1"/>
          <w:i w:val="1"/>
          <w:iCs w:val="1"/>
          <w:color w:val="231F20"/>
        </w:rPr>
        <w:t>The inability to attract and retain a qualified workforce including, but not limited to, executive officers, key employees and employees with specialized skills, could have an adverse effect on the Company’s operations.</w:t>
      </w:r>
    </w:p>
    <w:p>
      <w:pPr>
        <w:spacing w:after="0" w:line="44"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1"/>
          <w:szCs w:val="21"/>
          <w:color w:val="231F20"/>
        </w:rPr>
        <w:t>The success of the Company’s business depends on the leadership of the Company’s executive officers and other key employees to implement the Company’s business strategies. The inability to maintain a qualified workforce including, but not limited to, executive officers, key employees and employees with specialized skills, may negatively affect the Company’s ability to service the Company’s existing or new customers, or successfully manage the Company’s business or achieve the Company’s business objectives. There may not be sufficiently skilled employees available internally to replace employees when they retire or otherwise leave active employment. Shortages of certain highly skilled employees may also mean that qualified employees are not available externally to replace these employees when they are needed. In addition, shortages in highly skilled employees coupled with competitive pressures may require the Company to incur additional employee recruiting and compensation expenses.</w:t>
      </w:r>
    </w:p>
    <w:p>
      <w:pPr>
        <w:spacing w:after="0" w:line="326"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1"/>
          <w:szCs w:val="21"/>
          <w:b w:val="1"/>
          <w:bCs w:val="1"/>
          <w:i w:val="1"/>
          <w:iCs w:val="1"/>
          <w:color w:val="231F20"/>
        </w:rPr>
        <w:t>The Company may be adversely affected by work stoppages, labor disputes, and/or pandemic illness to which it may not be able to promptly respond.</w:t>
      </w:r>
    </w:p>
    <w:p>
      <w:pPr>
        <w:spacing w:after="0" w:line="44" w:lineRule="exact"/>
        <w:rPr>
          <w:sz w:val="20"/>
          <w:szCs w:val="20"/>
          <w:color w:val="auto"/>
        </w:rPr>
      </w:pPr>
    </w:p>
    <w:p>
      <w:pPr>
        <w:ind w:right="200" w:firstLine="612"/>
        <w:spacing w:after="0" w:line="245" w:lineRule="auto"/>
        <w:rPr>
          <w:sz w:val="20"/>
          <w:szCs w:val="20"/>
          <w:color w:val="auto"/>
        </w:rPr>
      </w:pPr>
      <w:r>
        <w:rPr>
          <w:rFonts w:ascii="Times New Roman" w:cs="Times New Roman" w:eastAsia="Times New Roman" w:hAnsi="Times New Roman"/>
          <w:sz w:val="21"/>
          <w:szCs w:val="21"/>
          <w:color w:val="231F20"/>
        </w:rPr>
        <w:t>Approximately one-third of the Company’s employees are represented by labor unions and are covered by collective bargaining agreements. Disputes with the unions over terms and conditions of the agreements could result in instability in the Company’s labor relationships and work stoppages that could affect the timely delivery of electricity and natural gas, which could strain relationships with customers and state regulators and cause a loss of revenues. The Company’s collective bargaining agreements also may increase the cost of employing its union workforce, affect its ability to continue offering market-based salaries and employee benefits, limit its flexibility in dealing with its workforce, and limit its ability to change work rules and practices and implement other efficiency-related improvements to successfully compete in today’s challenging marketplace, which may negatively affect the Company’s financial condition and results of operations.</w:t>
      </w:r>
    </w:p>
    <w:p>
      <w:pPr>
        <w:spacing w:after="0" w:line="200" w:lineRule="exact"/>
        <w:rPr>
          <w:sz w:val="20"/>
          <w:szCs w:val="20"/>
          <w:color w:val="auto"/>
        </w:rPr>
      </w:pPr>
    </w:p>
    <w:p>
      <w:pPr>
        <w:ind w:right="400" w:firstLine="612"/>
        <w:spacing w:after="0" w:line="253" w:lineRule="auto"/>
        <w:rPr>
          <w:sz w:val="20"/>
          <w:szCs w:val="20"/>
          <w:color w:val="auto"/>
        </w:rPr>
      </w:pPr>
      <w:r>
        <w:rPr>
          <w:rFonts w:ascii="Times New Roman" w:cs="Times New Roman" w:eastAsia="Times New Roman" w:hAnsi="Times New Roman"/>
          <w:sz w:val="21"/>
          <w:szCs w:val="21"/>
          <w:color w:val="231F20"/>
        </w:rPr>
        <w:t>Additionally, pandemic illness could result in part, or all, of the Company’s workforce being unable to operate or maintain the Company’s infrastructure or perform other tasks necessary to conduct the Company’s business. A slow or inadequate response to this type of event may adversely affect the Company’s financial condition, results of operations, and cash flows.</w:t>
      </w:r>
    </w:p>
    <w:p>
      <w:pPr>
        <w:sectPr>
          <w:pgSz w:w="12240" w:h="15840" w:orient="portrait"/>
          <w:cols w:equalWidth="0" w:num="1">
            <w:col w:w="10800"/>
          </w:cols>
          <w:pgMar w:left="720" w:top="929" w:right="72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10</w:t>
      </w:r>
    </w:p>
    <w:p>
      <w:pPr>
        <w:sectPr>
          <w:pgSz w:w="12240" w:h="15840" w:orient="portrait"/>
          <w:cols w:equalWidth="0" w:num="1">
            <w:col w:w="10800"/>
          </w:cols>
          <w:pgMar w:left="720" w:top="929" w:right="720" w:bottom="188"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1"/>
          <w:szCs w:val="21"/>
          <w:b w:val="1"/>
          <w:bCs w:val="1"/>
          <w:color w:val="231F20"/>
        </w:rPr>
        <w:t>REGULATORY RISKS</w:t>
      </w:r>
    </w:p>
    <w:p>
      <w:pPr>
        <w:spacing w:after="0" w:line="126"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21"/>
          <w:szCs w:val="21"/>
          <w:b w:val="1"/>
          <w:bCs w:val="1"/>
          <w:i w:val="1"/>
          <w:iCs w:val="1"/>
          <w:color w:val="231F20"/>
        </w:rPr>
        <w:t>The Company is subject to comprehensive regulation, which could adversely affect the rates it is able to charge, its authorized rate of return and its ability to recover costs. In addition, certain regulatory authorities have the statutory authority to impose financial penalties and other sanctions on the Company, which could adversely affect the Company’s financial condition, results of operations, and cash flows.</w:t>
      </w:r>
    </w:p>
    <w:p>
      <w:pPr>
        <w:spacing w:after="0" w:line="70" w:lineRule="exact"/>
        <w:rPr>
          <w:sz w:val="20"/>
          <w:szCs w:val="20"/>
          <w:color w:val="auto"/>
        </w:rPr>
      </w:pPr>
    </w:p>
    <w:p>
      <w:pPr>
        <w:ind w:right="60" w:firstLine="619"/>
        <w:spacing w:after="0" w:line="244" w:lineRule="auto"/>
        <w:rPr>
          <w:sz w:val="20"/>
          <w:szCs w:val="20"/>
          <w:color w:val="auto"/>
        </w:rPr>
      </w:pPr>
      <w:r>
        <w:rPr>
          <w:rFonts w:ascii="Times New Roman" w:cs="Times New Roman" w:eastAsia="Times New Roman" w:hAnsi="Times New Roman"/>
          <w:sz w:val="21"/>
          <w:szCs w:val="21"/>
          <w:color w:val="231F20"/>
        </w:rPr>
        <w:t>The Company is subject to comprehensive regulation by federal regulatory authorities (including the FERC) and state regulatory authorities (including the NHPUC, MDPU and MPUC). These authorities regulate many aspects of the Company’s operations, including the rates that the Company can charge customers, the Company’s authorized rates of return, the Company’s ability to recover costs from its customers, construction and maintenance of the Company’s facilities, the Company’s safety protocols and procedures, including environmental compliance, the Company’s ability to issue securities, the Company’s accounting matters, and transactions between the Company and its affiliates. The Company is unable to predict the effect on its financial condition and results of operations from the regulatory activities of any of these regulatory authorities. Changes in regulations, the imposition of additional regulations, regulatory proceedings regarding fossil fuel use and system electrification, or regulatory decisions particular to the Company could adversely affect the Company’s financial condition and results of operations.</w:t>
      </w:r>
    </w:p>
    <w:p>
      <w:pPr>
        <w:spacing w:after="0" w:line="200" w:lineRule="exact"/>
        <w:rPr>
          <w:sz w:val="20"/>
          <w:szCs w:val="20"/>
          <w:color w:val="auto"/>
        </w:rPr>
      </w:pPr>
    </w:p>
    <w:p>
      <w:pPr>
        <w:ind w:firstLine="612"/>
        <w:spacing w:after="0" w:line="249" w:lineRule="auto"/>
        <w:rPr>
          <w:sz w:val="20"/>
          <w:szCs w:val="20"/>
          <w:color w:val="auto"/>
        </w:rPr>
      </w:pPr>
      <w:r>
        <w:rPr>
          <w:rFonts w:ascii="Times New Roman" w:cs="Times New Roman" w:eastAsia="Times New Roman" w:hAnsi="Times New Roman"/>
          <w:sz w:val="21"/>
          <w:szCs w:val="21"/>
          <w:color w:val="231F20"/>
        </w:rPr>
        <w:t>The Company’s ability to obtain rate adjustments to maintain its current authorized rates of return depends upon action by regulatory authorities under applicable statutes, rules and regulations. These regulatory authorities are authorized to leave the Company’s rates unchanged, to grant increases in such rates, or to order decreases in such rates. The Company may be unable to obtain favorable rate adjustments or to maintain its current authorized rates of return, which could adversely affect its financial condition, results of operations, and cash flows.</w:t>
      </w:r>
    </w:p>
    <w:p>
      <w:pPr>
        <w:spacing w:after="0" w:line="195" w:lineRule="exact"/>
        <w:rPr>
          <w:sz w:val="20"/>
          <w:szCs w:val="20"/>
          <w:color w:val="auto"/>
        </w:rPr>
      </w:pPr>
    </w:p>
    <w:p>
      <w:pPr>
        <w:ind w:right="100" w:firstLine="612"/>
        <w:spacing w:after="0" w:line="253" w:lineRule="auto"/>
        <w:rPr>
          <w:sz w:val="20"/>
          <w:szCs w:val="20"/>
          <w:color w:val="auto"/>
        </w:rPr>
      </w:pPr>
      <w:r>
        <w:rPr>
          <w:rFonts w:ascii="Times New Roman" w:cs="Times New Roman" w:eastAsia="Times New Roman" w:hAnsi="Times New Roman"/>
          <w:sz w:val="21"/>
          <w:szCs w:val="21"/>
          <w:color w:val="231F20"/>
        </w:rPr>
        <w:t>Regulatory authorities also have authority with respect to the Company’s ability to recover its electricity and natural gas supply costs, as incurred by Unitil Energy, Fitchburg, Unitil Power, Northern Utilities, Bangor and Maine Natural. If the Company is unable to recover a significant amount of these costs, or if the Company’s recovery of these costs is significantly delayed, the Company’s financial condition, results of operations, or cash flows could be adversely affected.</w:t>
      </w:r>
    </w:p>
    <w:p>
      <w:pPr>
        <w:spacing w:after="0" w:line="188" w:lineRule="exact"/>
        <w:rPr>
          <w:sz w:val="20"/>
          <w:szCs w:val="20"/>
          <w:color w:val="auto"/>
        </w:rPr>
      </w:pPr>
    </w:p>
    <w:p>
      <w:pPr>
        <w:ind w:right="240" w:firstLine="612"/>
        <w:spacing w:after="0" w:line="259" w:lineRule="auto"/>
        <w:rPr>
          <w:sz w:val="20"/>
          <w:szCs w:val="20"/>
          <w:color w:val="auto"/>
        </w:rPr>
      </w:pPr>
      <w:r>
        <w:rPr>
          <w:rFonts w:ascii="Times New Roman" w:cs="Times New Roman" w:eastAsia="Times New Roman" w:hAnsi="Times New Roman"/>
          <w:sz w:val="21"/>
          <w:szCs w:val="21"/>
          <w:color w:val="231F20"/>
        </w:rPr>
        <w:t>In addition, certain regulatory authorities have the statutory authority to impose financial penalties and other sanctions on the Company if the Company is found to have violated statutes, rules or regulations governing its utility operations. Any such penalties or sanctions could adversely affect the Company’s financial condition, results of operations, and cash flows.</w:t>
      </w:r>
    </w:p>
    <w:p>
      <w:pPr>
        <w:spacing w:after="0" w:line="30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1"/>
          <w:szCs w:val="21"/>
          <w:b w:val="1"/>
          <w:bCs w:val="1"/>
          <w:i w:val="1"/>
          <w:iCs w:val="1"/>
          <w:color w:val="231F20"/>
        </w:rPr>
        <w:t>The Company’s business is subject to environmental regulation in all jurisdictions in which it operates and its costs of compliance are significant. New, or changes to existing, environmental regulation, including those related to climate change or greenhouse gas emissions, and the incurrence of environmental liabilities could adversely affect the Company’s financial condition, results of operations, and cash flows.</w:t>
      </w:r>
    </w:p>
    <w:p>
      <w:pPr>
        <w:spacing w:after="0" w:line="70" w:lineRule="exact"/>
        <w:rPr>
          <w:sz w:val="20"/>
          <w:szCs w:val="20"/>
          <w:color w:val="auto"/>
        </w:rPr>
      </w:pPr>
    </w:p>
    <w:p>
      <w:pPr>
        <w:ind w:right="120" w:firstLine="619"/>
        <w:spacing w:after="0" w:line="242" w:lineRule="auto"/>
        <w:rPr>
          <w:sz w:val="20"/>
          <w:szCs w:val="20"/>
          <w:color w:val="auto"/>
        </w:rPr>
      </w:pPr>
      <w:r>
        <w:rPr>
          <w:rFonts w:ascii="Times New Roman" w:cs="Times New Roman" w:eastAsia="Times New Roman" w:hAnsi="Times New Roman"/>
          <w:sz w:val="21"/>
          <w:szCs w:val="21"/>
          <w:color w:val="231F20"/>
        </w:rPr>
        <w:t>The Company’s utility operations are generally subject to extensive federal, state and local environmental laws and regulations relating to air quality, water quality, waste management, natural resources, and the health and safety of the Company’s employees. The Company’s utility operations also may be subject to new and emerging federal, state and local legislative and regulatory initiatives related to climate change or greenhouse gas emissions including the U.S. Environmental Protection Agency’s mandatory greenhouse gas reporting rule. Failure to comply with these laws and regulations may result in the assessment of administrative, civil, and criminal penalties and other sanctions; imposition of remedial requirements; and issuance of injunctions to ensure future compliance. Liability under certain environmental laws and regulations is strict, joint and several in nature. Although the Company believes it is in material compliance with all applicable environmental and safety laws and regulations, there is no assurance that the Company will not incur significant costs and liabilities in the future. Moreover, it is possible that other developments, such as increasingly stringent federal, state or local environmental laws and regulations, including those related to climate change or greenhouse gas emissions, could result in increased environmental compliance costs. The Company has committed to reduce greenhouse gas emissions from 2019 levels by at least 50% by 2030 and to achieve net-zero greenhouse gas emissions by 2050. Unforeseen or changing circumstances could adversely affect the Company's ability to achieve these greenhouse gas emissions goals and changes in the regulatory environment could result in the costs associated with efforts to achieve these goals not qualifying for recovery.</w:t>
      </w:r>
    </w:p>
    <w:p>
      <w:pPr>
        <w:sectPr>
          <w:pgSz w:w="12240" w:h="15840" w:orient="portrait"/>
          <w:cols w:equalWidth="0" w:num="1">
            <w:col w:w="10800"/>
          </w:cols>
          <w:pgMar w:left="720" w:top="925" w:right="72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11</w:t>
      </w:r>
    </w:p>
    <w:p>
      <w:pPr>
        <w:sectPr>
          <w:pgSz w:w="12240" w:h="15840" w:orient="portrait"/>
          <w:cols w:equalWidth="0" w:num="1">
            <w:col w:w="10800"/>
          </w:cols>
          <w:pgMar w:left="720" w:top="925" w:right="720" w:bottom="188"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21"/>
          <w:szCs w:val="21"/>
          <w:b w:val="1"/>
          <w:bCs w:val="1"/>
          <w:color w:val="231F20"/>
        </w:rPr>
        <w:t>FINANCIAL RISKS</w:t>
      </w:r>
    </w:p>
    <w:p>
      <w:pPr>
        <w:spacing w:after="0" w:line="126"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1"/>
          <w:szCs w:val="21"/>
          <w:b w:val="1"/>
          <w:bCs w:val="1"/>
          <w:i w:val="1"/>
          <w:iCs w:val="1"/>
          <w:color w:val="231F20"/>
        </w:rPr>
        <w:t>The Company may not be able to obtain financing, or may not be able to obtain financing on acceptable terms, which could adversely affect the Company’s financial condition and results of operations.</w:t>
      </w:r>
    </w:p>
    <w:p>
      <w:pPr>
        <w:spacing w:after="0" w:line="44" w:lineRule="exact"/>
        <w:rPr>
          <w:sz w:val="20"/>
          <w:szCs w:val="20"/>
          <w:color w:val="auto"/>
        </w:rPr>
      </w:pPr>
    </w:p>
    <w:p>
      <w:pPr>
        <w:ind w:right="160" w:firstLine="619"/>
        <w:spacing w:after="0" w:line="246" w:lineRule="auto"/>
        <w:rPr>
          <w:sz w:val="20"/>
          <w:szCs w:val="20"/>
          <w:color w:val="auto"/>
        </w:rPr>
      </w:pPr>
      <w:r>
        <w:rPr>
          <w:rFonts w:ascii="Times New Roman" w:cs="Times New Roman" w:eastAsia="Times New Roman" w:hAnsi="Times New Roman"/>
          <w:sz w:val="21"/>
          <w:szCs w:val="21"/>
          <w:color w:val="231F20"/>
        </w:rPr>
        <w:t>The Company requires capital to fund utility plant additions, working capital and other utility expenditures. While the Company derives the capital necessary to meet these requirements primarily from internally generated funds, the Company supplements internally generated funds by incurring short-term and long-term debt, as needed. Additionally, from time to time the Company has accessed the public capital markets through public offerings of equity securities. A downgrade of the Company’s credit rating or events beyond the Company’s control, such as a disruption in global capital and credit markets, could increase the Company’s cost of borrowing and cost of capital or restrict the Company’s ability to access the capital markets and negatively affect the Company’s ability to maintain and to expand the Company’s businesses.</w:t>
      </w:r>
    </w:p>
    <w:p>
      <w:pPr>
        <w:spacing w:after="0" w:line="198" w:lineRule="exact"/>
        <w:rPr>
          <w:sz w:val="20"/>
          <w:szCs w:val="20"/>
          <w:color w:val="auto"/>
        </w:rPr>
      </w:pPr>
    </w:p>
    <w:p>
      <w:pPr>
        <w:ind w:right="140" w:firstLine="612"/>
        <w:spacing w:after="0" w:line="245" w:lineRule="auto"/>
        <w:rPr>
          <w:sz w:val="20"/>
          <w:szCs w:val="20"/>
          <w:color w:val="auto"/>
        </w:rPr>
      </w:pPr>
      <w:r>
        <w:rPr>
          <w:rFonts w:ascii="Times New Roman" w:cs="Times New Roman" w:eastAsia="Times New Roman" w:hAnsi="Times New Roman"/>
          <w:sz w:val="21"/>
          <w:szCs w:val="21"/>
          <w:color w:val="231F20"/>
        </w:rPr>
        <w:t>The Company’s short-term debt revolving credit facility typically has variable interest rates. Therefore, an increase or decrease in interest rates will increase or decrease the Company’s interest expense associated with its revolving credit facility. An increase in the Company’s interest expense could adversely affect the Company’s financial condition and results of operations. As of December 31, 2025, the Company had approximately $169.7 million in short-term debt outstanding under its revolving credit facility. If the lending counterparties under the Company’s current credit facility are unwilling or unable to meet their funding obligations, the Company may be unable to, or limited in its ability, to borrow under its credit facility. This situation could hinder or prevent the Company from meeting its current and future capital needs, which could correspondingly adversely affect the Company’s financial condition, results or operations, and cash flows.</w:t>
      </w:r>
    </w:p>
    <w:p>
      <w:pPr>
        <w:spacing w:after="0" w:line="200" w:lineRule="exact"/>
        <w:rPr>
          <w:sz w:val="20"/>
          <w:szCs w:val="20"/>
          <w:color w:val="auto"/>
        </w:rPr>
      </w:pPr>
    </w:p>
    <w:p>
      <w:pPr>
        <w:ind w:right="40" w:firstLine="612"/>
        <w:spacing w:after="0" w:line="244" w:lineRule="auto"/>
        <w:rPr>
          <w:sz w:val="20"/>
          <w:szCs w:val="20"/>
          <w:color w:val="auto"/>
        </w:rPr>
      </w:pPr>
      <w:r>
        <w:rPr>
          <w:rFonts w:ascii="Times New Roman" w:cs="Times New Roman" w:eastAsia="Times New Roman" w:hAnsi="Times New Roman"/>
          <w:sz w:val="21"/>
          <w:szCs w:val="21"/>
          <w:color w:val="231F20"/>
        </w:rPr>
        <w:t>Also, from time to time the Company repays portions of its short-term debt with the proceeds it receives from long-term debt financings or equity financings. General economic conditions, conditions in the capital and credit markets and the Company’s operating and financial performance could negatively affect the Company’s ability to obtain such financings or the terms of such financings, which could correspondingly adversely affect the Company’s financial condition, results of operations, and cash flows. The Company’s long-term debt typically has fixed interest rates. Therefore, changes in interest rates will not affect the Company’s interest expense associated with its presently outstanding fixed rate long-term debt. However, an increase or decrease in interest rates may increase or decrease the Company’s interest expense associated with any new fixed rate long-term debt issued by the Company, which could adversely affect the Company’s financial condition, results of operations, and cash flows.</w:t>
      </w:r>
    </w:p>
    <w:p>
      <w:pPr>
        <w:spacing w:after="0" w:line="204" w:lineRule="exact"/>
        <w:rPr>
          <w:sz w:val="20"/>
          <w:szCs w:val="20"/>
          <w:color w:val="auto"/>
        </w:rPr>
      </w:pPr>
    </w:p>
    <w:p>
      <w:pPr>
        <w:jc w:val="both"/>
        <w:ind w:right="460" w:firstLine="612"/>
        <w:spacing w:after="0" w:line="259" w:lineRule="auto"/>
        <w:rPr>
          <w:sz w:val="20"/>
          <w:szCs w:val="20"/>
          <w:color w:val="auto"/>
        </w:rPr>
      </w:pPr>
      <w:r>
        <w:rPr>
          <w:rFonts w:ascii="Times New Roman" w:cs="Times New Roman" w:eastAsia="Times New Roman" w:hAnsi="Times New Roman"/>
          <w:sz w:val="21"/>
          <w:szCs w:val="21"/>
          <w:color w:val="231F20"/>
        </w:rPr>
        <w:t>The Company may need to use a significant portion of its cash flow to repay its short-term debt and long-term debt, which would limit the amount of cash it has available for working capital, capital expenditures and other general corporate purposes and could adversely affect its financial condition, results of operations, and cash flows.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231F20"/>
        </w:rPr>
        <w:t>Changes in taxation and the ability to quantify such changes could adversely affect the Company’s financial results.</w:t>
      </w:r>
    </w:p>
    <w:p>
      <w:pPr>
        <w:spacing w:after="0" w:line="118" w:lineRule="exact"/>
        <w:rPr>
          <w:sz w:val="20"/>
          <w:szCs w:val="20"/>
          <w:color w:val="auto"/>
        </w:rPr>
      </w:pPr>
    </w:p>
    <w:p>
      <w:pPr>
        <w:ind w:right="20" w:firstLine="619"/>
        <w:spacing w:after="0" w:line="246" w:lineRule="auto"/>
        <w:rPr>
          <w:sz w:val="20"/>
          <w:szCs w:val="20"/>
          <w:color w:val="auto"/>
        </w:rPr>
      </w:pPr>
      <w:r>
        <w:rPr>
          <w:rFonts w:ascii="Times New Roman" w:cs="Times New Roman" w:eastAsia="Times New Roman" w:hAnsi="Times New Roman"/>
          <w:sz w:val="21"/>
          <w:szCs w:val="21"/>
          <w:color w:val="231F20"/>
        </w:rPr>
        <w:t>The Company is subject to taxation by the various taxing authorities at the federal, state and local levels where it does business. Legislation or regulation which could affect the Company’s tax burden could be enacted by any of these governmental authorities. The Company cannot predict the timing or extent of such tax-related developments which could have a negative effect on the financial results. The Company uses its best judgment in attempting to quantify and reserve for these tax obligations. However, a challenge by a taxing authority, the Company’s ability to utilize tax benefits such as carryforwards or tax credits, or a deviation from other tax-related assumptions may cause actual financial results to deviate from previous estimates.</w:t>
      </w:r>
    </w:p>
    <w:p>
      <w:pPr>
        <w:spacing w:after="0" w:line="32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1"/>
          <w:szCs w:val="21"/>
          <w:b w:val="1"/>
          <w:bCs w:val="1"/>
          <w:i w:val="1"/>
          <w:iCs w:val="1"/>
          <w:color w:val="231F20"/>
        </w:rPr>
        <w:t>Declines in capital market valuations could require the Company to make substantial cash contributions to cover its pension and other post-retirement benefit obligations. If the Company is unable to recover a significant amount of pension and other post-retirement benefit obligation costs in its rates, or if the Company’s recovery of these costs in its rates is significantly delayed, its financial condition and results of operations could be adversely affected.</w:t>
      </w:r>
    </w:p>
    <w:p>
      <w:pPr>
        <w:spacing w:after="0" w:line="70"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21"/>
          <w:szCs w:val="21"/>
          <w:color w:val="231F20"/>
        </w:rPr>
        <w:t xml:space="preserve">The amount of cash contributions the Company is required to make in respect of its pension and other post-retirement benefit obligations is dependent upon capital market valuations. Adverse changes in capital market valuations could result in the Company being required to make substantial cash contributions in respect to these obligations. These cash contributions could have an adverse effect on the Company’s financial condition, results of operations, and cash flows if the Company is unable to recover such costs in rates or if such recovery is significantly delayed. See section titled </w:t>
      </w:r>
      <w:r>
        <w:rPr>
          <w:rFonts w:ascii="Times New Roman" w:cs="Times New Roman" w:eastAsia="Times New Roman" w:hAnsi="Times New Roman"/>
          <w:sz w:val="21"/>
          <w:szCs w:val="21"/>
          <w:i w:val="1"/>
          <w:iCs w:val="1"/>
          <w:color w:val="231F20"/>
        </w:rPr>
        <w:t>Critical Accounting</w:t>
      </w:r>
      <w:r>
        <w:rPr>
          <w:rFonts w:ascii="Times New Roman" w:cs="Times New Roman" w:eastAsia="Times New Roman" w:hAnsi="Times New Roman"/>
          <w:sz w:val="21"/>
          <w:szCs w:val="21"/>
          <w:color w:val="231F20"/>
        </w:rPr>
        <w:t xml:space="preserve"> </w:t>
      </w:r>
      <w:r>
        <w:rPr>
          <w:rFonts w:ascii="Times New Roman" w:cs="Times New Roman" w:eastAsia="Times New Roman" w:hAnsi="Times New Roman"/>
          <w:sz w:val="21"/>
          <w:szCs w:val="21"/>
          <w:i w:val="1"/>
          <w:iCs w:val="1"/>
          <w:color w:val="231F20"/>
        </w:rPr>
        <w:t xml:space="preserve">Policies—Retirement Benefit Obligations </w:t>
      </w:r>
      <w:r>
        <w:rPr>
          <w:rFonts w:ascii="Times New Roman" w:cs="Times New Roman" w:eastAsia="Times New Roman" w:hAnsi="Times New Roman"/>
          <w:sz w:val="21"/>
          <w:szCs w:val="21"/>
          <w:color w:val="231F20"/>
        </w:rPr>
        <w:t>in Part II, Item 7 (Management’s Discussion and Analysis of Financial Condition and</w:t>
      </w:r>
    </w:p>
    <w:p>
      <w:pPr>
        <w:sectPr>
          <w:pgSz w:w="12240" w:h="15840" w:orient="portrait"/>
          <w:cols w:equalWidth="0" w:num="1">
            <w:col w:w="10800"/>
          </w:cols>
          <w:pgMar w:left="720" w:top="925" w:right="720" w:bottom="188"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12</w:t>
      </w:r>
    </w:p>
    <w:p>
      <w:pPr>
        <w:sectPr>
          <w:pgSz w:w="12240" w:h="15840" w:orient="portrait"/>
          <w:cols w:equalWidth="0" w:num="1">
            <w:col w:w="10800"/>
          </w:cols>
          <w:pgMar w:left="720" w:top="925" w:right="720" w:bottom="188" w:gutter="0" w:footer="0" w:header="0"/>
          <w:type w:val="continuous"/>
        </w:sectPr>
      </w:pPr>
    </w:p>
    <w:bookmarkStart w:id="32" w:name="page33"/>
    <w:bookmarkEnd w:id="32"/>
    <w:p>
      <w:pPr>
        <w:ind w:right="320"/>
        <w:spacing w:after="0" w:line="279" w:lineRule="auto"/>
        <w:rPr>
          <w:sz w:val="20"/>
          <w:szCs w:val="20"/>
          <w:color w:val="auto"/>
        </w:rPr>
      </w:pPr>
      <w:r>
        <w:rPr>
          <w:rFonts w:ascii="Times New Roman" w:cs="Times New Roman" w:eastAsia="Times New Roman" w:hAnsi="Times New Roman"/>
          <w:sz w:val="21"/>
          <w:szCs w:val="21"/>
          <w:color w:val="231F20"/>
        </w:rPr>
        <w:t>Results of Operations) and Note 10 (Retirement Benefit Plans) to the accompanying Consolidated Financial Statements for a more detailed discussion of the Company’s pension obligations.</w:t>
      </w:r>
    </w:p>
    <w:p>
      <w:pPr>
        <w:spacing w:after="0" w:line="284"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1"/>
          <w:szCs w:val="21"/>
          <w:b w:val="1"/>
          <w:bCs w:val="1"/>
          <w:i w:val="1"/>
          <w:iCs w:val="1"/>
          <w:color w:val="231F20"/>
        </w:rPr>
        <w:t>The terms of the Company’s and its subsidiaries’ indebtedness restrict the Company’s and its subsidiaries’ business operations (including their ability to incur material amounts of additional indebtedness), which could adversely affect the Company’s financial condition and results of operations.</w:t>
      </w:r>
    </w:p>
    <w:p>
      <w:pPr>
        <w:spacing w:after="0" w:line="64" w:lineRule="exact"/>
        <w:rPr>
          <w:sz w:val="20"/>
          <w:szCs w:val="20"/>
          <w:color w:val="auto"/>
        </w:rPr>
      </w:pPr>
    </w:p>
    <w:p>
      <w:pPr>
        <w:ind w:right="100" w:firstLine="619"/>
        <w:spacing w:after="0" w:line="244" w:lineRule="auto"/>
        <w:rPr>
          <w:sz w:val="20"/>
          <w:szCs w:val="20"/>
          <w:color w:val="auto"/>
        </w:rPr>
      </w:pPr>
      <w:r>
        <w:rPr>
          <w:rFonts w:ascii="Times New Roman" w:cs="Times New Roman" w:eastAsia="Times New Roman" w:hAnsi="Times New Roman"/>
          <w:sz w:val="21"/>
          <w:szCs w:val="21"/>
          <w:color w:val="231F20"/>
        </w:rPr>
        <w:t xml:space="preserve">The terms of the Company’s and its subsidiaries’ indebtedness impose various restrictions on the Company’s business operations, including the ability of the Company and its subsidiaries to incur additional indebtedness. These restrictions could adversely affect the Company’s financial condition, results of operations, and cash flows. The Company’s existing credit facility also provides for restrictions on, among other things, the Company’s and its subsidiaries’ ability to permit liens or incur indebtedness, and restrictions on the Company’s ability to merge or consolidate with another entity or change its line of business, and includes a financial covenant that the Company’s Funded Debt to Capitalization (as each term is defined in the Credit Facility) cannot exceed 65%, tested on a quarterly basis. See sections titled </w:t>
      </w:r>
      <w:r>
        <w:rPr>
          <w:rFonts w:ascii="Times New Roman" w:cs="Times New Roman" w:eastAsia="Times New Roman" w:hAnsi="Times New Roman"/>
          <w:sz w:val="21"/>
          <w:szCs w:val="21"/>
          <w:i w:val="1"/>
          <w:iCs w:val="1"/>
          <w:color w:val="231F20"/>
        </w:rPr>
        <w:t>Liquidity, Commitments and Capital</w:t>
      </w:r>
      <w:r>
        <w:rPr>
          <w:rFonts w:ascii="Times New Roman" w:cs="Times New Roman" w:eastAsia="Times New Roman" w:hAnsi="Times New Roman"/>
          <w:sz w:val="21"/>
          <w:szCs w:val="21"/>
          <w:color w:val="231F20"/>
        </w:rPr>
        <w:t xml:space="preserve"> </w:t>
      </w:r>
      <w:r>
        <w:rPr>
          <w:rFonts w:ascii="Times New Roman" w:cs="Times New Roman" w:eastAsia="Times New Roman" w:hAnsi="Times New Roman"/>
          <w:sz w:val="21"/>
          <w:szCs w:val="21"/>
          <w:i w:val="1"/>
          <w:iCs w:val="1"/>
          <w:color w:val="231F20"/>
        </w:rPr>
        <w:t xml:space="preserve">Requirements </w:t>
      </w:r>
      <w:r>
        <w:rPr>
          <w:rFonts w:ascii="Times New Roman" w:cs="Times New Roman" w:eastAsia="Times New Roman" w:hAnsi="Times New Roman"/>
          <w:sz w:val="21"/>
          <w:szCs w:val="21"/>
          <w:color w:val="231F20"/>
        </w:rPr>
        <w:t>in Part II, Item 7 (Management’s Discussion and Analysis of Financial Condition and Results of Operations) and</w:t>
      </w:r>
      <w:r>
        <w:rPr>
          <w:rFonts w:ascii="Times New Roman" w:cs="Times New Roman" w:eastAsia="Times New Roman" w:hAnsi="Times New Roman"/>
          <w:sz w:val="21"/>
          <w:szCs w:val="21"/>
          <w:i w:val="1"/>
          <w:iCs w:val="1"/>
          <w:color w:val="231F20"/>
        </w:rPr>
        <w:t xml:space="preserve"> </w:t>
      </w:r>
      <w:r>
        <w:rPr>
          <w:rFonts w:ascii="Times New Roman" w:cs="Times New Roman" w:eastAsia="Times New Roman" w:hAnsi="Times New Roman"/>
          <w:sz w:val="21"/>
          <w:szCs w:val="21"/>
          <w:color w:val="231F20"/>
        </w:rPr>
        <w:t>Note 4 (Debt and Financing Arrangements) to the accompanying Consolidated Financial Statements for a more detailed discussion of these restrictions.</w:t>
      </w:r>
    </w:p>
    <w:p>
      <w:pPr>
        <w:spacing w:after="0" w:line="32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1"/>
          <w:szCs w:val="21"/>
          <w:b w:val="1"/>
          <w:bCs w:val="1"/>
          <w:i w:val="1"/>
          <w:iCs w:val="1"/>
          <w:color w:val="231F20"/>
        </w:rPr>
        <w:t>Unitil is a public utility holding company and has no operating income of its own. The Company’s ability to pay dividends on its common stock is dependent on dividends and other payments received from its subsidiaries and on factors directly affecting Unitil, the parent corporation. The Company cannot assure that its current annual dividend will be paid in the future.</w:t>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231F20"/>
        </w:rPr>
        <w:t>The ability of the Company’s subsidiaries to pay dividends or make distributions to Unitil depends on, among other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231F20"/>
        </w:rPr>
        <w:t>things:</w:t>
      </w:r>
    </w:p>
    <w:p>
      <w:pPr>
        <w:spacing w:after="0" w:line="105" w:lineRule="exact"/>
        <w:rPr>
          <w:sz w:val="20"/>
          <w:szCs w:val="20"/>
          <w:color w:val="auto"/>
        </w:rPr>
      </w:pPr>
    </w:p>
    <w:p>
      <w:pPr>
        <w:ind w:left="980" w:right="820" w:hanging="361"/>
        <w:spacing w:after="0" w:line="278" w:lineRule="auto"/>
        <w:tabs>
          <w:tab w:leader="none" w:pos="980" w:val="left"/>
        </w:tabs>
        <w:numPr>
          <w:ilvl w:val="0"/>
          <w:numId w:val="11"/>
        </w:numPr>
        <w:rPr>
          <w:rFonts w:ascii="Arial" w:cs="Arial" w:eastAsia="Arial" w:hAnsi="Arial"/>
          <w:sz w:val="21"/>
          <w:szCs w:val="21"/>
          <w:color w:val="231F20"/>
        </w:rPr>
      </w:pPr>
      <w:r>
        <w:rPr>
          <w:rFonts w:ascii="Times New Roman" w:cs="Times New Roman" w:eastAsia="Times New Roman" w:hAnsi="Times New Roman"/>
          <w:sz w:val="21"/>
          <w:szCs w:val="21"/>
          <w:color w:val="231F20"/>
        </w:rPr>
        <w:t>the actual and projected earnings and cash flow, capital requirements and general financial condition of the Company’s subsidiaries;</w:t>
      </w:r>
    </w:p>
    <w:p>
      <w:pPr>
        <w:spacing w:after="0" w:line="57" w:lineRule="exact"/>
        <w:rPr>
          <w:rFonts w:ascii="Arial" w:cs="Arial" w:eastAsia="Arial" w:hAnsi="Arial"/>
          <w:sz w:val="21"/>
          <w:szCs w:val="21"/>
          <w:color w:val="231F20"/>
        </w:rPr>
      </w:pPr>
    </w:p>
    <w:p>
      <w:pPr>
        <w:ind w:left="980" w:right="360" w:hanging="361"/>
        <w:spacing w:after="0" w:line="278" w:lineRule="auto"/>
        <w:tabs>
          <w:tab w:leader="none" w:pos="980" w:val="left"/>
        </w:tabs>
        <w:numPr>
          <w:ilvl w:val="0"/>
          <w:numId w:val="11"/>
        </w:numPr>
        <w:rPr>
          <w:rFonts w:ascii="Arial" w:cs="Arial" w:eastAsia="Arial" w:hAnsi="Arial"/>
          <w:sz w:val="21"/>
          <w:szCs w:val="21"/>
          <w:color w:val="231F20"/>
        </w:rPr>
      </w:pPr>
      <w:r>
        <w:rPr>
          <w:rFonts w:ascii="Times New Roman" w:cs="Times New Roman" w:eastAsia="Times New Roman" w:hAnsi="Times New Roman"/>
          <w:sz w:val="21"/>
          <w:szCs w:val="21"/>
          <w:color w:val="231F20"/>
        </w:rPr>
        <w:t>the prior rights of holders of existing and future preferred stock, mortgage bonds, long-term notes and other debt issued by the Company’s subsidiaries;</w:t>
      </w:r>
    </w:p>
    <w:p>
      <w:pPr>
        <w:spacing w:after="0" w:line="57" w:lineRule="exact"/>
        <w:rPr>
          <w:rFonts w:ascii="Arial" w:cs="Arial" w:eastAsia="Arial" w:hAnsi="Arial"/>
          <w:sz w:val="21"/>
          <w:szCs w:val="21"/>
          <w:color w:val="231F20"/>
        </w:rPr>
      </w:pPr>
    </w:p>
    <w:p>
      <w:pPr>
        <w:ind w:left="980" w:right="780" w:hanging="361"/>
        <w:spacing w:after="0" w:line="304" w:lineRule="auto"/>
        <w:tabs>
          <w:tab w:leader="none" w:pos="980" w:val="left"/>
        </w:tabs>
        <w:numPr>
          <w:ilvl w:val="0"/>
          <w:numId w:val="11"/>
        </w:numPr>
        <w:rPr>
          <w:rFonts w:ascii="Arial" w:cs="Arial" w:eastAsia="Arial" w:hAnsi="Arial"/>
          <w:sz w:val="20"/>
          <w:szCs w:val="20"/>
          <w:color w:val="231F20"/>
        </w:rPr>
      </w:pPr>
      <w:r>
        <w:rPr>
          <w:rFonts w:ascii="Times New Roman" w:cs="Times New Roman" w:eastAsia="Times New Roman" w:hAnsi="Times New Roman"/>
          <w:sz w:val="20"/>
          <w:szCs w:val="20"/>
          <w:color w:val="231F20"/>
        </w:rPr>
        <w:t>the restrictions on the payment of dividends contained in the existing loan agreements of the Company’s subsidiaries and that may be contained in future debt agreements of the Company’s subsidiaries, if any; and</w:t>
      </w:r>
    </w:p>
    <w:p>
      <w:pPr>
        <w:spacing w:after="0" w:line="34" w:lineRule="exact"/>
        <w:rPr>
          <w:rFonts w:ascii="Arial" w:cs="Arial" w:eastAsia="Arial" w:hAnsi="Arial"/>
          <w:sz w:val="20"/>
          <w:szCs w:val="20"/>
          <w:color w:val="231F20"/>
        </w:rPr>
      </w:pPr>
    </w:p>
    <w:p>
      <w:pPr>
        <w:ind w:left="980" w:hanging="361"/>
        <w:spacing w:after="0"/>
        <w:tabs>
          <w:tab w:leader="none" w:pos="980" w:val="left"/>
        </w:tabs>
        <w:numPr>
          <w:ilvl w:val="0"/>
          <w:numId w:val="11"/>
        </w:numPr>
        <w:rPr>
          <w:rFonts w:ascii="Arial" w:cs="Arial" w:eastAsia="Arial" w:hAnsi="Arial"/>
          <w:sz w:val="21"/>
          <w:szCs w:val="21"/>
          <w:color w:val="231F20"/>
        </w:rPr>
      </w:pPr>
      <w:r>
        <w:rPr>
          <w:rFonts w:ascii="Times New Roman" w:cs="Times New Roman" w:eastAsia="Times New Roman" w:hAnsi="Times New Roman"/>
          <w:sz w:val="21"/>
          <w:szCs w:val="21"/>
          <w:color w:val="231F20"/>
        </w:rPr>
        <w:t>limitations that may be imposed by New Hampshire, Massachusetts and Maine state regulatory authorities.</w:t>
      </w:r>
    </w:p>
    <w:p>
      <w:pPr>
        <w:spacing w:after="0" w:line="239" w:lineRule="exact"/>
        <w:rPr>
          <w:sz w:val="20"/>
          <w:szCs w:val="20"/>
          <w:color w:val="auto"/>
        </w:rPr>
      </w:pPr>
    </w:p>
    <w:p>
      <w:pPr>
        <w:ind w:right="120" w:firstLine="612"/>
        <w:spacing w:after="0" w:line="279" w:lineRule="auto"/>
        <w:rPr>
          <w:sz w:val="20"/>
          <w:szCs w:val="20"/>
          <w:color w:val="auto"/>
        </w:rPr>
      </w:pPr>
      <w:r>
        <w:rPr>
          <w:rFonts w:ascii="Times New Roman" w:cs="Times New Roman" w:eastAsia="Times New Roman" w:hAnsi="Times New Roman"/>
          <w:sz w:val="21"/>
          <w:szCs w:val="21"/>
          <w:color w:val="231F20"/>
        </w:rPr>
        <w:t>In addition, before the Company can pay dividends on its common stock, it must satisfy its debt obligations and comply with any statutory or contractual limitations.</w:t>
      </w:r>
    </w:p>
    <w:p>
      <w:pPr>
        <w:spacing w:after="0" w:line="162" w:lineRule="exact"/>
        <w:rPr>
          <w:sz w:val="20"/>
          <w:szCs w:val="20"/>
          <w:color w:val="auto"/>
        </w:rPr>
      </w:pPr>
    </w:p>
    <w:p>
      <w:pPr>
        <w:ind w:right="240" w:firstLine="612"/>
        <w:spacing w:after="0" w:line="253" w:lineRule="auto"/>
        <w:rPr>
          <w:sz w:val="20"/>
          <w:szCs w:val="20"/>
          <w:color w:val="auto"/>
        </w:rPr>
      </w:pPr>
      <w:r>
        <w:rPr>
          <w:rFonts w:ascii="Times New Roman" w:cs="Times New Roman" w:eastAsia="Times New Roman" w:hAnsi="Times New Roman"/>
          <w:sz w:val="21"/>
          <w:szCs w:val="21"/>
          <w:color w:val="231F20"/>
        </w:rPr>
        <w:t>As of February 9, 2026, the Company’s current effective annualized dividend is $1.90 per share of common stock, payable quarterly. The Board reviews Unitil’s dividend policy periodically in light of a number of business and financial factors, including those referred to in this report, and the Company cannot assure the amount of dividends, if any, that may be paid in the future.</w:t>
      </w:r>
    </w:p>
    <w:p>
      <w:pPr>
        <w:spacing w:after="0" w:line="188" w:lineRule="exact"/>
        <w:rPr>
          <w:sz w:val="20"/>
          <w:szCs w:val="20"/>
          <w:color w:val="auto"/>
        </w:rPr>
      </w:pPr>
    </w:p>
    <w:p>
      <w:pPr>
        <w:ind w:right="860" w:firstLine="619"/>
        <w:spacing w:after="0" w:line="279" w:lineRule="auto"/>
        <w:rPr>
          <w:sz w:val="20"/>
          <w:szCs w:val="20"/>
          <w:color w:val="auto"/>
        </w:rPr>
      </w:pPr>
      <w:r>
        <w:rPr>
          <w:rFonts w:ascii="Times New Roman" w:cs="Times New Roman" w:eastAsia="Times New Roman" w:hAnsi="Times New Roman"/>
          <w:sz w:val="21"/>
          <w:szCs w:val="21"/>
          <w:color w:val="231F20"/>
        </w:rPr>
        <w:t>Future sales and issuances of common stock or rights to purchase common stock, could result in dilution of the percentage ownership of the Company’s shareholders.</w:t>
      </w:r>
    </w:p>
    <w:p>
      <w:pPr>
        <w:spacing w:after="0" w:line="162" w:lineRule="exact"/>
        <w:rPr>
          <w:sz w:val="20"/>
          <w:szCs w:val="20"/>
          <w:color w:val="auto"/>
        </w:rPr>
      </w:pPr>
    </w:p>
    <w:p>
      <w:pPr>
        <w:ind w:right="60" w:firstLine="619"/>
        <w:spacing w:after="0" w:line="246" w:lineRule="auto"/>
        <w:rPr>
          <w:sz w:val="20"/>
          <w:szCs w:val="20"/>
          <w:color w:val="auto"/>
        </w:rPr>
      </w:pPr>
      <w:r>
        <w:rPr>
          <w:rFonts w:ascii="Times New Roman" w:cs="Times New Roman" w:eastAsia="Times New Roman" w:hAnsi="Times New Roman"/>
          <w:sz w:val="21"/>
          <w:szCs w:val="21"/>
          <w:color w:val="231F20"/>
        </w:rPr>
        <w:t>On June 3, 2025, the Company entered into a Distribution Agreement (the “Distribution Agreement”) with sales agents, as agents and/or forward sellers, and forward purchasers pursuant to which we may sell, from time to time, up to an aggregate sales price of $50 million of common stock, through the sales agents (the ATM program). During the year ended December 31, 2025, the Company sold 27,620 shares of common stock under the ATM program at an average price of $53.00 per share, resulting in gross proceeds of $1.5 million and net proceeds of $1.4 million after deducting commissions and offering expenses. As of December 31, 2025, $48.5 million remains available for future sales under the program. Any sales of shares of common stock through the sales agents may cause dilution to the Company’s existing shareholders.</w:t>
      </w:r>
    </w:p>
    <w:p>
      <w:pPr>
        <w:spacing w:after="0" w:line="200"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1"/>
          <w:szCs w:val="21"/>
          <w:b w:val="1"/>
          <w:bCs w:val="1"/>
          <w:i w:val="1"/>
          <w:iCs w:val="1"/>
          <w:color w:val="231F20"/>
        </w:rPr>
        <w:t>The Company has made and may make acquisitions and may pursue other strategic transactions, which could impact the Company’s financial condition or results of operations.</w:t>
      </w:r>
    </w:p>
    <w:p>
      <w:pPr>
        <w:sectPr>
          <w:pgSz w:w="12240" w:h="15840" w:orient="portrait"/>
          <w:cols w:equalWidth="0" w:num="1">
            <w:col w:w="10800"/>
          </w:cols>
          <w:pgMar w:left="720" w:top="929" w:right="720" w:bottom="188" w:gutter="0" w:footer="0" w:header="0"/>
        </w:sect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13</w:t>
      </w:r>
    </w:p>
    <w:p>
      <w:pPr>
        <w:sectPr>
          <w:pgSz w:w="12240" w:h="15840" w:orient="portrait"/>
          <w:cols w:equalWidth="0" w:num="1">
            <w:col w:w="10800"/>
          </w:cols>
          <w:pgMar w:left="720" w:top="929" w:right="720" w:bottom="188" w:gutter="0" w:footer="0" w:header="0"/>
          <w:type w:val="continuous"/>
        </w:sectPr>
      </w:pPr>
    </w:p>
    <w:bookmarkStart w:id="33" w:name="page34"/>
    <w:bookmarkEnd w:id="33"/>
    <w:p>
      <w:pPr>
        <w:ind w:right="20" w:firstLine="720"/>
        <w:spacing w:after="0" w:line="253" w:lineRule="auto"/>
        <w:rPr>
          <w:sz w:val="20"/>
          <w:szCs w:val="20"/>
          <w:color w:val="auto"/>
        </w:rPr>
      </w:pPr>
      <w:r>
        <w:rPr>
          <w:rFonts w:ascii="Times New Roman" w:cs="Times New Roman" w:eastAsia="Times New Roman" w:hAnsi="Times New Roman"/>
          <w:sz w:val="21"/>
          <w:szCs w:val="21"/>
          <w:color w:val="231F20"/>
        </w:rPr>
        <w:t>As part of the Company’s business strategy, the Company has made and may make acquisitions to add complementary companies, assets, services or products, and from time to time may enter into other strategic transactions such as investments and joint ventures. For example, the Company completed the acquisitions of Bangor Natural Gas Company on January 31, 2025 and Maine Natural Gas Corporation on October 31, 2025.</w:t>
      </w:r>
    </w:p>
    <w:p>
      <w:pPr>
        <w:spacing w:after="0" w:line="188"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1"/>
          <w:szCs w:val="21"/>
          <w:color w:val="231F20"/>
        </w:rPr>
        <w:t>In the future, the Company may not be able to find suitable acquisition candidates, and may not be able to complete acquisitions or other strategic transactions on favorable terms, or at all. For example, on May 6, 2025, the Company entered into a definitive agreement to acquire Aquarion Water Company of Massachusetts, Inc., Aquarion Water Company of New Hampshire, Inc., and Abenaki Water Co., Inc. (the Aquarion Companies) from the Aquarion Water Authority, a quasi-public corporation and political subdivision of the State of Connecticut and a standalone, newly created water authority alongside the South Central Connecticut Regional Water Authority subject to certain closing adjustments. There is no guarantee that these acquisitions will be approved by the appropriate governmental and other regulatory authorities.</w:t>
      </w:r>
    </w:p>
    <w:p>
      <w:pPr>
        <w:spacing w:after="0" w:line="198"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1"/>
          <w:szCs w:val="21"/>
          <w:color w:val="231F20"/>
        </w:rPr>
        <w:t>In some cases, the costs of such acquisitions or other strategic transactions may be substantial, and there is no assurance that the Company will realize expected synergies and potential monetization opportunities for the Company’s acquisitions, or a favorable return on investment for strategic investments.</w:t>
      </w:r>
    </w:p>
    <w:p>
      <w:pPr>
        <w:spacing w:after="0" w:line="183"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1"/>
          <w:szCs w:val="21"/>
          <w:color w:val="231F20"/>
        </w:rPr>
        <w:t>The Company may pay substantial amounts of cash, issue equity, or incur debt to pay for acquisitions or strategic transactions. The Company may also discover liabilities, deficiencies, or other claims associated with the companies or assets acquired that were not identified in advance, which may result in significant unanticipated costs. In addition, the Company may fail to accurately forecast the financial impact of an acquisition or other strategic transaction, including tax and accounting charges. Any of these factors may adversely affect the Company’s financial condition or results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231F20"/>
        </w:rPr>
        <w:t>Potential tariffs could adversely affect the Company’s business and financial results.</w:t>
      </w:r>
    </w:p>
    <w:p>
      <w:pPr>
        <w:spacing w:after="0" w:line="238" w:lineRule="exact"/>
        <w:rPr>
          <w:sz w:val="20"/>
          <w:szCs w:val="20"/>
          <w:color w:val="auto"/>
        </w:rPr>
      </w:pPr>
    </w:p>
    <w:p>
      <w:pPr>
        <w:ind w:right="120" w:firstLine="619"/>
        <w:spacing w:after="0" w:line="247" w:lineRule="auto"/>
        <w:rPr>
          <w:sz w:val="20"/>
          <w:szCs w:val="20"/>
          <w:color w:val="auto"/>
        </w:rPr>
      </w:pPr>
      <w:r>
        <w:rPr>
          <w:rFonts w:ascii="Times New Roman" w:cs="Times New Roman" w:eastAsia="Times New Roman" w:hAnsi="Times New Roman"/>
          <w:sz w:val="21"/>
          <w:szCs w:val="21"/>
          <w:color w:val="231F20"/>
        </w:rPr>
        <w:t>The Company purchases natural gas from U.S. domestic and Canadian supply sources largely under contracts of one year or less. On occasion, the Company purchases natural gas from producers and marketers on the spot market. The U.S. presidential administration has implemented of a number of tariffs, including tariffs on energy imports from Canada, which could significantly increase the cost of natural gas in the U.S., potentially decreasing customer demand for natural gas. The Company may also need to obtain natural gas from other sources, when possible. Any of these factors may adversely affect the Company’s financial condition or results of operations.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GENERAL RISKS</w:t>
      </w:r>
    </w:p>
    <w:p>
      <w:pPr>
        <w:spacing w:after="0" w:line="1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1"/>
          <w:szCs w:val="21"/>
          <w:b w:val="1"/>
          <w:bCs w:val="1"/>
          <w:i w:val="1"/>
          <w:iCs w:val="1"/>
          <w:color w:val="231F20"/>
        </w:rPr>
        <w:t>The Company’s electric and natural gas sales and revenues are highly correlated with the economy, and national, regional and local economic conditions may adversely affect the Company’s customers and correspondingly the Company’s financial condition, results of operations, and cash flows.</w:t>
      </w:r>
    </w:p>
    <w:p>
      <w:pPr>
        <w:spacing w:after="0" w:line="64" w:lineRule="exact"/>
        <w:rPr>
          <w:sz w:val="20"/>
          <w:szCs w:val="20"/>
          <w:color w:val="auto"/>
        </w:rPr>
      </w:pPr>
    </w:p>
    <w:p>
      <w:pPr>
        <w:ind w:right="80" w:firstLine="619"/>
        <w:spacing w:after="0" w:line="243" w:lineRule="auto"/>
        <w:rPr>
          <w:sz w:val="20"/>
          <w:szCs w:val="20"/>
          <w:color w:val="auto"/>
        </w:rPr>
      </w:pPr>
      <w:r>
        <w:rPr>
          <w:rFonts w:ascii="Times New Roman" w:cs="Times New Roman" w:eastAsia="Times New Roman" w:hAnsi="Times New Roman"/>
          <w:sz w:val="21"/>
          <w:szCs w:val="21"/>
          <w:color w:val="231F20"/>
        </w:rPr>
        <w:t>The Company’s business is influenced by the economic activity within its service territory. The level of economic activity in the Company’s electric and natural gas distribution service territories directly affects the Company’s business. As a result, adverse changes in the economy may adversely affect the Company’s financial condition, results or operations, and cash flows. Economic downturns or periods of high electric and gas supply costs typically can lead to the development of legislative and regulatory policy designed to promote reductions in energy consumption and increased energy efficiency and self-generation by customers. This focus on conservation, energy efficiency and self-generation may result in a decline in electricity and gas sales in the Company’s service territories. If any such declines were to occur without corresponding adjustments in rates, the Company’s revenues would be reduced and the Company’s future growth prospects would be limited. In addition, a period of prolonged economic weakness could affect the Company’s customers’ ability to pay bills in a timely manner and increase customer bankruptcies, which may lead to increased bad debt expenses or other adverse effects on the Company’s financial position, results of operations, and cash flows.</w:t>
      </w:r>
    </w:p>
    <w:p>
      <w:pPr>
        <w:spacing w:after="0" w:line="329" w:lineRule="exact"/>
        <w:rPr>
          <w:sz w:val="20"/>
          <w:szCs w:val="20"/>
          <w:color w:val="auto"/>
        </w:rPr>
      </w:pPr>
    </w:p>
    <w:p>
      <w:pPr>
        <w:ind w:right="520"/>
        <w:spacing w:after="0" w:line="252" w:lineRule="auto"/>
        <w:rPr>
          <w:sz w:val="20"/>
          <w:szCs w:val="20"/>
          <w:color w:val="auto"/>
        </w:rPr>
      </w:pPr>
      <w:r>
        <w:rPr>
          <w:rFonts w:ascii="Times New Roman" w:cs="Times New Roman" w:eastAsia="Times New Roman" w:hAnsi="Times New Roman"/>
          <w:sz w:val="21"/>
          <w:szCs w:val="21"/>
          <w:b w:val="1"/>
          <w:bCs w:val="1"/>
          <w:i w:val="1"/>
          <w:iCs w:val="1"/>
          <w:color w:val="231F20"/>
        </w:rPr>
        <w:t>A significant amount of the Company’s sales are temperature sensitive. Because of this, mild winter and summer temperatures could decrease the Company’s sales, which could adversely affect the Company’s financial condition and results of operations. Also, the Company’s sales may vary from year to year depending on weather conditions, and the Company’s results of operations generally reflect seasonality.</w:t>
      </w:r>
    </w:p>
    <w:p>
      <w:pPr>
        <w:spacing w:after="0" w:line="70" w:lineRule="exact"/>
        <w:rPr>
          <w:sz w:val="20"/>
          <w:szCs w:val="20"/>
          <w:color w:val="auto"/>
        </w:rPr>
      </w:pPr>
    </w:p>
    <w:p>
      <w:pPr>
        <w:ind w:right="120" w:firstLine="619"/>
        <w:spacing w:after="0" w:line="305" w:lineRule="auto"/>
        <w:rPr>
          <w:sz w:val="20"/>
          <w:szCs w:val="20"/>
          <w:color w:val="auto"/>
        </w:rPr>
      </w:pPr>
      <w:r>
        <w:rPr>
          <w:rFonts w:ascii="Times New Roman" w:cs="Times New Roman" w:eastAsia="Times New Roman" w:hAnsi="Times New Roman"/>
          <w:sz w:val="20"/>
          <w:szCs w:val="20"/>
          <w:color w:val="231F20"/>
        </w:rPr>
        <w:t>A significant amount of the Company’s natural gas sales are temperature sensitive. Therefore, mild winter temperatures could decrease the amount of natural gas sold by the Company, which could adversely affect the Company’s financial</w:t>
      </w:r>
    </w:p>
    <w:p>
      <w:pPr>
        <w:sectPr>
          <w:pgSz w:w="12240" w:h="15840" w:orient="portrait"/>
          <w:cols w:equalWidth="0" w:num="1">
            <w:col w:w="10800"/>
          </w:cols>
          <w:pgMar w:left="720" w:top="929" w:right="720" w:bottom="188" w:gutter="0" w:footer="0" w:header="0"/>
        </w:sectPr>
      </w:pP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14</w:t>
      </w:r>
    </w:p>
    <w:p>
      <w:pPr>
        <w:sectPr>
          <w:pgSz w:w="12240" w:h="15840" w:orient="portrait"/>
          <w:cols w:equalWidth="0" w:num="1">
            <w:col w:w="10800"/>
          </w:cols>
          <w:pgMar w:left="720" w:top="929" w:right="720" w:bottom="188" w:gutter="0" w:footer="0" w:header="0"/>
          <w:type w:val="continuous"/>
        </w:sectPr>
      </w:pPr>
    </w:p>
    <w:bookmarkStart w:id="34" w:name="page35"/>
    <w:bookmarkEnd w:id="34"/>
    <w:p>
      <w:pPr>
        <w:ind w:right="40"/>
        <w:spacing w:after="0" w:line="247" w:lineRule="auto"/>
        <w:rPr>
          <w:sz w:val="20"/>
          <w:szCs w:val="20"/>
          <w:color w:val="auto"/>
        </w:rPr>
      </w:pPr>
      <w:r>
        <w:rPr>
          <w:rFonts w:ascii="Times New Roman" w:cs="Times New Roman" w:eastAsia="Times New Roman" w:hAnsi="Times New Roman"/>
          <w:sz w:val="21"/>
          <w:szCs w:val="21"/>
          <w:color w:val="231F20"/>
        </w:rPr>
        <w:t>condition, results of operations, and cash flows. The Company’s electric sales also are temperature sensitive, but less so than its natural gas sales. The highest usage of electricity typically occurs in the summer months (due to air conditioning demand) and the winter months (due to heating-related and lighting requirements). Therefore, mild summer temperatures and mild winter temperatures could decrease the amount of electricity sold by the Company, which could adversely affect the Company’s financial condition, results of operations, and cash flows. Also, because of this temperature sensitivity, sales by the Company’s distribution utilities vary from year to year, depending on weather conditions.</w:t>
      </w:r>
    </w:p>
    <w:p>
      <w:pPr>
        <w:spacing w:after="0" w:line="198" w:lineRule="exact"/>
        <w:rPr>
          <w:sz w:val="20"/>
          <w:szCs w:val="20"/>
          <w:color w:val="auto"/>
        </w:rPr>
      </w:pPr>
    </w:p>
    <w:p>
      <w:pPr>
        <w:ind w:right="120" w:firstLine="612"/>
        <w:spacing w:after="0" w:line="247" w:lineRule="auto"/>
        <w:rPr>
          <w:sz w:val="20"/>
          <w:szCs w:val="20"/>
          <w:color w:val="auto"/>
        </w:rPr>
      </w:pPr>
      <w:r>
        <w:rPr>
          <w:rFonts w:ascii="Times New Roman" w:cs="Times New Roman" w:eastAsia="Times New Roman" w:hAnsi="Times New Roman"/>
          <w:sz w:val="21"/>
          <w:szCs w:val="21"/>
          <w:color w:val="231F20"/>
        </w:rPr>
        <w:t>The Company’s results of operations are expected to reflect the seasonal nature of the natural gas business. Annual gas revenues are substantially realized during the colder weather seasons of the year as a result of higher sales of natural gas used for heating-related purposes. Accordingly, the results of operations are historically most favorable in the first and fourth quarters. Fluctuations in seasonal weather conditions may have a significant effect on the result of operations. Sales of electricity are generally less sensitive to weather than natural gas sales, but may also be affected by the weather conditions and the temperature in both the winter and summer seasons.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231F20"/>
        </w:rPr>
        <w:t>Catastrophic events could adversely affect the Company’s financial condition and results of operations.</w:t>
      </w:r>
    </w:p>
    <w:p>
      <w:pPr>
        <w:spacing w:after="0" w:line="118"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21"/>
          <w:szCs w:val="21"/>
          <w:color w:val="231F20"/>
        </w:rPr>
        <w:t>The electric and natural gas utility industries are from time to time affected by catastrophic events, such as unusually severe weather and significant and widespread failures of plant and equipment. Other catastrophic occurrences, such as terrorist attacks on utility facilities, may occur in the future. Such events could inhibit the Company’s ability to deliver electricity or natural gas to its customers for an extended period, which could affect customer satisfaction and adversely affect the Company’s financial condition, results of operations, and cash flows. If customers, legislators, or regulators develop a negative opinion of the Company, this situation could result in increased regulatory oversight and could affect the equity returns that the Company is allowed to earn. Also, if the Company is unable to recover in its rates a significant amount of costs associated with catastrophic events, or if the Company’s recovery of such costs in its rates is significantly delayed, the Company’s financial condition, results or operations, or cash flows may be adversely affected.</w:t>
      </w:r>
    </w:p>
    <w:p>
      <w:pPr>
        <w:spacing w:after="0" w:line="349"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1"/>
          <w:szCs w:val="21"/>
          <w:b w:val="1"/>
          <w:bCs w:val="1"/>
          <w:i w:val="1"/>
          <w:iCs w:val="1"/>
          <w:color w:val="231F20"/>
        </w:rPr>
        <w:t>The Company’s business could be adversely affected if it is unable to retain its existing customers or attract new customers, or if customers’ demand for its current products and services significantly decreases.</w:t>
      </w:r>
    </w:p>
    <w:p>
      <w:pPr>
        <w:spacing w:after="0" w:line="44" w:lineRule="exact"/>
        <w:rPr>
          <w:sz w:val="20"/>
          <w:szCs w:val="20"/>
          <w:color w:val="auto"/>
        </w:rPr>
      </w:pPr>
    </w:p>
    <w:p>
      <w:pPr>
        <w:ind w:firstLine="619"/>
        <w:spacing w:after="0" w:line="253" w:lineRule="auto"/>
        <w:rPr>
          <w:sz w:val="20"/>
          <w:szCs w:val="20"/>
          <w:color w:val="auto"/>
        </w:rPr>
      </w:pPr>
      <w:r>
        <w:rPr>
          <w:rFonts w:ascii="Times New Roman" w:cs="Times New Roman" w:eastAsia="Times New Roman" w:hAnsi="Times New Roman"/>
          <w:sz w:val="21"/>
          <w:szCs w:val="21"/>
          <w:color w:val="231F20"/>
        </w:rPr>
        <w:t>The success of the Company’s business depends, in part, on its ability to maintain and increase its customer base and the demand that those customers have for the Company’s products and services. The Company’s failure to maintain or increase its customer base and/or customer demand for its products and services could adversely affect its financial condition, results of operations, and cash flows.</w:t>
      </w:r>
    </w:p>
    <w:p>
      <w:pPr>
        <w:spacing w:after="0" w:line="188" w:lineRule="exact"/>
        <w:rPr>
          <w:sz w:val="20"/>
          <w:szCs w:val="20"/>
          <w:color w:val="auto"/>
        </w:rPr>
      </w:pPr>
    </w:p>
    <w:p>
      <w:pPr>
        <w:ind w:right="120" w:firstLine="612"/>
        <w:spacing w:after="0" w:line="253" w:lineRule="auto"/>
        <w:rPr>
          <w:sz w:val="20"/>
          <w:szCs w:val="20"/>
          <w:color w:val="auto"/>
        </w:rPr>
      </w:pPr>
      <w:r>
        <w:rPr>
          <w:rFonts w:ascii="Times New Roman" w:cs="Times New Roman" w:eastAsia="Times New Roman" w:hAnsi="Times New Roman"/>
          <w:sz w:val="21"/>
          <w:szCs w:val="21"/>
          <w:color w:val="231F20"/>
        </w:rPr>
        <w:t>The electricity and natural gas supply requirements of the Company’s customers are fulfilled by the Company or, in some instances and as allowed by state regulatory authorities, by third-party suppliers who contract directly with customers. In either scenario, significant increases in electricity and natural gas commodity prices may negatively affect the Company’s ability to attract new customers and grow its customer base.</w:t>
      </w:r>
    </w:p>
    <w:p>
      <w:pPr>
        <w:spacing w:after="0" w:line="188"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1"/>
          <w:szCs w:val="21"/>
          <w:color w:val="231F20"/>
        </w:rPr>
        <w:t>Developments in distributed generation, energy conservation, power generation and energy storage could affect the Company’s revenues and the timing of the recovery of the Company’s costs. Advancements in power generation technology are improving the cost-effectiveness of customer self-supply of electricity. Improvements in energy storage technology, including batteries and fuel cells, could also better position customers to meet their around-the-clock electricity requirements. Such developments could reduce customer purchases of electricity, but may not necessarily reduce the Company’s investment and operating requirements due to the Company’s obligation to serve customers, including those self-supply customers whose equipment has failed for any reason, to provide the power they need. In addition, because a portion of the Company’s costs are recovered through charges based upon the volume of power delivered, reductions in electricity deliveries will affect the timing of the Company’s recovery of those costs and may require changes to the Company’s rate structures.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Item 1B. Unresolved Staff Comments</w:t>
      </w:r>
    </w:p>
    <w:p>
      <w:pPr>
        <w:spacing w:after="0" w:line="1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231F20"/>
        </w:rPr>
        <w:t>None.</w:t>
      </w:r>
    </w:p>
    <w:p>
      <w:pPr>
        <w:sectPr>
          <w:pgSz w:w="12240" w:h="15840" w:orient="portrait"/>
          <w:cols w:equalWidth="0" w:num="1">
            <w:col w:w="10760"/>
          </w:cols>
          <w:pgMar w:left="720" w:top="929" w:right="76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15</w:t>
      </w:r>
    </w:p>
    <w:p>
      <w:pPr>
        <w:sectPr>
          <w:pgSz w:w="12240" w:h="15840" w:orient="portrait"/>
          <w:cols w:equalWidth="0" w:num="1">
            <w:col w:w="10760"/>
          </w:cols>
          <w:pgMar w:left="720" w:top="929" w:right="760" w:bottom="188"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1"/>
          <w:szCs w:val="21"/>
          <w:b w:val="1"/>
          <w:bCs w:val="1"/>
          <w:color w:val="231F20"/>
        </w:rPr>
        <w:t>Item 1C. Cybersecurity</w:t>
      </w:r>
    </w:p>
    <w:p>
      <w:pPr>
        <w:spacing w:after="0" w:line="246" w:lineRule="exact"/>
        <w:rPr>
          <w:sz w:val="20"/>
          <w:szCs w:val="20"/>
          <w:color w:val="auto"/>
        </w:rPr>
      </w:pPr>
    </w:p>
    <w:p>
      <w:pPr>
        <w:ind w:right="600" w:firstLine="720"/>
        <w:spacing w:after="0" w:line="279" w:lineRule="auto"/>
        <w:rPr>
          <w:sz w:val="20"/>
          <w:szCs w:val="20"/>
          <w:color w:val="auto"/>
        </w:rPr>
      </w:pPr>
      <w:r>
        <w:rPr>
          <w:rFonts w:ascii="Times New Roman" w:cs="Times New Roman" w:eastAsia="Times New Roman" w:hAnsi="Times New Roman"/>
          <w:sz w:val="21"/>
          <w:szCs w:val="21"/>
          <w:color w:val="231F20"/>
        </w:rPr>
        <w:t>For purposes of the following disclosure, the terms “cybersecurity incident” and “cybersecurity threat” have the meanings given to such terms in Item 106 of Regulation S-K promulgated under the Exchange Act.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231F20"/>
        </w:rPr>
        <w:t>Risk management and strategy</w:t>
      </w:r>
    </w:p>
    <w:p>
      <w:pPr>
        <w:spacing w:after="0" w:line="246" w:lineRule="exact"/>
        <w:rPr>
          <w:sz w:val="20"/>
          <w:szCs w:val="20"/>
          <w:color w:val="auto"/>
        </w:rPr>
      </w:pPr>
    </w:p>
    <w:p>
      <w:pPr>
        <w:ind w:right="40" w:firstLine="619"/>
        <w:spacing w:after="0" w:line="259" w:lineRule="auto"/>
        <w:rPr>
          <w:sz w:val="20"/>
          <w:szCs w:val="20"/>
          <w:color w:val="auto"/>
        </w:rPr>
      </w:pPr>
      <w:r>
        <w:rPr>
          <w:rFonts w:ascii="Times New Roman" w:cs="Times New Roman" w:eastAsia="Times New Roman" w:hAnsi="Times New Roman"/>
          <w:sz w:val="21"/>
          <w:szCs w:val="21"/>
          <w:color w:val="231F20"/>
        </w:rPr>
        <w:t>The Company has a Cybersecurity Plan for assessing, identifying, and managing material risks from cybersecurity threats. The intent of the Cybersecurity Plan is to provide a proactive and systemic approach to meet the evolving requirements for cybersecurity and related compliance in the utility industry. The Cybersecurity Plan’s objectives include:</w:t>
      </w:r>
    </w:p>
    <w:p>
      <w:pPr>
        <w:spacing w:after="0" w:line="319" w:lineRule="exact"/>
        <w:rPr>
          <w:sz w:val="20"/>
          <w:szCs w:val="20"/>
          <w:color w:val="auto"/>
        </w:rPr>
      </w:pPr>
    </w:p>
    <w:p>
      <w:pPr>
        <w:ind w:left="980" w:hanging="361"/>
        <w:spacing w:after="0"/>
        <w:tabs>
          <w:tab w:leader="none" w:pos="980" w:val="left"/>
        </w:tabs>
        <w:numPr>
          <w:ilvl w:val="0"/>
          <w:numId w:val="12"/>
        </w:numPr>
        <w:rPr>
          <w:rFonts w:ascii="Arial" w:cs="Arial" w:eastAsia="Arial" w:hAnsi="Arial"/>
          <w:sz w:val="21"/>
          <w:szCs w:val="21"/>
          <w:color w:val="231F20"/>
        </w:rPr>
      </w:pPr>
      <w:r>
        <w:rPr>
          <w:rFonts w:ascii="Times New Roman" w:cs="Times New Roman" w:eastAsia="Times New Roman" w:hAnsi="Times New Roman"/>
          <w:sz w:val="21"/>
          <w:szCs w:val="21"/>
          <w:color w:val="231F20"/>
        </w:rPr>
        <w:t>adopting and using established cybersecurity standards and industry best practices;</w:t>
      </w:r>
    </w:p>
    <w:p>
      <w:pPr>
        <w:spacing w:after="0" w:line="134" w:lineRule="exact"/>
        <w:rPr>
          <w:rFonts w:ascii="Arial" w:cs="Arial" w:eastAsia="Arial" w:hAnsi="Arial"/>
          <w:sz w:val="21"/>
          <w:szCs w:val="21"/>
          <w:color w:val="231F20"/>
        </w:rPr>
      </w:pPr>
    </w:p>
    <w:p>
      <w:pPr>
        <w:ind w:left="980" w:hanging="361"/>
        <w:spacing w:after="0"/>
        <w:tabs>
          <w:tab w:leader="none" w:pos="980" w:val="left"/>
        </w:tabs>
        <w:numPr>
          <w:ilvl w:val="0"/>
          <w:numId w:val="12"/>
        </w:numPr>
        <w:rPr>
          <w:rFonts w:ascii="Arial" w:cs="Arial" w:eastAsia="Arial" w:hAnsi="Arial"/>
          <w:sz w:val="21"/>
          <w:szCs w:val="21"/>
          <w:color w:val="231F20"/>
        </w:rPr>
      </w:pPr>
      <w:r>
        <w:rPr>
          <w:rFonts w:ascii="Times New Roman" w:cs="Times New Roman" w:eastAsia="Times New Roman" w:hAnsi="Times New Roman"/>
          <w:sz w:val="21"/>
          <w:szCs w:val="21"/>
          <w:color w:val="231F20"/>
        </w:rPr>
        <w:t>protecting personally identifiable information;</w:t>
      </w:r>
    </w:p>
    <w:p>
      <w:pPr>
        <w:spacing w:after="0" w:line="134" w:lineRule="exact"/>
        <w:rPr>
          <w:rFonts w:ascii="Arial" w:cs="Arial" w:eastAsia="Arial" w:hAnsi="Arial"/>
          <w:sz w:val="21"/>
          <w:szCs w:val="21"/>
          <w:color w:val="231F20"/>
        </w:rPr>
      </w:pPr>
    </w:p>
    <w:p>
      <w:pPr>
        <w:ind w:left="980" w:right="460" w:hanging="361"/>
        <w:spacing w:after="0" w:line="278" w:lineRule="auto"/>
        <w:tabs>
          <w:tab w:leader="none" w:pos="980" w:val="left"/>
        </w:tabs>
        <w:numPr>
          <w:ilvl w:val="0"/>
          <w:numId w:val="12"/>
        </w:numPr>
        <w:rPr>
          <w:rFonts w:ascii="Arial" w:cs="Arial" w:eastAsia="Arial" w:hAnsi="Arial"/>
          <w:sz w:val="21"/>
          <w:szCs w:val="21"/>
          <w:color w:val="231F20"/>
        </w:rPr>
      </w:pPr>
      <w:r>
        <w:rPr>
          <w:rFonts w:ascii="Times New Roman" w:cs="Times New Roman" w:eastAsia="Times New Roman" w:hAnsi="Times New Roman"/>
          <w:sz w:val="21"/>
          <w:szCs w:val="21"/>
          <w:color w:val="231F20"/>
        </w:rPr>
        <w:t>protecting infrastructure operations, including Supervisory Control and Data Acquisition (SCADA) systems at electric substations and natural gas plants;</w:t>
      </w:r>
    </w:p>
    <w:p>
      <w:pPr>
        <w:spacing w:after="0" w:line="57" w:lineRule="exact"/>
        <w:rPr>
          <w:rFonts w:ascii="Arial" w:cs="Arial" w:eastAsia="Arial" w:hAnsi="Arial"/>
          <w:sz w:val="21"/>
          <w:szCs w:val="21"/>
          <w:color w:val="231F20"/>
        </w:rPr>
      </w:pPr>
    </w:p>
    <w:p>
      <w:pPr>
        <w:ind w:left="980" w:hanging="361"/>
        <w:spacing w:after="0"/>
        <w:tabs>
          <w:tab w:leader="none" w:pos="980" w:val="left"/>
        </w:tabs>
        <w:numPr>
          <w:ilvl w:val="0"/>
          <w:numId w:val="12"/>
        </w:numPr>
        <w:rPr>
          <w:rFonts w:ascii="Arial" w:cs="Arial" w:eastAsia="Arial" w:hAnsi="Arial"/>
          <w:sz w:val="21"/>
          <w:szCs w:val="21"/>
          <w:color w:val="231F20"/>
        </w:rPr>
      </w:pPr>
      <w:r>
        <w:rPr>
          <w:rFonts w:ascii="Times New Roman" w:cs="Times New Roman" w:eastAsia="Times New Roman" w:hAnsi="Times New Roman"/>
          <w:sz w:val="21"/>
          <w:szCs w:val="21"/>
          <w:color w:val="231F20"/>
        </w:rPr>
        <w:t>securing customers’, employees’, and the Company’s data;</w:t>
      </w:r>
    </w:p>
    <w:p>
      <w:pPr>
        <w:spacing w:after="0" w:line="134" w:lineRule="exact"/>
        <w:rPr>
          <w:rFonts w:ascii="Arial" w:cs="Arial" w:eastAsia="Arial" w:hAnsi="Arial"/>
          <w:sz w:val="21"/>
          <w:szCs w:val="21"/>
          <w:color w:val="231F20"/>
        </w:rPr>
      </w:pPr>
    </w:p>
    <w:p>
      <w:pPr>
        <w:ind w:left="980" w:right="20" w:hanging="361"/>
        <w:spacing w:after="0" w:line="278" w:lineRule="auto"/>
        <w:tabs>
          <w:tab w:leader="none" w:pos="980" w:val="left"/>
        </w:tabs>
        <w:numPr>
          <w:ilvl w:val="0"/>
          <w:numId w:val="12"/>
        </w:numPr>
        <w:rPr>
          <w:rFonts w:ascii="Arial" w:cs="Arial" w:eastAsia="Arial" w:hAnsi="Arial"/>
          <w:sz w:val="21"/>
          <w:szCs w:val="21"/>
          <w:color w:val="231F20"/>
        </w:rPr>
      </w:pPr>
      <w:r>
        <w:rPr>
          <w:rFonts w:ascii="Times New Roman" w:cs="Times New Roman" w:eastAsia="Times New Roman" w:hAnsi="Times New Roman"/>
          <w:sz w:val="21"/>
          <w:szCs w:val="21"/>
          <w:color w:val="231F20"/>
        </w:rPr>
        <w:t>complying with North American Reliability Corporation Critical Infrastructure Protection Reliability Standards and standards for the protection of Bulk Electric System Cyber Systems; and</w:t>
      </w:r>
    </w:p>
    <w:p>
      <w:pPr>
        <w:spacing w:after="0" w:line="57" w:lineRule="exact"/>
        <w:rPr>
          <w:rFonts w:ascii="Arial" w:cs="Arial" w:eastAsia="Arial" w:hAnsi="Arial"/>
          <w:sz w:val="21"/>
          <w:szCs w:val="21"/>
          <w:color w:val="231F20"/>
        </w:rPr>
      </w:pPr>
    </w:p>
    <w:p>
      <w:pPr>
        <w:ind w:left="980" w:right="620" w:hanging="361"/>
        <w:spacing w:after="0" w:line="278" w:lineRule="auto"/>
        <w:tabs>
          <w:tab w:leader="none" w:pos="980" w:val="left"/>
        </w:tabs>
        <w:numPr>
          <w:ilvl w:val="0"/>
          <w:numId w:val="12"/>
        </w:numPr>
        <w:rPr>
          <w:rFonts w:ascii="Arial" w:cs="Arial" w:eastAsia="Arial" w:hAnsi="Arial"/>
          <w:sz w:val="21"/>
          <w:szCs w:val="21"/>
          <w:color w:val="231F20"/>
        </w:rPr>
      </w:pPr>
      <w:r>
        <w:rPr>
          <w:rFonts w:ascii="Times New Roman" w:cs="Times New Roman" w:eastAsia="Times New Roman" w:hAnsi="Times New Roman"/>
          <w:sz w:val="21"/>
          <w:szCs w:val="21"/>
          <w:color w:val="231F20"/>
        </w:rPr>
        <w:t>continually assessing and, as necessary, enhancing the Company’s cybersecurity through a managed process integrated with the Company’s risk management principles.</w:t>
      </w:r>
    </w:p>
    <w:p>
      <w:pPr>
        <w:spacing w:after="0" w:line="164" w:lineRule="exact"/>
        <w:rPr>
          <w:sz w:val="20"/>
          <w:szCs w:val="20"/>
          <w:color w:val="auto"/>
        </w:rPr>
      </w:pPr>
    </w:p>
    <w:p>
      <w:pPr>
        <w:ind w:right="140" w:firstLine="619"/>
        <w:spacing w:after="0" w:line="249" w:lineRule="auto"/>
        <w:rPr>
          <w:sz w:val="20"/>
          <w:szCs w:val="20"/>
          <w:color w:val="auto"/>
        </w:rPr>
      </w:pPr>
      <w:r>
        <w:rPr>
          <w:rFonts w:ascii="Times New Roman" w:cs="Times New Roman" w:eastAsia="Times New Roman" w:hAnsi="Times New Roman"/>
          <w:sz w:val="21"/>
          <w:szCs w:val="21"/>
          <w:color w:val="231F20"/>
        </w:rPr>
        <w:t>The Cybersecurity Plan includes annual assessments using (i) the Department of Energy’s Cybersecurity Capability Maturity Model, (ii) the National Institute of Standards and Technology Cybersecurity Framework, and (iii) the Center for Internet Security Controls. The Company uses the results of these assessments to benchmark the Company’s cybersecurity posture, to identify risks from cybersecurity threats, to prioritize any such risks that may have potential material effects on the Company, and to establish effective controls to manage, mitigate and remediate such risks.</w:t>
      </w:r>
    </w:p>
    <w:p>
      <w:pPr>
        <w:spacing w:after="0" w:line="196" w:lineRule="exact"/>
        <w:rPr>
          <w:sz w:val="20"/>
          <w:szCs w:val="20"/>
          <w:color w:val="auto"/>
        </w:rPr>
      </w:pPr>
    </w:p>
    <w:p>
      <w:pPr>
        <w:ind w:right="40" w:firstLine="619"/>
        <w:spacing w:after="0" w:line="253" w:lineRule="auto"/>
        <w:rPr>
          <w:sz w:val="20"/>
          <w:szCs w:val="20"/>
          <w:color w:val="auto"/>
        </w:rPr>
      </w:pPr>
      <w:r>
        <w:rPr>
          <w:rFonts w:ascii="Times New Roman" w:cs="Times New Roman" w:eastAsia="Times New Roman" w:hAnsi="Times New Roman"/>
          <w:sz w:val="21"/>
          <w:szCs w:val="21"/>
          <w:color w:val="231F20"/>
        </w:rPr>
        <w:t>The Cybersecurity Plan is part of the Company’s corporate Enterprise Risk Management (ERM) program. The Company’s ERM program includes an annual review of new or emerging risks (including risks from cybersecurity threats), the assessment of such risks and their potential effects on the Company, the velocity of potential cybersecurity incidents resulting from such risks, and risk mitigation strategies.</w:t>
      </w:r>
    </w:p>
    <w:p>
      <w:pPr>
        <w:spacing w:after="0" w:line="189" w:lineRule="exact"/>
        <w:rPr>
          <w:sz w:val="20"/>
          <w:szCs w:val="20"/>
          <w:color w:val="auto"/>
        </w:rPr>
      </w:pPr>
    </w:p>
    <w:p>
      <w:pPr>
        <w:ind w:right="100" w:firstLine="619"/>
        <w:spacing w:after="0" w:line="253" w:lineRule="auto"/>
        <w:rPr>
          <w:sz w:val="20"/>
          <w:szCs w:val="20"/>
          <w:color w:val="auto"/>
        </w:rPr>
      </w:pPr>
      <w:r>
        <w:rPr>
          <w:rFonts w:ascii="Times New Roman" w:cs="Times New Roman" w:eastAsia="Times New Roman" w:hAnsi="Times New Roman"/>
          <w:sz w:val="21"/>
          <w:szCs w:val="21"/>
          <w:color w:val="231F20"/>
        </w:rPr>
        <w:t>The Company maintains a Cybersecurity Employee Awareness Program, which provides targeted education and mandatory quarterly training to employees. The Cybersecurity Employee Awareness Program also conducts monthly phishing test exercises with employees, which includes an escalation procedure for repeated failures. Additionally, the Company performs an annual cyber knowledge assessment of all employees to address any identified knowledge gaps.</w:t>
      </w:r>
    </w:p>
    <w:p>
      <w:pPr>
        <w:spacing w:after="0" w:line="212" w:lineRule="exact"/>
        <w:rPr>
          <w:sz w:val="20"/>
          <w:szCs w:val="20"/>
          <w:color w:val="auto"/>
        </w:rPr>
      </w:pPr>
    </w:p>
    <w:p>
      <w:pPr>
        <w:ind w:right="280" w:firstLine="619"/>
        <w:spacing w:after="0" w:line="259" w:lineRule="auto"/>
        <w:rPr>
          <w:sz w:val="20"/>
          <w:szCs w:val="20"/>
          <w:color w:val="auto"/>
        </w:rPr>
      </w:pPr>
      <w:r>
        <w:rPr>
          <w:rFonts w:ascii="Times New Roman" w:cs="Times New Roman" w:eastAsia="Times New Roman" w:hAnsi="Times New Roman"/>
          <w:sz w:val="21"/>
          <w:szCs w:val="21"/>
          <w:color w:val="231F20"/>
        </w:rPr>
        <w:t>The Company engages or otherwise collaborates with cybersecurity consultants, cybersecurity experts, energy sector leaders, and other third parties in connection with the Cybersecurity Plan. Unitil Corporation is also a member of the cyber committees of both the American Gas Association and the Edison Electric Institute.</w:t>
      </w:r>
    </w:p>
    <w:p>
      <w:pPr>
        <w:spacing w:after="0" w:line="184" w:lineRule="exact"/>
        <w:rPr>
          <w:sz w:val="20"/>
          <w:szCs w:val="20"/>
          <w:color w:val="auto"/>
        </w:rPr>
      </w:pPr>
    </w:p>
    <w:p>
      <w:pPr>
        <w:ind w:right="100" w:firstLine="619"/>
        <w:spacing w:after="0" w:line="249" w:lineRule="auto"/>
        <w:rPr>
          <w:sz w:val="20"/>
          <w:szCs w:val="20"/>
          <w:color w:val="auto"/>
        </w:rPr>
      </w:pPr>
      <w:r>
        <w:rPr>
          <w:rFonts w:ascii="Times New Roman" w:cs="Times New Roman" w:eastAsia="Times New Roman" w:hAnsi="Times New Roman"/>
          <w:sz w:val="21"/>
          <w:szCs w:val="21"/>
          <w:color w:val="231F20"/>
        </w:rPr>
        <w:t>Third-party entities that provide hardware, software or related support services to the Company or hold the Company’s customer data represent material cybersecurity risks to the Company. To help mitigate those risks, the Company has robust procurement processes and requirements for such third-parties (which include a formal assessment of the third-party’s cyber posture, cyber liability insurance, and breach reporting protocols) that help the Company to oversee and identify cybersecurity risks associated with its use of such third-party entities.</w:t>
      </w:r>
    </w:p>
    <w:p>
      <w:pPr>
        <w:spacing w:after="0" w:line="196" w:lineRule="exact"/>
        <w:rPr>
          <w:sz w:val="20"/>
          <w:szCs w:val="20"/>
          <w:color w:val="auto"/>
        </w:rPr>
      </w:pPr>
    </w:p>
    <w:p>
      <w:pPr>
        <w:ind w:firstLine="619"/>
        <w:spacing w:after="0" w:line="259" w:lineRule="auto"/>
        <w:rPr>
          <w:sz w:val="20"/>
          <w:szCs w:val="20"/>
          <w:color w:val="auto"/>
        </w:rPr>
      </w:pPr>
      <w:r>
        <w:rPr>
          <w:rFonts w:ascii="Times New Roman" w:cs="Times New Roman" w:eastAsia="Times New Roman" w:hAnsi="Times New Roman"/>
          <w:sz w:val="21"/>
          <w:szCs w:val="21"/>
          <w:color w:val="231F20"/>
        </w:rPr>
        <w:t>During the fiscal year ended, and as of, December 31, 2025, there were no risks from cybersecurity threats (including as a result of previous cybersecurity incidents) that have materially affected or are reasonably likely to materially affect the Company (including its business strategy, results of operations, or financial condition).</w:t>
      </w:r>
    </w:p>
    <w:p>
      <w:pPr>
        <w:sectPr>
          <w:pgSz w:w="12240" w:h="15840" w:orient="portrait"/>
          <w:cols w:equalWidth="0" w:num="1">
            <w:col w:w="10720"/>
          </w:cols>
          <w:pgMar w:left="720" w:top="925" w:right="80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16</w:t>
      </w:r>
    </w:p>
    <w:p>
      <w:pPr>
        <w:sectPr>
          <w:pgSz w:w="12240" w:h="15840" w:orient="portrait"/>
          <w:cols w:equalWidth="0" w:num="1">
            <w:col w:w="10720"/>
          </w:cols>
          <w:pgMar w:left="720" w:top="925" w:right="800" w:bottom="188"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1"/>
          <w:szCs w:val="21"/>
          <w:b w:val="1"/>
          <w:bCs w:val="1"/>
          <w:u w:val="single" w:color="auto"/>
          <w:color w:val="231F20"/>
        </w:rPr>
        <w:t>Governance</w:t>
      </w:r>
    </w:p>
    <w:p>
      <w:pPr>
        <w:spacing w:after="0" w:line="246" w:lineRule="exact"/>
        <w:rPr>
          <w:sz w:val="20"/>
          <w:szCs w:val="20"/>
          <w:color w:val="auto"/>
        </w:rPr>
      </w:pPr>
    </w:p>
    <w:p>
      <w:pPr>
        <w:ind w:right="100" w:firstLine="619"/>
        <w:spacing w:after="0" w:line="253" w:lineRule="auto"/>
        <w:rPr>
          <w:sz w:val="20"/>
          <w:szCs w:val="20"/>
          <w:color w:val="auto"/>
        </w:rPr>
      </w:pPr>
      <w:r>
        <w:rPr>
          <w:rFonts w:ascii="Times New Roman" w:cs="Times New Roman" w:eastAsia="Times New Roman" w:hAnsi="Times New Roman"/>
          <w:sz w:val="21"/>
          <w:szCs w:val="21"/>
          <w:color w:val="231F20"/>
        </w:rPr>
        <w:t>The Board is responsible for oversight of the Company’s ERM program, including risks from cybersecurity threats. The Board has not assigned that responsibility to any committee or subcommittee of the Board. The Company’s management generally provides the Board with updates on and assessments of ongoing and emerging risks from cybersecurity threats at regularly scheduled Board meetings.</w:t>
      </w:r>
    </w:p>
    <w:p>
      <w:pPr>
        <w:spacing w:after="0" w:line="189" w:lineRule="exact"/>
        <w:rPr>
          <w:sz w:val="20"/>
          <w:szCs w:val="20"/>
          <w:color w:val="auto"/>
        </w:rPr>
      </w:pPr>
    </w:p>
    <w:p>
      <w:pPr>
        <w:ind w:firstLine="619"/>
        <w:spacing w:after="0" w:line="242" w:lineRule="auto"/>
        <w:rPr>
          <w:sz w:val="20"/>
          <w:szCs w:val="20"/>
          <w:color w:val="auto"/>
        </w:rPr>
      </w:pPr>
      <w:r>
        <w:rPr>
          <w:rFonts w:ascii="Times New Roman" w:cs="Times New Roman" w:eastAsia="Times New Roman" w:hAnsi="Times New Roman"/>
          <w:sz w:val="21"/>
          <w:szCs w:val="21"/>
          <w:color w:val="231F20"/>
        </w:rPr>
        <w:t>The Company’s cybersecurity management team is responsible for assessing and managing the Company’s material risks from cybersecurity threats, including implementing the Cybersecurity Plan. The team includes the Company’s Senior Vice President of Shared Services and Director of Information Security and Infrastructure Operations, all of whom have an educational background relevant to, professional experience in, or other expertise in cybersecurity. The Senior Vice President, Shared Services holds a Master of Business Administration and Bachelor of Arts with over 25 years of professional experience leading teams in Human Resources, Supply Chain and Information Technology. The Senior Vice President of Shared Services has overall management responsibility for the Company’s cybersecurity. The Senior Vice President of Shared Services reports to the Company’s President and Chief Administrative Officer. The Director of Information Security and Cyber Operations holds CISSP and ITIL certifications, a Bachelor of Science in Computer Science and a Master’s Certificate in Cybersecurity with a concentration in Power Systems and has over 30 years of experience in the information technology field. The Director of Information Security and Infrastructure Operations also assumes responsibilities as the Company’s Chief Information Security Officer (CISO). The Director of Information Security and Infrastructure Operations has primary responsibility for the cybersecurity program including threat and vulnerability management, vendor security posture assessment, Industrial Control System (ICS) and SCADA infrastructure cybersecurity protection at electric substations and natural gas plants, as well as leading the Cyber Incident Response Team.</w:t>
      </w:r>
    </w:p>
    <w:p>
      <w:pPr>
        <w:spacing w:after="0" w:line="212" w:lineRule="exact"/>
        <w:rPr>
          <w:sz w:val="20"/>
          <w:szCs w:val="20"/>
          <w:color w:val="auto"/>
        </w:rPr>
      </w:pPr>
    </w:p>
    <w:p>
      <w:pPr>
        <w:ind w:right="20" w:firstLine="619"/>
        <w:spacing w:after="0" w:line="279" w:lineRule="auto"/>
        <w:rPr>
          <w:sz w:val="20"/>
          <w:szCs w:val="20"/>
          <w:color w:val="auto"/>
        </w:rPr>
      </w:pPr>
      <w:r>
        <w:rPr>
          <w:rFonts w:ascii="Times New Roman" w:cs="Times New Roman" w:eastAsia="Times New Roman" w:hAnsi="Times New Roman"/>
          <w:sz w:val="21"/>
          <w:szCs w:val="21"/>
          <w:color w:val="231F20"/>
        </w:rPr>
        <w:t>The Company’s cybersecurity management team assesses and manages the Company’s material risks from cybersecurity threats through or by:</w:t>
      </w:r>
    </w:p>
    <w:p>
      <w:pPr>
        <w:spacing w:after="0" w:line="80" w:lineRule="exact"/>
        <w:rPr>
          <w:sz w:val="20"/>
          <w:szCs w:val="20"/>
          <w:color w:val="auto"/>
        </w:rPr>
      </w:pPr>
    </w:p>
    <w:p>
      <w:pPr>
        <w:ind w:left="980" w:hanging="490"/>
        <w:spacing w:after="0" w:line="252" w:lineRule="auto"/>
        <w:tabs>
          <w:tab w:leader="none" w:pos="980" w:val="left"/>
        </w:tabs>
        <w:numPr>
          <w:ilvl w:val="0"/>
          <w:numId w:val="13"/>
        </w:numPr>
        <w:rPr>
          <w:rFonts w:ascii="Arial" w:cs="Arial" w:eastAsia="Arial" w:hAnsi="Arial"/>
          <w:sz w:val="21"/>
          <w:szCs w:val="21"/>
          <w:color w:val="231F20"/>
        </w:rPr>
      </w:pPr>
      <w:r>
        <w:rPr>
          <w:rFonts w:ascii="Times New Roman" w:cs="Times New Roman" w:eastAsia="Times New Roman" w:hAnsi="Times New Roman"/>
          <w:sz w:val="21"/>
          <w:szCs w:val="21"/>
          <w:color w:val="231F20"/>
        </w:rPr>
        <w:t>active monitoring of cyber threat alerts, warnings, advisories, notices, vulnerability assessments, incident bulletins, security briefings, reports and white papers from industry and national organizations, including: downstream Natural Gas Information Sharing and Analysis Center; Electricity Information Sharing and Analysis Center; Cybersecurity and Infrastructure Security Agency; and Federal Bureau of Investigation;</w:t>
      </w:r>
    </w:p>
    <w:p>
      <w:pPr>
        <w:spacing w:after="0" w:line="85" w:lineRule="exact"/>
        <w:rPr>
          <w:rFonts w:ascii="Arial" w:cs="Arial" w:eastAsia="Arial" w:hAnsi="Arial"/>
          <w:sz w:val="21"/>
          <w:szCs w:val="21"/>
          <w:color w:val="231F20"/>
        </w:rPr>
      </w:pPr>
    </w:p>
    <w:p>
      <w:pPr>
        <w:ind w:left="980" w:hanging="490"/>
        <w:spacing w:after="0"/>
        <w:tabs>
          <w:tab w:leader="none" w:pos="980" w:val="left"/>
        </w:tabs>
        <w:numPr>
          <w:ilvl w:val="0"/>
          <w:numId w:val="13"/>
        </w:numPr>
        <w:rPr>
          <w:rFonts w:ascii="Arial" w:cs="Arial" w:eastAsia="Arial" w:hAnsi="Arial"/>
          <w:sz w:val="21"/>
          <w:szCs w:val="21"/>
          <w:color w:val="231F20"/>
        </w:rPr>
      </w:pPr>
      <w:r>
        <w:rPr>
          <w:rFonts w:ascii="Times New Roman" w:cs="Times New Roman" w:eastAsia="Times New Roman" w:hAnsi="Times New Roman"/>
          <w:sz w:val="21"/>
          <w:szCs w:val="21"/>
          <w:color w:val="231F20"/>
        </w:rPr>
        <w:t>threat and vulnerability management;</w:t>
      </w:r>
    </w:p>
    <w:p>
      <w:pPr>
        <w:spacing w:after="0" w:line="134" w:lineRule="exact"/>
        <w:rPr>
          <w:rFonts w:ascii="Arial" w:cs="Arial" w:eastAsia="Arial" w:hAnsi="Arial"/>
          <w:sz w:val="21"/>
          <w:szCs w:val="21"/>
          <w:color w:val="231F20"/>
        </w:rPr>
      </w:pPr>
    </w:p>
    <w:p>
      <w:pPr>
        <w:ind w:left="980" w:hanging="490"/>
        <w:spacing w:after="0"/>
        <w:tabs>
          <w:tab w:leader="none" w:pos="980" w:val="left"/>
        </w:tabs>
        <w:numPr>
          <w:ilvl w:val="0"/>
          <w:numId w:val="13"/>
        </w:numPr>
        <w:rPr>
          <w:rFonts w:ascii="Arial" w:cs="Arial" w:eastAsia="Arial" w:hAnsi="Arial"/>
          <w:sz w:val="21"/>
          <w:szCs w:val="21"/>
          <w:color w:val="231F20"/>
        </w:rPr>
      </w:pPr>
      <w:r>
        <w:rPr>
          <w:rFonts w:ascii="Times New Roman" w:cs="Times New Roman" w:eastAsia="Times New Roman" w:hAnsi="Times New Roman"/>
          <w:sz w:val="21"/>
          <w:szCs w:val="21"/>
          <w:color w:val="231F20"/>
        </w:rPr>
        <w:t>vendor security posture assessment;</w:t>
      </w:r>
    </w:p>
    <w:p>
      <w:pPr>
        <w:spacing w:after="0" w:line="134" w:lineRule="exact"/>
        <w:rPr>
          <w:rFonts w:ascii="Arial" w:cs="Arial" w:eastAsia="Arial" w:hAnsi="Arial"/>
          <w:sz w:val="21"/>
          <w:szCs w:val="21"/>
          <w:color w:val="231F20"/>
        </w:rPr>
      </w:pPr>
    </w:p>
    <w:p>
      <w:pPr>
        <w:ind w:left="980" w:right="220" w:hanging="490"/>
        <w:spacing w:after="0" w:line="278" w:lineRule="auto"/>
        <w:tabs>
          <w:tab w:leader="none" w:pos="980" w:val="left"/>
        </w:tabs>
        <w:numPr>
          <w:ilvl w:val="0"/>
          <w:numId w:val="13"/>
        </w:numPr>
        <w:rPr>
          <w:rFonts w:ascii="Arial" w:cs="Arial" w:eastAsia="Arial" w:hAnsi="Arial"/>
          <w:sz w:val="21"/>
          <w:szCs w:val="21"/>
          <w:color w:val="231F20"/>
        </w:rPr>
      </w:pPr>
      <w:r>
        <w:rPr>
          <w:rFonts w:ascii="Times New Roman" w:cs="Times New Roman" w:eastAsia="Times New Roman" w:hAnsi="Times New Roman"/>
          <w:sz w:val="21"/>
          <w:szCs w:val="21"/>
          <w:color w:val="231F20"/>
        </w:rPr>
        <w:t>Industrial Control System and Supervisory Control and Data Acquisition infrastructure cybersecurity protection at electric substations and natural gas plants; and</w:t>
      </w:r>
    </w:p>
    <w:p>
      <w:pPr>
        <w:spacing w:after="0" w:line="57" w:lineRule="exact"/>
        <w:rPr>
          <w:rFonts w:ascii="Arial" w:cs="Arial" w:eastAsia="Arial" w:hAnsi="Arial"/>
          <w:sz w:val="21"/>
          <w:szCs w:val="21"/>
          <w:color w:val="231F20"/>
        </w:rPr>
      </w:pPr>
    </w:p>
    <w:p>
      <w:pPr>
        <w:ind w:left="980" w:hanging="490"/>
        <w:spacing w:after="0"/>
        <w:tabs>
          <w:tab w:leader="none" w:pos="980" w:val="left"/>
        </w:tabs>
        <w:numPr>
          <w:ilvl w:val="0"/>
          <w:numId w:val="13"/>
        </w:numPr>
        <w:rPr>
          <w:rFonts w:ascii="Arial" w:cs="Arial" w:eastAsia="Arial" w:hAnsi="Arial"/>
          <w:sz w:val="21"/>
          <w:szCs w:val="21"/>
          <w:color w:val="231F20"/>
        </w:rPr>
      </w:pPr>
      <w:r>
        <w:rPr>
          <w:rFonts w:ascii="Times New Roman" w:cs="Times New Roman" w:eastAsia="Times New Roman" w:hAnsi="Times New Roman"/>
          <w:sz w:val="21"/>
          <w:szCs w:val="21"/>
          <w:color w:val="231F20"/>
        </w:rPr>
        <w:t>leading the Company’s Cyber Incident Response Team.</w:t>
      </w:r>
    </w:p>
    <w:p>
      <w:pPr>
        <w:spacing w:after="0" w:line="241" w:lineRule="exact"/>
        <w:rPr>
          <w:sz w:val="20"/>
          <w:szCs w:val="20"/>
          <w:color w:val="auto"/>
        </w:rPr>
      </w:pPr>
    </w:p>
    <w:p>
      <w:pPr>
        <w:ind w:right="140" w:firstLine="619"/>
        <w:spacing w:after="0" w:line="253" w:lineRule="auto"/>
        <w:rPr>
          <w:sz w:val="20"/>
          <w:szCs w:val="20"/>
          <w:color w:val="auto"/>
        </w:rPr>
      </w:pPr>
      <w:r>
        <w:rPr>
          <w:rFonts w:ascii="Times New Roman" w:cs="Times New Roman" w:eastAsia="Times New Roman" w:hAnsi="Times New Roman"/>
          <w:sz w:val="21"/>
          <w:szCs w:val="21"/>
          <w:color w:val="231F20"/>
        </w:rPr>
        <w:t>In addition, the Company uses (i) a Security Operations Center vendor with 24x7 monitoring and response capabilities to identify any suspicious activity on the Company’s networks and (ii) a security consulting firm for assessments, penetration testing and incident response. In the event of a cybersecurity threat, the CISO and these parties would collaborate to assess and manage the risk with ultimate responsibility residing with the Board.</w:t>
      </w:r>
    </w:p>
    <w:p>
      <w:pPr>
        <w:spacing w:after="0" w:line="189" w:lineRule="exact"/>
        <w:rPr>
          <w:sz w:val="20"/>
          <w:szCs w:val="20"/>
          <w:color w:val="auto"/>
        </w:rPr>
      </w:pPr>
    </w:p>
    <w:p>
      <w:pPr>
        <w:ind w:right="80" w:firstLine="619"/>
        <w:spacing w:after="0" w:line="247" w:lineRule="auto"/>
        <w:rPr>
          <w:sz w:val="20"/>
          <w:szCs w:val="20"/>
          <w:color w:val="auto"/>
        </w:rPr>
      </w:pPr>
      <w:r>
        <w:rPr>
          <w:rFonts w:ascii="Times New Roman" w:cs="Times New Roman" w:eastAsia="Times New Roman" w:hAnsi="Times New Roman"/>
          <w:sz w:val="21"/>
          <w:szCs w:val="21"/>
          <w:color w:val="231F20"/>
        </w:rPr>
        <w:t>Also, in the event of a cybersecurity threat or cybersecurity incident, the Company’s cybersecurity management team will investigate and perform impact analysis and, as necessary, the CISO will activate the Company’s Cyber Incident Response Team. The Cyber Incident Response Team is a subset of the Company’s Crisis Response Team, which has responsibility for operational and business resilience, as well as tactical and strategic response. A foundational aspect of the Crisis Response Team is prompt and comprehensive communications to all concerned parties, both internal and external, including direction for management to inform the Board about risks from cybersecurity threats.</w:t>
      </w:r>
    </w:p>
    <w:p>
      <w:pPr>
        <w:spacing w:after="0" w:line="199" w:lineRule="exact"/>
        <w:rPr>
          <w:sz w:val="20"/>
          <w:szCs w:val="20"/>
          <w:color w:val="auto"/>
        </w:rPr>
      </w:pPr>
    </w:p>
    <w:p>
      <w:pPr>
        <w:ind w:right="40" w:firstLine="619"/>
        <w:spacing w:after="0" w:line="259" w:lineRule="auto"/>
        <w:rPr>
          <w:sz w:val="20"/>
          <w:szCs w:val="20"/>
          <w:color w:val="auto"/>
        </w:rPr>
      </w:pPr>
      <w:r>
        <w:rPr>
          <w:rFonts w:ascii="Times New Roman" w:cs="Times New Roman" w:eastAsia="Times New Roman" w:hAnsi="Times New Roman"/>
          <w:sz w:val="21"/>
          <w:szCs w:val="21"/>
          <w:color w:val="231F20"/>
        </w:rPr>
        <w:t>The Company’s determination of the materiality of a cybersecurity incident would generally include an evaluation of the incident’s effect on the Company (including (i) its business strategy, results of operations, or financial condition, (ii) the integrity, confidentiality, resiliency, and security of the Company’s networks and systems, and (iii) the Company’s operations).</w:t>
      </w:r>
    </w:p>
    <w:p>
      <w:pPr>
        <w:sectPr>
          <w:pgSz w:w="12240" w:h="15840" w:orient="portrait"/>
          <w:cols w:equalWidth="0" w:num="1">
            <w:col w:w="10800"/>
          </w:cols>
          <w:pgMar w:left="720" w:top="925" w:right="72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17</w:t>
      </w:r>
    </w:p>
    <w:p>
      <w:pPr>
        <w:sectPr>
          <w:pgSz w:w="12240" w:h="15840" w:orient="portrait"/>
          <w:cols w:equalWidth="0" w:num="1">
            <w:col w:w="10800"/>
          </w:cols>
          <w:pgMar w:left="720" w:top="925" w:right="720" w:bottom="188"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21"/>
          <w:szCs w:val="21"/>
          <w:b w:val="1"/>
          <w:bCs w:val="1"/>
          <w:color w:val="231F20"/>
        </w:rPr>
        <w:t>Item 2. Properties</w:t>
      </w:r>
    </w:p>
    <w:p>
      <w:pPr>
        <w:spacing w:after="0" w:line="124" w:lineRule="exact"/>
        <w:rPr>
          <w:sz w:val="20"/>
          <w:szCs w:val="20"/>
          <w:color w:val="auto"/>
        </w:rPr>
      </w:pPr>
    </w:p>
    <w:p>
      <w:pPr>
        <w:ind w:right="40" w:firstLine="612"/>
        <w:spacing w:after="0" w:line="253" w:lineRule="auto"/>
        <w:rPr>
          <w:sz w:val="20"/>
          <w:szCs w:val="20"/>
          <w:color w:val="auto"/>
        </w:rPr>
      </w:pPr>
      <w:r>
        <w:rPr>
          <w:rFonts w:ascii="Times New Roman" w:cs="Times New Roman" w:eastAsia="Times New Roman" w:hAnsi="Times New Roman"/>
          <w:sz w:val="21"/>
          <w:szCs w:val="21"/>
          <w:color w:val="231F20"/>
        </w:rPr>
        <w:t>As of December 31, 2025, Unitil owned through its natural gas and electric distribution utilities, seven utility operating centers located in New Hampshire, Maine and Massachusetts. The Company’s real estate subsidiary, Unitil Realty, owns the Company’s corporate headquarters building and the land on which it is located in Hampton, New Hampshire. Unitil Realty also owns land in Kingston, New Hampshire on which Unitil Energy’s solar facility is located that became operational in May 2025.</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231F20"/>
        </w:rPr>
        <w:t>The following tables detail certain of the Company’s electric and natural gas operations properties.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231F20"/>
        </w:rPr>
        <w:t>Electric Operations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Description</w:t>
            </w:r>
          </w:p>
        </w:tc>
        <w:tc>
          <w:tcPr>
            <w:tcW w:w="140" w:type="dxa"/>
            <w:vAlign w:val="bottom"/>
          </w:tcPr>
          <w:p>
            <w:pPr>
              <w:spacing w:after="0"/>
              <w:rPr>
                <w:sz w:val="17"/>
                <w:szCs w:val="17"/>
                <w:color w:val="auto"/>
              </w:rPr>
            </w:pPr>
          </w:p>
        </w:tc>
        <w:tc>
          <w:tcPr>
            <w:tcW w:w="16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231F20"/>
              </w:rPr>
              <w:t>Unitil Energy</w:t>
            </w:r>
          </w:p>
        </w:tc>
        <w:tc>
          <w:tcPr>
            <w:tcW w:w="16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231F20"/>
              </w:rPr>
              <w:t>Fitchburg</w:t>
            </w:r>
          </w:p>
        </w:tc>
        <w:tc>
          <w:tcPr>
            <w:tcW w:w="140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231F20"/>
              </w:rPr>
              <w:t>Total</w:t>
            </w:r>
          </w:p>
        </w:tc>
      </w:tr>
      <w:tr>
        <w:trPr>
          <w:trHeight w:val="213"/>
        </w:trPr>
        <w:tc>
          <w:tcPr>
            <w:tcW w:w="6060" w:type="dxa"/>
            <w:vAlign w:val="bottom"/>
            <w:tcBorders>
              <w:top w:val="single" w:sz="8" w:color="231F20"/>
            </w:tcBorders>
            <w:shd w:val="clear" w:color="auto" w:fill="E6E7E8"/>
          </w:tcPr>
          <w:p>
            <w:pPr>
              <w:spacing w:after="0" w:line="214" w:lineRule="exact"/>
              <w:rPr>
                <w:sz w:val="20"/>
                <w:szCs w:val="20"/>
                <w:color w:val="auto"/>
              </w:rPr>
            </w:pPr>
            <w:r>
              <w:rPr>
                <w:rFonts w:ascii="Times New Roman" w:cs="Times New Roman" w:eastAsia="Times New Roman" w:hAnsi="Times New Roman"/>
                <w:sz w:val="19"/>
                <w:szCs w:val="19"/>
                <w:color w:val="231F20"/>
              </w:rPr>
              <w:t>Primary Transmission and Distribution Pole Miles—Overhead</w:t>
            </w:r>
          </w:p>
        </w:tc>
        <w:tc>
          <w:tcPr>
            <w:tcW w:w="140" w:type="dxa"/>
            <w:vAlign w:val="bottom"/>
            <w:tcBorders>
              <w:top w:val="single" w:sz="8" w:color="E6E7E8"/>
            </w:tcBorders>
            <w:shd w:val="clear" w:color="auto" w:fill="E6E7E8"/>
          </w:tcPr>
          <w:p>
            <w:pPr>
              <w:spacing w:after="0"/>
              <w:rPr>
                <w:sz w:val="18"/>
                <w:szCs w:val="18"/>
                <w:color w:val="auto"/>
              </w:rPr>
            </w:pPr>
          </w:p>
        </w:tc>
        <w:tc>
          <w:tcPr>
            <w:tcW w:w="1340" w:type="dxa"/>
            <w:vAlign w:val="bottom"/>
            <w:tcBorders>
              <w:top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1,290</w:t>
            </w:r>
          </w:p>
        </w:tc>
        <w:tc>
          <w:tcPr>
            <w:tcW w:w="260" w:type="dxa"/>
            <w:vAlign w:val="bottom"/>
            <w:tcBorders>
              <w:top w:val="single" w:sz="8" w:color="E6E7E8"/>
            </w:tcBorders>
            <w:shd w:val="clear" w:color="auto" w:fill="E6E7E8"/>
          </w:tcPr>
          <w:p>
            <w:pPr>
              <w:spacing w:after="0"/>
              <w:rPr>
                <w:sz w:val="18"/>
                <w:szCs w:val="18"/>
                <w:color w:val="auto"/>
              </w:rPr>
            </w:pPr>
          </w:p>
        </w:tc>
        <w:tc>
          <w:tcPr>
            <w:tcW w:w="1340" w:type="dxa"/>
            <w:vAlign w:val="bottom"/>
            <w:tcBorders>
              <w:top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454</w:t>
            </w:r>
          </w:p>
        </w:tc>
        <w:tc>
          <w:tcPr>
            <w:tcW w:w="260" w:type="dxa"/>
            <w:vAlign w:val="bottom"/>
            <w:tcBorders>
              <w:top w:val="single" w:sz="8" w:color="E6E7E8"/>
            </w:tcBorders>
            <w:shd w:val="clear" w:color="auto" w:fill="E6E7E8"/>
          </w:tcPr>
          <w:p>
            <w:pPr>
              <w:spacing w:after="0"/>
              <w:rPr>
                <w:sz w:val="18"/>
                <w:szCs w:val="18"/>
                <w:color w:val="auto"/>
              </w:rPr>
            </w:pPr>
          </w:p>
        </w:tc>
        <w:tc>
          <w:tcPr>
            <w:tcW w:w="1340" w:type="dxa"/>
            <w:vAlign w:val="bottom"/>
            <w:tcBorders>
              <w:top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1,744</w:t>
            </w:r>
          </w:p>
        </w:tc>
        <w:tc>
          <w:tcPr>
            <w:tcW w:w="60" w:type="dxa"/>
            <w:vAlign w:val="bottom"/>
            <w:tcBorders>
              <w:top w:val="single" w:sz="8" w:color="E6E7E8"/>
            </w:tcBorders>
            <w:shd w:val="clear" w:color="auto" w:fill="E6E7E8"/>
          </w:tcPr>
          <w:p>
            <w:pPr>
              <w:spacing w:after="0"/>
              <w:rPr>
                <w:sz w:val="18"/>
                <w:szCs w:val="18"/>
                <w:color w:val="auto"/>
              </w:rPr>
            </w:pPr>
          </w:p>
        </w:tc>
      </w:tr>
      <w:tr>
        <w:trPr>
          <w:trHeight w:val="218"/>
        </w:trPr>
        <w:tc>
          <w:tcPr>
            <w:tcW w:w="6060" w:type="dxa"/>
            <w:vAlign w:val="bottom"/>
          </w:tcPr>
          <w:p>
            <w:pPr>
              <w:spacing w:after="0"/>
              <w:rPr>
                <w:sz w:val="20"/>
                <w:szCs w:val="20"/>
                <w:color w:val="auto"/>
              </w:rPr>
            </w:pPr>
            <w:r>
              <w:rPr>
                <w:rFonts w:ascii="Times New Roman" w:cs="Times New Roman" w:eastAsia="Times New Roman" w:hAnsi="Times New Roman"/>
                <w:sz w:val="19"/>
                <w:szCs w:val="19"/>
                <w:color w:val="231F20"/>
              </w:rPr>
              <w:t>Conduit Distribution Bank Miles—Underground</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245</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69</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314</w:t>
            </w:r>
          </w:p>
        </w:tc>
        <w:tc>
          <w:tcPr>
            <w:tcW w:w="60" w:type="dxa"/>
            <w:vAlign w:val="bottom"/>
          </w:tcPr>
          <w:p>
            <w:pPr>
              <w:spacing w:after="0"/>
              <w:rPr>
                <w:sz w:val="19"/>
                <w:szCs w:val="19"/>
                <w:color w:val="auto"/>
              </w:rPr>
            </w:pPr>
          </w:p>
        </w:tc>
      </w:tr>
      <w:tr>
        <w:trPr>
          <w:trHeight w:val="218"/>
        </w:trPr>
        <w:tc>
          <w:tcPr>
            <w:tcW w:w="6060" w:type="dxa"/>
            <w:vAlign w:val="bottom"/>
            <w:shd w:val="clear" w:color="auto" w:fill="E6E7E8"/>
          </w:tcPr>
          <w:p>
            <w:pPr>
              <w:spacing w:after="0"/>
              <w:rPr>
                <w:sz w:val="20"/>
                <w:szCs w:val="20"/>
                <w:color w:val="auto"/>
              </w:rPr>
            </w:pPr>
            <w:r>
              <w:rPr>
                <w:rFonts w:ascii="Times New Roman" w:cs="Times New Roman" w:eastAsia="Times New Roman" w:hAnsi="Times New Roman"/>
                <w:sz w:val="19"/>
                <w:szCs w:val="19"/>
                <w:color w:val="231F20"/>
              </w:rPr>
              <w:t>Transmission and Distribution Substations*</w:t>
            </w:r>
          </w:p>
        </w:tc>
        <w:tc>
          <w:tcPr>
            <w:tcW w:w="1740" w:type="dxa"/>
            <w:vAlign w:val="bottom"/>
            <w:gridSpan w:val="3"/>
            <w:shd w:val="clear" w:color="auto" w:fill="E6E7E8"/>
          </w:tcPr>
          <w:p>
            <w:pPr>
              <w:jc w:val="right"/>
              <w:ind w:right="260"/>
              <w:spacing w:after="0"/>
              <w:rPr>
                <w:sz w:val="20"/>
                <w:szCs w:val="20"/>
                <w:color w:val="auto"/>
              </w:rPr>
            </w:pPr>
            <w:r>
              <w:rPr>
                <w:rFonts w:ascii="Times New Roman" w:cs="Times New Roman" w:eastAsia="Times New Roman" w:hAnsi="Times New Roman"/>
                <w:sz w:val="19"/>
                <w:szCs w:val="19"/>
                <w:color w:val="231F20"/>
              </w:rPr>
              <w:t>26</w:t>
            </w:r>
          </w:p>
        </w:tc>
        <w:tc>
          <w:tcPr>
            <w:tcW w:w="1600" w:type="dxa"/>
            <w:vAlign w:val="bottom"/>
            <w:gridSpan w:val="2"/>
            <w:shd w:val="clear" w:color="auto" w:fill="E6E7E8"/>
          </w:tcPr>
          <w:p>
            <w:pPr>
              <w:jc w:val="right"/>
              <w:ind w:right="260"/>
              <w:spacing w:after="0"/>
              <w:rPr>
                <w:sz w:val="20"/>
                <w:szCs w:val="20"/>
                <w:color w:val="auto"/>
              </w:rPr>
            </w:pPr>
            <w:r>
              <w:rPr>
                <w:rFonts w:ascii="Times New Roman" w:cs="Times New Roman" w:eastAsia="Times New Roman" w:hAnsi="Times New Roman"/>
                <w:sz w:val="19"/>
                <w:szCs w:val="19"/>
                <w:color w:val="231F20"/>
              </w:rPr>
              <w:t>11</w:t>
            </w:r>
          </w:p>
        </w:tc>
        <w:tc>
          <w:tcPr>
            <w:tcW w:w="1400" w:type="dxa"/>
            <w:vAlign w:val="bottom"/>
            <w:gridSpan w:val="2"/>
            <w:shd w:val="clear" w:color="auto" w:fill="E6E7E8"/>
          </w:tcPr>
          <w:p>
            <w:pPr>
              <w:jc w:val="right"/>
              <w:ind w:right="60"/>
              <w:spacing w:after="0"/>
              <w:rPr>
                <w:sz w:val="20"/>
                <w:szCs w:val="20"/>
                <w:color w:val="auto"/>
              </w:rPr>
            </w:pPr>
            <w:r>
              <w:rPr>
                <w:rFonts w:ascii="Times New Roman" w:cs="Times New Roman" w:eastAsia="Times New Roman" w:hAnsi="Times New Roman"/>
                <w:sz w:val="19"/>
                <w:szCs w:val="19"/>
                <w:color w:val="231F20"/>
              </w:rPr>
              <w:t>37</w:t>
            </w:r>
          </w:p>
        </w:tc>
      </w:tr>
      <w:tr>
        <w:trPr>
          <w:trHeight w:val="255"/>
        </w:trPr>
        <w:tc>
          <w:tcPr>
            <w:tcW w:w="6060" w:type="dxa"/>
            <w:vAlign w:val="bottom"/>
          </w:tcPr>
          <w:p>
            <w:pPr>
              <w:spacing w:after="0"/>
              <w:rPr>
                <w:sz w:val="20"/>
                <w:szCs w:val="20"/>
                <w:color w:val="auto"/>
              </w:rPr>
            </w:pPr>
            <w:r>
              <w:rPr>
                <w:rFonts w:ascii="Times New Roman" w:cs="Times New Roman" w:eastAsia="Times New Roman" w:hAnsi="Times New Roman"/>
                <w:sz w:val="19"/>
                <w:szCs w:val="19"/>
                <w:color w:val="231F20"/>
              </w:rPr>
              <w:t>Transformer Capacity of Transmission and Distribution Substations** (MVA)</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458.1</w:t>
            </w:r>
          </w:p>
        </w:tc>
        <w:tc>
          <w:tcPr>
            <w:tcW w:w="2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410.9</w:t>
            </w:r>
          </w:p>
        </w:tc>
        <w:tc>
          <w:tcPr>
            <w:tcW w:w="2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869.0</w:t>
            </w:r>
          </w:p>
        </w:tc>
        <w:tc>
          <w:tcPr>
            <w:tcW w:w="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69850</wp:posOffset>
                </wp:positionV>
                <wp:extent cx="64008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5pt" to="50.4pt,5.5pt" o:allowincell="f" strokecolor="#231F20" strokeweight="0.75pt"/>
            </w:pict>
          </mc:Fallback>
        </mc:AlternateContent>
      </w:r>
    </w:p>
    <w:p>
      <w:pPr>
        <w:spacing w:after="0" w:line="137" w:lineRule="exact"/>
        <w:rPr>
          <w:sz w:val="20"/>
          <w:szCs w:val="20"/>
          <w:color w:val="auto"/>
        </w:rPr>
      </w:pPr>
    </w:p>
    <w:p>
      <w:pPr>
        <w:ind w:left="260" w:hanging="260"/>
        <w:spacing w:after="0"/>
        <w:tabs>
          <w:tab w:leader="none" w:pos="260" w:val="left"/>
        </w:tabs>
        <w:numPr>
          <w:ilvl w:val="0"/>
          <w:numId w:val="14"/>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color w:val="231F20"/>
        </w:rPr>
        <w:t>Includes locations that are normally in-service sources of distribution circuits through the use of transformer(s).</w:t>
      </w:r>
    </w:p>
    <w:p>
      <w:pPr>
        <w:spacing w:after="0" w:line="30" w:lineRule="exact"/>
        <w:rPr>
          <w:rFonts w:ascii="Times New Roman" w:cs="Times New Roman" w:eastAsia="Times New Roman" w:hAnsi="Times New Roman"/>
          <w:sz w:val="21"/>
          <w:szCs w:val="21"/>
          <w:color w:val="231F20"/>
        </w:rPr>
      </w:pPr>
    </w:p>
    <w:p>
      <w:pPr>
        <w:ind w:left="260" w:hanging="260"/>
        <w:spacing w:after="0"/>
        <w:tabs>
          <w:tab w:leader="none" w:pos="260" w:val="left"/>
        </w:tabs>
        <w:numPr>
          <w:ilvl w:val="0"/>
          <w:numId w:val="15"/>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color w:val="231F20"/>
        </w:rPr>
        <w:t>Does not include load served directly from sub-transmission.</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231F20"/>
        </w:rPr>
        <w:t>Natural Gas Operations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840" w:type="dxa"/>
            <w:vAlign w:val="bottom"/>
            <w:tcBorders>
              <w:bottom w:val="single" w:sz="8" w:color="231F20"/>
            </w:tcBorders>
            <w:gridSpan w:val="3"/>
          </w:tcPr>
          <w:p>
            <w:pPr>
              <w:jc w:val="right"/>
              <w:ind w:right="230"/>
              <w:spacing w:after="0"/>
              <w:rPr>
                <w:sz w:val="20"/>
                <w:szCs w:val="20"/>
                <w:color w:val="auto"/>
              </w:rPr>
            </w:pPr>
            <w:r>
              <w:rPr>
                <w:rFonts w:ascii="Times New Roman" w:cs="Times New Roman" w:eastAsia="Times New Roman" w:hAnsi="Times New Roman"/>
                <w:sz w:val="16"/>
                <w:szCs w:val="16"/>
                <w:b w:val="1"/>
                <w:bCs w:val="1"/>
                <w:color w:val="231F20"/>
              </w:rPr>
              <w:t>Northern Utilities</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restart"/>
          </w:tcPr>
          <w:p>
            <w:pPr>
              <w:jc w:val="right"/>
              <w:ind w:right="113"/>
              <w:spacing w:after="0"/>
              <w:rPr>
                <w:sz w:val="20"/>
                <w:szCs w:val="20"/>
                <w:color w:val="auto"/>
              </w:rPr>
            </w:pPr>
            <w:r>
              <w:rPr>
                <w:rFonts w:ascii="Times New Roman" w:cs="Times New Roman" w:eastAsia="Times New Roman" w:hAnsi="Times New Roman"/>
                <w:sz w:val="16"/>
                <w:szCs w:val="16"/>
                <w:b w:val="1"/>
                <w:bCs w:val="1"/>
                <w:color w:val="231F20"/>
              </w:rPr>
              <w:t>Maine</w:t>
            </w:r>
          </w:p>
        </w:tc>
        <w:tc>
          <w:tcPr>
            <w:tcW w:w="200" w:type="dxa"/>
            <w:vAlign w:val="bottom"/>
          </w:tcPr>
          <w:p>
            <w:pPr>
              <w:spacing w:after="0"/>
              <w:rPr>
                <w:sz w:val="17"/>
                <w:szCs w:val="17"/>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Granite</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80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w w:val="98"/>
              </w:rPr>
              <w:t>Description</w:t>
            </w:r>
          </w:p>
        </w:tc>
        <w:tc>
          <w:tcPr>
            <w:tcW w:w="3000" w:type="dxa"/>
            <w:vAlign w:val="bottom"/>
            <w:tcBorders>
              <w:bottom w:val="single" w:sz="8" w:color="E6E7E8"/>
            </w:tcBorders>
          </w:tcPr>
          <w:p>
            <w:pPr>
              <w:spacing w:after="0"/>
              <w:rPr>
                <w:sz w:val="18"/>
                <w:szCs w:val="18"/>
                <w:color w:val="auto"/>
              </w:rPr>
            </w:pPr>
          </w:p>
        </w:tc>
        <w:tc>
          <w:tcPr>
            <w:tcW w:w="820" w:type="dxa"/>
            <w:vAlign w:val="bottom"/>
            <w:tcBorders>
              <w:bottom w:val="single" w:sz="8" w:color="231F20"/>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231F20"/>
              </w:rPr>
              <w:t>NH</w:t>
            </w:r>
          </w:p>
        </w:tc>
        <w:tc>
          <w:tcPr>
            <w:tcW w:w="200" w:type="dxa"/>
            <w:vAlign w:val="bottom"/>
            <w:tcBorders>
              <w:bottom w:val="single" w:sz="8" w:color="E6E7E8"/>
            </w:tcBorders>
          </w:tcPr>
          <w:p>
            <w:pPr>
              <w:spacing w:after="0"/>
              <w:rPr>
                <w:sz w:val="18"/>
                <w:szCs w:val="18"/>
                <w:color w:val="auto"/>
              </w:rPr>
            </w:pPr>
          </w:p>
        </w:tc>
        <w:tc>
          <w:tcPr>
            <w:tcW w:w="820" w:type="dxa"/>
            <w:vAlign w:val="bottom"/>
            <w:tcBorders>
              <w:bottom w:val="single" w:sz="8" w:color="231F20"/>
            </w:tcBorders>
          </w:tcPr>
          <w:p>
            <w:pPr>
              <w:jc w:val="right"/>
              <w:ind w:right="210"/>
              <w:spacing w:after="0"/>
              <w:rPr>
                <w:sz w:val="20"/>
                <w:szCs w:val="20"/>
                <w:color w:val="auto"/>
              </w:rPr>
            </w:pPr>
            <w:r>
              <w:rPr>
                <w:rFonts w:ascii="Times New Roman" w:cs="Times New Roman" w:eastAsia="Times New Roman" w:hAnsi="Times New Roman"/>
                <w:sz w:val="16"/>
                <w:szCs w:val="16"/>
                <w:b w:val="1"/>
                <w:bCs w:val="1"/>
                <w:color w:val="231F20"/>
              </w:rPr>
              <w:t>ME</w:t>
            </w:r>
          </w:p>
        </w:tc>
        <w:tc>
          <w:tcPr>
            <w:tcW w:w="200" w:type="dxa"/>
            <w:vAlign w:val="bottom"/>
            <w:tcBorders>
              <w:bottom w:val="single" w:sz="8" w:color="E6E7E8"/>
            </w:tcBorders>
          </w:tcPr>
          <w:p>
            <w:pPr>
              <w:spacing w:after="0"/>
              <w:rPr>
                <w:sz w:val="18"/>
                <w:szCs w:val="18"/>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Fitchburg</w:t>
            </w:r>
          </w:p>
        </w:tc>
        <w:tc>
          <w:tcPr>
            <w:tcW w:w="200" w:type="dxa"/>
            <w:vAlign w:val="bottom"/>
            <w:tcBorders>
              <w:bottom w:val="single" w:sz="8" w:color="E6E7E8"/>
            </w:tcBorders>
          </w:tcPr>
          <w:p>
            <w:pPr>
              <w:spacing w:after="0"/>
              <w:rPr>
                <w:sz w:val="18"/>
                <w:szCs w:val="18"/>
                <w:color w:val="auto"/>
              </w:rPr>
            </w:pPr>
          </w:p>
        </w:tc>
        <w:tc>
          <w:tcPr>
            <w:tcW w:w="820" w:type="dxa"/>
            <w:vAlign w:val="bottom"/>
            <w:tcBorders>
              <w:bottom w:val="single" w:sz="8" w:color="231F20"/>
            </w:tcBorders>
          </w:tcPr>
          <w:p>
            <w:pPr>
              <w:jc w:val="right"/>
              <w:ind w:right="70"/>
              <w:spacing w:after="0"/>
              <w:rPr>
                <w:sz w:val="20"/>
                <w:szCs w:val="20"/>
                <w:color w:val="auto"/>
              </w:rPr>
            </w:pPr>
            <w:r>
              <w:rPr>
                <w:rFonts w:ascii="Times New Roman" w:cs="Times New Roman" w:eastAsia="Times New Roman" w:hAnsi="Times New Roman"/>
                <w:sz w:val="16"/>
                <w:szCs w:val="16"/>
                <w:b w:val="1"/>
                <w:bCs w:val="1"/>
                <w:color w:val="231F20"/>
              </w:rPr>
              <w:t>Bangor</w:t>
            </w:r>
          </w:p>
        </w:tc>
        <w:tc>
          <w:tcPr>
            <w:tcW w:w="200" w:type="dxa"/>
            <w:vAlign w:val="bottom"/>
            <w:tcBorders>
              <w:bottom w:val="single" w:sz="8" w:color="E6E7E8"/>
            </w:tcBorders>
          </w:tcPr>
          <w:p>
            <w:pPr>
              <w:spacing w:after="0"/>
              <w:rPr>
                <w:sz w:val="18"/>
                <w:szCs w:val="18"/>
                <w:color w:val="auto"/>
              </w:rPr>
            </w:pPr>
          </w:p>
        </w:tc>
        <w:tc>
          <w:tcPr>
            <w:tcW w:w="820" w:type="dxa"/>
            <w:vAlign w:val="bottom"/>
            <w:tcBorders>
              <w:bottom w:val="single" w:sz="8" w:color="231F20"/>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231F20"/>
              </w:rPr>
              <w:t>Natural</w:t>
            </w:r>
          </w:p>
        </w:tc>
        <w:tc>
          <w:tcPr>
            <w:tcW w:w="200" w:type="dxa"/>
            <w:vAlign w:val="bottom"/>
            <w:tcBorders>
              <w:bottom w:val="single" w:sz="8" w:color="E6E7E8"/>
            </w:tcBorders>
          </w:tcPr>
          <w:p>
            <w:pPr>
              <w:spacing w:after="0"/>
              <w:rPr>
                <w:sz w:val="18"/>
                <w:szCs w:val="18"/>
                <w:color w:val="auto"/>
              </w:rPr>
            </w:pPr>
          </w:p>
        </w:tc>
        <w:tc>
          <w:tcPr>
            <w:tcW w:w="8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State</w:t>
            </w:r>
          </w:p>
        </w:tc>
        <w:tc>
          <w:tcPr>
            <w:tcW w:w="200" w:type="dxa"/>
            <w:vAlign w:val="bottom"/>
            <w:tcBorders>
              <w:bottom w:val="single" w:sz="8" w:color="E6E7E8"/>
            </w:tcBorders>
          </w:tcPr>
          <w:p>
            <w:pPr>
              <w:spacing w:after="0"/>
              <w:rPr>
                <w:sz w:val="18"/>
                <w:szCs w:val="18"/>
                <w:color w:val="auto"/>
              </w:rPr>
            </w:pPr>
          </w:p>
        </w:tc>
        <w:tc>
          <w:tcPr>
            <w:tcW w:w="820" w:type="dxa"/>
            <w:vAlign w:val="bottom"/>
            <w:tcBorders>
              <w:bottom w:val="single" w:sz="8" w:color="231F20"/>
            </w:tcBorders>
          </w:tcPr>
          <w:p>
            <w:pPr>
              <w:jc w:val="right"/>
              <w:ind w:right="150"/>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60" w:type="dxa"/>
            <w:vAlign w:val="bottom"/>
            <w:tcBorders>
              <w:bottom w:val="single" w:sz="8" w:color="E6E7E8"/>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0" w:type="dxa"/>
            <w:vAlign w:val="bottom"/>
            <w:tcBorders>
              <w:top w:val="single" w:sz="8" w:color="E6E7E8"/>
            </w:tcBorders>
            <w:gridSpan w:val="2"/>
            <w:shd w:val="clear" w:color="auto" w:fill="E6E7E8"/>
          </w:tcPr>
          <w:p>
            <w:pPr>
              <w:spacing w:after="0" w:line="217" w:lineRule="exact"/>
              <w:rPr>
                <w:sz w:val="20"/>
                <w:szCs w:val="20"/>
                <w:color w:val="auto"/>
              </w:rPr>
            </w:pPr>
            <w:r>
              <w:rPr>
                <w:rFonts w:ascii="Times New Roman" w:cs="Times New Roman" w:eastAsia="Times New Roman" w:hAnsi="Times New Roman"/>
                <w:sz w:val="19"/>
                <w:szCs w:val="19"/>
                <w:color w:val="231F20"/>
              </w:rPr>
              <w:t>Underground Natural Gas Mains—Miles</w:t>
            </w:r>
          </w:p>
        </w:tc>
        <w:tc>
          <w:tcPr>
            <w:tcW w:w="820" w:type="dxa"/>
            <w:vAlign w:val="bottom"/>
            <w:tcBorders>
              <w:top w:val="single" w:sz="8" w:color="231F20"/>
            </w:tcBorders>
            <w:shd w:val="clear" w:color="auto" w:fill="E6E7E8"/>
          </w:tcPr>
          <w:p>
            <w:pPr>
              <w:jc w:val="right"/>
              <w:spacing w:after="0" w:line="217" w:lineRule="exact"/>
              <w:rPr>
                <w:sz w:val="20"/>
                <w:szCs w:val="20"/>
                <w:color w:val="auto"/>
              </w:rPr>
            </w:pPr>
            <w:r>
              <w:rPr>
                <w:rFonts w:ascii="Times New Roman" w:cs="Times New Roman" w:eastAsia="Times New Roman" w:hAnsi="Times New Roman"/>
                <w:sz w:val="19"/>
                <w:szCs w:val="19"/>
                <w:color w:val="231F20"/>
              </w:rPr>
              <w:t>589</w:t>
            </w:r>
          </w:p>
        </w:tc>
        <w:tc>
          <w:tcPr>
            <w:tcW w:w="200" w:type="dxa"/>
            <w:vAlign w:val="bottom"/>
            <w:tcBorders>
              <w:top w:val="single" w:sz="8" w:color="E6E7E8"/>
            </w:tcBorders>
            <w:shd w:val="clear" w:color="auto" w:fill="E6E7E8"/>
          </w:tcPr>
          <w:p>
            <w:pPr>
              <w:spacing w:after="0"/>
              <w:rPr>
                <w:sz w:val="18"/>
                <w:szCs w:val="18"/>
                <w:color w:val="auto"/>
              </w:rPr>
            </w:pPr>
          </w:p>
        </w:tc>
        <w:tc>
          <w:tcPr>
            <w:tcW w:w="820" w:type="dxa"/>
            <w:vAlign w:val="bottom"/>
            <w:tcBorders>
              <w:top w:val="single" w:sz="8" w:color="231F20"/>
            </w:tcBorders>
            <w:shd w:val="clear" w:color="auto" w:fill="E6E7E8"/>
          </w:tcPr>
          <w:p>
            <w:pPr>
              <w:jc w:val="right"/>
              <w:spacing w:after="0" w:line="217" w:lineRule="exact"/>
              <w:rPr>
                <w:sz w:val="20"/>
                <w:szCs w:val="20"/>
                <w:color w:val="auto"/>
              </w:rPr>
            </w:pPr>
            <w:r>
              <w:rPr>
                <w:rFonts w:ascii="Times New Roman" w:cs="Times New Roman" w:eastAsia="Times New Roman" w:hAnsi="Times New Roman"/>
                <w:sz w:val="19"/>
                <w:szCs w:val="19"/>
                <w:color w:val="231F20"/>
              </w:rPr>
              <w:t>613</w:t>
            </w:r>
          </w:p>
        </w:tc>
        <w:tc>
          <w:tcPr>
            <w:tcW w:w="200" w:type="dxa"/>
            <w:vAlign w:val="bottom"/>
            <w:tcBorders>
              <w:top w:val="single" w:sz="8" w:color="E6E7E8"/>
            </w:tcBorders>
            <w:shd w:val="clear" w:color="auto" w:fill="E6E7E8"/>
          </w:tcPr>
          <w:p>
            <w:pPr>
              <w:spacing w:after="0"/>
              <w:rPr>
                <w:sz w:val="18"/>
                <w:szCs w:val="18"/>
                <w:color w:val="auto"/>
              </w:rPr>
            </w:pPr>
          </w:p>
        </w:tc>
        <w:tc>
          <w:tcPr>
            <w:tcW w:w="820" w:type="dxa"/>
            <w:vAlign w:val="bottom"/>
            <w:tcBorders>
              <w:top w:val="single" w:sz="8" w:color="231F20"/>
            </w:tcBorders>
            <w:shd w:val="clear" w:color="auto" w:fill="E6E7E8"/>
          </w:tcPr>
          <w:p>
            <w:pPr>
              <w:jc w:val="right"/>
              <w:spacing w:after="0" w:line="217" w:lineRule="exact"/>
              <w:rPr>
                <w:sz w:val="20"/>
                <w:szCs w:val="20"/>
                <w:color w:val="auto"/>
              </w:rPr>
            </w:pPr>
            <w:r>
              <w:rPr>
                <w:rFonts w:ascii="Times New Roman" w:cs="Times New Roman" w:eastAsia="Times New Roman" w:hAnsi="Times New Roman"/>
                <w:sz w:val="19"/>
                <w:szCs w:val="19"/>
                <w:color w:val="231F20"/>
              </w:rPr>
              <w:t>270</w:t>
            </w:r>
          </w:p>
        </w:tc>
        <w:tc>
          <w:tcPr>
            <w:tcW w:w="200" w:type="dxa"/>
            <w:vAlign w:val="bottom"/>
            <w:tcBorders>
              <w:top w:val="single" w:sz="8" w:color="E6E7E8"/>
            </w:tcBorders>
            <w:shd w:val="clear" w:color="auto" w:fill="E6E7E8"/>
          </w:tcPr>
          <w:p>
            <w:pPr>
              <w:spacing w:after="0"/>
              <w:rPr>
                <w:sz w:val="18"/>
                <w:szCs w:val="18"/>
                <w:color w:val="auto"/>
              </w:rPr>
            </w:pPr>
          </w:p>
        </w:tc>
        <w:tc>
          <w:tcPr>
            <w:tcW w:w="820" w:type="dxa"/>
            <w:vAlign w:val="bottom"/>
            <w:tcBorders>
              <w:top w:val="single" w:sz="8" w:color="231F20"/>
            </w:tcBorders>
            <w:shd w:val="clear" w:color="auto" w:fill="E6E7E8"/>
          </w:tcPr>
          <w:p>
            <w:pPr>
              <w:jc w:val="right"/>
              <w:spacing w:after="0" w:line="217" w:lineRule="exact"/>
              <w:rPr>
                <w:sz w:val="20"/>
                <w:szCs w:val="20"/>
                <w:color w:val="auto"/>
              </w:rPr>
            </w:pPr>
            <w:r>
              <w:rPr>
                <w:rFonts w:ascii="Times New Roman" w:cs="Times New Roman" w:eastAsia="Times New Roman" w:hAnsi="Times New Roman"/>
                <w:sz w:val="19"/>
                <w:szCs w:val="19"/>
                <w:color w:val="231F20"/>
              </w:rPr>
              <w:t>376</w:t>
            </w:r>
          </w:p>
        </w:tc>
        <w:tc>
          <w:tcPr>
            <w:tcW w:w="200" w:type="dxa"/>
            <w:vAlign w:val="bottom"/>
            <w:tcBorders>
              <w:top w:val="single" w:sz="8" w:color="E6E7E8"/>
            </w:tcBorders>
            <w:shd w:val="clear" w:color="auto" w:fill="E6E7E8"/>
          </w:tcPr>
          <w:p>
            <w:pPr>
              <w:spacing w:after="0"/>
              <w:rPr>
                <w:sz w:val="18"/>
                <w:szCs w:val="18"/>
                <w:color w:val="auto"/>
              </w:rPr>
            </w:pPr>
          </w:p>
        </w:tc>
        <w:tc>
          <w:tcPr>
            <w:tcW w:w="820" w:type="dxa"/>
            <w:vAlign w:val="bottom"/>
            <w:tcBorders>
              <w:top w:val="single" w:sz="8" w:color="231F20"/>
            </w:tcBorders>
            <w:shd w:val="clear" w:color="auto" w:fill="E6E7E8"/>
          </w:tcPr>
          <w:p>
            <w:pPr>
              <w:jc w:val="right"/>
              <w:spacing w:after="0" w:line="217" w:lineRule="exact"/>
              <w:rPr>
                <w:sz w:val="20"/>
                <w:szCs w:val="20"/>
                <w:color w:val="auto"/>
              </w:rPr>
            </w:pPr>
            <w:r>
              <w:rPr>
                <w:rFonts w:ascii="Times New Roman" w:cs="Times New Roman" w:eastAsia="Times New Roman" w:hAnsi="Times New Roman"/>
                <w:sz w:val="19"/>
                <w:szCs w:val="19"/>
                <w:color w:val="231F20"/>
              </w:rPr>
              <w:t>233</w:t>
            </w:r>
          </w:p>
        </w:tc>
        <w:tc>
          <w:tcPr>
            <w:tcW w:w="200" w:type="dxa"/>
            <w:vAlign w:val="bottom"/>
            <w:tcBorders>
              <w:top w:val="single" w:sz="8" w:color="E6E7E8"/>
            </w:tcBorders>
            <w:shd w:val="clear" w:color="auto" w:fill="E6E7E8"/>
          </w:tcPr>
          <w:p>
            <w:pPr>
              <w:spacing w:after="0"/>
              <w:rPr>
                <w:sz w:val="18"/>
                <w:szCs w:val="18"/>
                <w:color w:val="auto"/>
              </w:rPr>
            </w:pPr>
          </w:p>
        </w:tc>
        <w:tc>
          <w:tcPr>
            <w:tcW w:w="820" w:type="dxa"/>
            <w:vAlign w:val="bottom"/>
            <w:tcBorders>
              <w:top w:val="single" w:sz="8" w:color="231F20"/>
            </w:tcBorders>
            <w:shd w:val="clear" w:color="auto" w:fill="E6E7E8"/>
          </w:tcPr>
          <w:p>
            <w:pPr>
              <w:ind w:left="620"/>
              <w:spacing w:after="0" w:line="217" w:lineRule="exact"/>
              <w:rPr>
                <w:sz w:val="20"/>
                <w:szCs w:val="20"/>
                <w:color w:val="auto"/>
              </w:rPr>
            </w:pPr>
            <w:r>
              <w:rPr>
                <w:rFonts w:ascii="Times New Roman" w:cs="Times New Roman" w:eastAsia="Times New Roman" w:hAnsi="Times New Roman"/>
                <w:sz w:val="19"/>
                <w:szCs w:val="19"/>
                <w:color w:val="231F20"/>
                <w:w w:val="94"/>
              </w:rPr>
              <w:t>—</w:t>
            </w:r>
          </w:p>
        </w:tc>
        <w:tc>
          <w:tcPr>
            <w:tcW w:w="200" w:type="dxa"/>
            <w:vAlign w:val="bottom"/>
            <w:tcBorders>
              <w:top w:val="single" w:sz="8" w:color="E6E7E8"/>
            </w:tcBorders>
            <w:shd w:val="clear" w:color="auto" w:fill="E6E7E8"/>
          </w:tcPr>
          <w:p>
            <w:pPr>
              <w:spacing w:after="0"/>
              <w:rPr>
                <w:sz w:val="18"/>
                <w:szCs w:val="18"/>
                <w:color w:val="auto"/>
              </w:rPr>
            </w:pPr>
          </w:p>
        </w:tc>
        <w:tc>
          <w:tcPr>
            <w:tcW w:w="820" w:type="dxa"/>
            <w:vAlign w:val="bottom"/>
            <w:tcBorders>
              <w:top w:val="single" w:sz="8" w:color="231F20"/>
            </w:tcBorders>
            <w:shd w:val="clear" w:color="auto" w:fill="E6E7E8"/>
          </w:tcPr>
          <w:p>
            <w:pPr>
              <w:jc w:val="right"/>
              <w:spacing w:after="0" w:line="217" w:lineRule="exact"/>
              <w:rPr>
                <w:sz w:val="20"/>
                <w:szCs w:val="20"/>
                <w:color w:val="auto"/>
              </w:rPr>
            </w:pPr>
            <w:r>
              <w:rPr>
                <w:rFonts w:ascii="Times New Roman" w:cs="Times New Roman" w:eastAsia="Times New Roman" w:hAnsi="Times New Roman"/>
                <w:sz w:val="19"/>
                <w:szCs w:val="19"/>
                <w:color w:val="231F20"/>
              </w:rPr>
              <w:t>2,081</w:t>
            </w:r>
          </w:p>
        </w:tc>
        <w:tc>
          <w:tcPr>
            <w:tcW w:w="60" w:type="dxa"/>
            <w:vAlign w:val="bottom"/>
            <w:tcBorders>
              <w:top w:val="single" w:sz="8" w:color="E6E7E8"/>
            </w:tcBorders>
            <w:shd w:val="clear" w:color="auto" w:fill="E6E7E8"/>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8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Natural Gas Transmission Pipeline—Miles</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w:t>
            </w:r>
          </w:p>
        </w:tc>
        <w:tc>
          <w:tcPr>
            <w:tcW w:w="200" w:type="dxa"/>
            <w:vAlign w:val="bottom"/>
          </w:tcPr>
          <w:p>
            <w:pPr>
              <w:spacing w:after="0"/>
              <w:rPr>
                <w:sz w:val="20"/>
                <w:szCs w:val="20"/>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9"/>
                <w:szCs w:val="19"/>
                <w:color w:val="231F20"/>
                <w:w w:val="94"/>
              </w:rPr>
              <w:t>85</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80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19"/>
                <w:szCs w:val="19"/>
                <w:color w:val="231F20"/>
              </w:rPr>
              <w:t>Service Pipes</w:t>
            </w:r>
          </w:p>
        </w:tc>
        <w:tc>
          <w:tcPr>
            <w:tcW w:w="8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25,192</w:t>
            </w:r>
          </w:p>
        </w:tc>
        <w:tc>
          <w:tcPr>
            <w:tcW w:w="1020" w:type="dxa"/>
            <w:vAlign w:val="bottom"/>
            <w:gridSpan w:val="2"/>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24,463</w:t>
            </w:r>
          </w:p>
        </w:tc>
        <w:tc>
          <w:tcPr>
            <w:tcW w:w="1020" w:type="dxa"/>
            <w:vAlign w:val="bottom"/>
            <w:gridSpan w:val="2"/>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11,245</w:t>
            </w:r>
          </w:p>
        </w:tc>
        <w:tc>
          <w:tcPr>
            <w:tcW w:w="1020" w:type="dxa"/>
            <w:vAlign w:val="bottom"/>
            <w:gridSpan w:val="2"/>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8,058</w:t>
            </w:r>
          </w:p>
        </w:tc>
        <w:tc>
          <w:tcPr>
            <w:tcW w:w="1020" w:type="dxa"/>
            <w:vAlign w:val="bottom"/>
            <w:gridSpan w:val="2"/>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5,470</w:t>
            </w:r>
          </w:p>
        </w:tc>
        <w:tc>
          <w:tcPr>
            <w:tcW w:w="200" w:type="dxa"/>
            <w:vAlign w:val="bottom"/>
            <w:shd w:val="clear" w:color="auto" w:fill="E6E7E8"/>
          </w:tcPr>
          <w:p>
            <w:pPr>
              <w:spacing w:after="0"/>
              <w:rPr>
                <w:sz w:val="20"/>
                <w:szCs w:val="20"/>
                <w:color w:val="auto"/>
              </w:rPr>
            </w:pPr>
          </w:p>
        </w:tc>
        <w:tc>
          <w:tcPr>
            <w:tcW w:w="820" w:type="dxa"/>
            <w:vAlign w:val="bottom"/>
            <w:shd w:val="clear" w:color="auto" w:fill="E6E7E8"/>
          </w:tcPr>
          <w:p>
            <w:pPr>
              <w:ind w:left="620"/>
              <w:spacing w:after="0"/>
              <w:rPr>
                <w:sz w:val="20"/>
                <w:szCs w:val="20"/>
                <w:color w:val="auto"/>
              </w:rPr>
            </w:pPr>
            <w:r>
              <w:rPr>
                <w:rFonts w:ascii="Times New Roman" w:cs="Times New Roman" w:eastAsia="Times New Roman" w:hAnsi="Times New Roman"/>
                <w:sz w:val="19"/>
                <w:szCs w:val="19"/>
                <w:color w:val="231F20"/>
                <w:w w:val="94"/>
              </w:rPr>
              <w:t>—</w:t>
            </w:r>
          </w:p>
        </w:tc>
        <w:tc>
          <w:tcPr>
            <w:tcW w:w="1020" w:type="dxa"/>
            <w:vAlign w:val="bottom"/>
            <w:gridSpan w:val="2"/>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74,428</w:t>
            </w: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1"/>
          <w:szCs w:val="21"/>
          <w:color w:val="464647"/>
        </w:rPr>
        <w:t>Unitil Energy’s electric substations are located on land owned by Unitil Energy or land occupied by Unitil Energy pursuant to perpetual easements in the southeastern seacoast and state capital regions of New Hampshire</w:t>
      </w:r>
      <w:r>
        <w:rPr>
          <w:rFonts w:ascii="Times New Roman" w:cs="Times New Roman" w:eastAsia="Times New Roman" w:hAnsi="Times New Roman"/>
          <w:sz w:val="21"/>
          <w:szCs w:val="21"/>
          <w:b w:val="1"/>
          <w:bCs w:val="1"/>
          <w:color w:val="464647"/>
        </w:rPr>
        <w:t>.</w:t>
      </w:r>
      <w:r>
        <w:rPr>
          <w:rFonts w:ascii="Times New Roman" w:cs="Times New Roman" w:eastAsia="Times New Roman" w:hAnsi="Times New Roman"/>
          <w:sz w:val="21"/>
          <w:szCs w:val="21"/>
          <w:color w:val="464647"/>
        </w:rPr>
        <w:t xml:space="preserve"> Unitil Energy’s electric distribution lines are located in, on or under public highways or private lands pursuant to lease, easement, permit, municipal consent, tariff conditions, agreement or license, expressed or implied through use by Unitil Energy without objection by the owners. In the case of certain distribution lines, Unitil Energy owns only a part interest in the poles upon which its wires are installed, the remaining interest being owned by telecommunication companies.</w:t>
      </w:r>
    </w:p>
    <w:p>
      <w:pPr>
        <w:spacing w:after="0" w:line="199" w:lineRule="exact"/>
        <w:rPr>
          <w:sz w:val="20"/>
          <w:szCs w:val="20"/>
          <w:color w:val="auto"/>
        </w:rPr>
      </w:pPr>
    </w:p>
    <w:p>
      <w:pPr>
        <w:ind w:right="20" w:firstLine="720"/>
        <w:spacing w:after="0" w:line="279" w:lineRule="auto"/>
        <w:rPr>
          <w:sz w:val="20"/>
          <w:szCs w:val="20"/>
          <w:color w:val="auto"/>
        </w:rPr>
      </w:pPr>
      <w:r>
        <w:rPr>
          <w:rFonts w:ascii="Times New Roman" w:cs="Times New Roman" w:eastAsia="Times New Roman" w:hAnsi="Times New Roman"/>
          <w:sz w:val="21"/>
          <w:szCs w:val="21"/>
          <w:color w:val="464647"/>
        </w:rPr>
        <w:t>The physical utility properties of Unitil Energy, with certain exceptions, and its franchises are subject to its indenture of mortgage and deed of trust under which the respective series of first mortgage bonds of Unitil Energy are outstanding.</w:t>
      </w:r>
    </w:p>
    <w:p>
      <w:pPr>
        <w:spacing w:after="0" w:line="163"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1"/>
          <w:szCs w:val="21"/>
          <w:color w:val="464647"/>
        </w:rPr>
        <w:t>Fitchburg’s electric substations, with minor exceptions, are located in north central Massachusetts on land owned by Fitchburg or occupied by Fitchburg pursuant to perpetual easements. Fitchburg’s electric distribution lines and gas mains are located in, on, or under public highways or private lands pursuant to lease, easement, permit, municipal consent, tariff conditions, agreement or license, express or implied through use by Fitchburg without objection by the owners. Fitchburg owns full interest in the poles upon which its wires are installed.</w:t>
      </w:r>
    </w:p>
    <w:p>
      <w:pPr>
        <w:spacing w:after="0" w:line="192" w:lineRule="exact"/>
        <w:rPr>
          <w:sz w:val="20"/>
          <w:szCs w:val="20"/>
          <w:color w:val="auto"/>
        </w:rPr>
      </w:pPr>
    </w:p>
    <w:p>
      <w:pPr>
        <w:ind w:right="300" w:firstLine="720"/>
        <w:spacing w:after="0" w:line="251" w:lineRule="auto"/>
        <w:rPr>
          <w:sz w:val="20"/>
          <w:szCs w:val="20"/>
          <w:color w:val="auto"/>
        </w:rPr>
      </w:pPr>
      <w:r>
        <w:rPr>
          <w:rFonts w:ascii="Times New Roman" w:cs="Times New Roman" w:eastAsia="Times New Roman" w:hAnsi="Times New Roman"/>
          <w:sz w:val="21"/>
          <w:szCs w:val="21"/>
          <w:color w:val="464647"/>
        </w:rPr>
        <w:t>The Company’s natural gas operations property includes two liquefied propane gas plants and two liquid natural gas plants. Northern Utilities also owns a propane air gas plant and an LNG storage and vaporization facility. Fitchburg owns a propane air gas plant and an LNG storage and vaporization facility, both of which are located on land owned by Fitchburg in north central Massachusetts.</w:t>
      </w:r>
    </w:p>
    <w:p>
      <w:pPr>
        <w:spacing w:after="0" w:line="170"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1"/>
          <w:szCs w:val="21"/>
          <w:color w:val="464647"/>
        </w:rPr>
        <w:t>Northern Utilities’ gas mains are primarily made up of polyethylene plastic (84.8%) and coated and wrapped cathodically protected steel (15.2%). FG&amp;E’s gas mains are primarily made up of polyethylene plastic (49.5%), coated steel (42.9%), cast iron (6.6%), bare steel (0.9%), and wrought and ductile iron (0.1%). Bangor’s gas mains are primarily made up of polyethylene plastic (70.2%), coated and wrapped cathodically protected steel (29.6%), and unprotected bare and coated steel (0.2%). Maine Natural’s gas mains are primarily made up of polyethylene plastic (89.4%), and coated and wrapped cathodically protected steel (10.6%).</w:t>
      </w:r>
    </w:p>
    <w:p>
      <w:pPr>
        <w:sectPr>
          <w:pgSz w:w="12240" w:h="15840" w:orient="portrait"/>
          <w:cols w:equalWidth="0" w:num="1">
            <w:col w:w="10800"/>
          </w:cols>
          <w:pgMar w:left="720" w:top="924" w:right="720" w:bottom="188"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18</w:t>
      </w:r>
    </w:p>
    <w:p>
      <w:pPr>
        <w:sectPr>
          <w:pgSz w:w="12240" w:h="15840" w:orient="portrait"/>
          <w:cols w:equalWidth="0" w:num="1">
            <w:col w:w="10800"/>
          </w:cols>
          <w:pgMar w:left="720" w:top="924" w:right="720" w:bottom="188" w:gutter="0" w:footer="0" w:header="0"/>
          <w:type w:val="continuous"/>
        </w:sectPr>
      </w:pPr>
    </w:p>
    <w:bookmarkStart w:id="38" w:name="page39"/>
    <w:bookmarkEnd w:id="38"/>
    <w:p>
      <w:pPr>
        <w:ind w:right="60" w:firstLine="720"/>
        <w:spacing w:after="0" w:line="277" w:lineRule="auto"/>
        <w:rPr>
          <w:sz w:val="20"/>
          <w:szCs w:val="20"/>
          <w:color w:val="auto"/>
        </w:rPr>
      </w:pPr>
      <w:r>
        <w:rPr>
          <w:rFonts w:ascii="Times New Roman" w:cs="Times New Roman" w:eastAsia="Times New Roman" w:hAnsi="Times New Roman"/>
          <w:sz w:val="21"/>
          <w:szCs w:val="21"/>
          <w:color w:val="464647"/>
        </w:rPr>
        <w:t>Granite State’s underground natural gas transmission pipeline, regulated by the FERC, is located primarily in Maine and New Hampshire.</w:t>
      </w:r>
    </w:p>
    <w:p>
      <w:pPr>
        <w:spacing w:after="0" w:line="1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464647"/>
        </w:rPr>
        <w:t>The Company believes that its facilities are currently adequate for their intended uses.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Item 3. Legal Proceedings</w:t>
      </w:r>
    </w:p>
    <w:p>
      <w:pPr>
        <w:spacing w:after="0" w:line="124" w:lineRule="exact"/>
        <w:rPr>
          <w:sz w:val="20"/>
          <w:szCs w:val="20"/>
          <w:color w:val="auto"/>
        </w:rPr>
      </w:pPr>
    </w:p>
    <w:p>
      <w:pPr>
        <w:jc w:val="both"/>
        <w:ind w:firstLine="619"/>
        <w:spacing w:after="0" w:line="278" w:lineRule="auto"/>
        <w:rPr>
          <w:sz w:val="20"/>
          <w:szCs w:val="20"/>
          <w:color w:val="auto"/>
        </w:rPr>
      </w:pPr>
      <w:r>
        <w:rPr>
          <w:rFonts w:ascii="Times New Roman" w:cs="Times New Roman" w:eastAsia="Times New Roman" w:hAnsi="Times New Roman"/>
          <w:sz w:val="20"/>
          <w:szCs w:val="20"/>
          <w:color w:val="231F20"/>
        </w:rPr>
        <w:t>The Company is involved in legal and administrative proceedings and claims of various types, including those which arise in the ordinary course of business. The Company believes, based upon information furnished by counsel and others, that the ultimate resolution of these claims will not have a material effect on its financial position, operating results or cash flows.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Item 4. Mine Safety Disclosures</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231F20"/>
        </w:rPr>
        <w:t>Not applicable.</w:t>
      </w:r>
    </w:p>
    <w:p>
      <w:pPr>
        <w:sectPr>
          <w:pgSz w:w="12240" w:h="15840" w:orient="portrait"/>
          <w:cols w:equalWidth="0" w:num="1">
            <w:col w:w="10560"/>
          </w:cols>
          <w:pgMar w:left="720" w:top="924" w:right="96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231F20"/>
        </w:rPr>
        <w:t>19</w:t>
      </w:r>
    </w:p>
    <w:p>
      <w:pPr>
        <w:sectPr>
          <w:pgSz w:w="12240" w:h="15840" w:orient="portrait"/>
          <w:cols w:equalWidth="0" w:num="1">
            <w:col w:w="10560"/>
          </w:cols>
          <w:pgMar w:left="720" w:top="924" w:right="960" w:bottom="188" w:gutter="0" w:footer="0" w:header="0"/>
          <w:type w:val="continuous"/>
        </w:sectPr>
      </w:pPr>
    </w:p>
    <w:bookmarkStart w:id="39" w:name="page40"/>
    <w:bookmarkEnd w:id="39"/>
    <w:p>
      <w:pPr>
        <w:jc w:val="center"/>
        <w:spacing w:after="0"/>
        <w:rPr>
          <w:sz w:val="20"/>
          <w:szCs w:val="20"/>
          <w:color w:val="auto"/>
        </w:rPr>
      </w:pPr>
      <w:r>
        <w:rPr>
          <w:rFonts w:ascii="Times New Roman" w:cs="Times New Roman" w:eastAsia="Times New Roman" w:hAnsi="Times New Roman"/>
          <w:sz w:val="21"/>
          <w:szCs w:val="21"/>
          <w:b w:val="1"/>
          <w:bCs w:val="1"/>
          <w:color w:val="231F20"/>
        </w:rPr>
        <w:t>PART II</w:t>
      </w:r>
    </w:p>
    <w:p>
      <w:pPr>
        <w:spacing w:after="0" w:line="240" w:lineRule="exact"/>
        <w:rPr>
          <w:sz w:val="20"/>
          <w:szCs w:val="20"/>
          <w:color w:val="auto"/>
        </w:rPr>
      </w:pPr>
    </w:p>
    <w:p>
      <w:pPr>
        <w:ind w:left="1220" w:right="900" w:hanging="1223"/>
        <w:spacing w:after="0" w:line="287" w:lineRule="auto"/>
        <w:rPr>
          <w:sz w:val="20"/>
          <w:szCs w:val="20"/>
          <w:color w:val="auto"/>
        </w:rPr>
      </w:pPr>
      <w:r>
        <w:rPr>
          <w:rFonts w:ascii="Times New Roman" w:cs="Times New Roman" w:eastAsia="Times New Roman" w:hAnsi="Times New Roman"/>
          <w:sz w:val="21"/>
          <w:szCs w:val="21"/>
          <w:b w:val="1"/>
          <w:bCs w:val="1"/>
          <w:color w:val="231F20"/>
        </w:rPr>
        <w:t>Item 5. Market for Registrant’s Common Equity, Related Stockholder Matters and Issuer Purchases of Equity Securities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Common Stock Information</w:t>
      </w:r>
    </w:p>
    <w:p>
      <w:pPr>
        <w:spacing w:after="0" w:line="124" w:lineRule="exact"/>
        <w:rPr>
          <w:sz w:val="20"/>
          <w:szCs w:val="20"/>
          <w:color w:val="auto"/>
        </w:rPr>
      </w:pPr>
    </w:p>
    <w:p>
      <w:pPr>
        <w:ind w:right="300" w:firstLine="612"/>
        <w:spacing w:after="0" w:line="279" w:lineRule="auto"/>
        <w:rPr>
          <w:sz w:val="20"/>
          <w:szCs w:val="20"/>
          <w:color w:val="auto"/>
        </w:rPr>
      </w:pPr>
      <w:r>
        <w:rPr>
          <w:rFonts w:ascii="Times New Roman" w:cs="Times New Roman" w:eastAsia="Times New Roman" w:hAnsi="Times New Roman"/>
          <w:sz w:val="21"/>
          <w:szCs w:val="21"/>
          <w:color w:val="231F20"/>
        </w:rPr>
        <w:t>The Company’s common stock is listed on the New York Stock Exchange under the symbol “UTL”. As of December 31, 2025, there were 1,078 shareholders of record of the Company’s common stock.</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Dividend Information</w:t>
      </w:r>
    </w:p>
    <w:p>
      <w:pPr>
        <w:spacing w:after="0" w:line="280" w:lineRule="exact"/>
        <w:rPr>
          <w:sz w:val="20"/>
          <w:szCs w:val="20"/>
          <w:color w:val="auto"/>
        </w:rPr>
      </w:pPr>
    </w:p>
    <w:p>
      <w:pPr>
        <w:ind w:right="900" w:firstLine="720"/>
        <w:spacing w:after="0" w:line="279" w:lineRule="auto"/>
        <w:rPr>
          <w:sz w:val="20"/>
          <w:szCs w:val="20"/>
          <w:color w:val="auto"/>
        </w:rPr>
      </w:pPr>
      <w:r>
        <w:rPr>
          <w:rFonts w:ascii="Times New Roman" w:cs="Times New Roman" w:eastAsia="Times New Roman" w:hAnsi="Times New Roman"/>
          <w:sz w:val="21"/>
          <w:szCs w:val="21"/>
          <w:color w:val="231F20"/>
        </w:rPr>
        <w:t>Information regarding dividend payments by the Company to the Company’s shareholders for the year ended December 31, 2025 as compared to the year ended December 31, 2024, is set forth in the following table.</w:t>
      </w:r>
    </w:p>
    <w:p>
      <w:pPr>
        <w:spacing w:after="0" w:line="199" w:lineRule="exact"/>
        <w:rPr>
          <w:sz w:val="20"/>
          <w:szCs w:val="20"/>
          <w:color w:val="auto"/>
        </w:rPr>
      </w:pPr>
    </w:p>
    <w:tbl>
      <w:tblPr>
        <w:tblLayout w:type="fixed"/>
        <w:tblInd w:w="540" w:type="dxa"/>
        <w:tblCellMar>
          <w:top w:w="0" w:type="dxa"/>
          <w:left w:w="0" w:type="dxa"/>
          <w:bottom w:w="0" w:type="dxa"/>
          <w:right w:w="0" w:type="dxa"/>
        </w:tblCellMar>
      </w:tblPr>
      <w:tr>
        <w:trPr>
          <w:trHeight w:val="219"/>
        </w:trPr>
        <w:tc>
          <w:tcPr>
            <w:tcW w:w="206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w w:val="98"/>
              </w:rPr>
              <w:t>Dividends per Common Share</w:t>
            </w:r>
          </w:p>
        </w:tc>
        <w:tc>
          <w:tcPr>
            <w:tcW w:w="4540" w:type="dxa"/>
            <w:vAlign w:val="bottom"/>
            <w:tcBorders>
              <w:bottom w:val="single" w:sz="8" w:color="E6E7E8"/>
            </w:tcBorders>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jc w:val="right"/>
              <w:ind w:right="448"/>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60" w:type="dxa"/>
            <w:vAlign w:val="bottom"/>
            <w:tcBorders>
              <w:bottom w:val="single" w:sz="8" w:color="E6E7E8"/>
            </w:tcBorders>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jc w:val="right"/>
              <w:ind w:right="448"/>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Borders>
              <w:bottom w:val="single" w:sz="8" w:color="E6E7E8"/>
            </w:tcBorders>
          </w:tcPr>
          <w:p>
            <w:pPr>
              <w:spacing w:after="0"/>
              <w:rPr>
                <w:sz w:val="18"/>
                <w:szCs w:val="18"/>
                <w:color w:val="auto"/>
              </w:rPr>
            </w:pPr>
          </w:p>
        </w:tc>
      </w:tr>
      <w:tr>
        <w:trPr>
          <w:trHeight w:val="203"/>
        </w:trPr>
        <w:tc>
          <w:tcPr>
            <w:tcW w:w="2060" w:type="dxa"/>
            <w:vAlign w:val="bottom"/>
            <w:tcBorders>
              <w:top w:val="single" w:sz="8" w:color="E6E7E8"/>
            </w:tcBorders>
            <w:shd w:val="clear" w:color="auto" w:fill="E6E7E8"/>
          </w:tcPr>
          <w:p>
            <w:pPr>
              <w:spacing w:after="0" w:line="204" w:lineRule="exact"/>
              <w:rPr>
                <w:sz w:val="20"/>
                <w:szCs w:val="20"/>
                <w:color w:val="auto"/>
              </w:rPr>
            </w:pPr>
            <w:r>
              <w:rPr>
                <w:rFonts w:ascii="Times New Roman" w:cs="Times New Roman" w:eastAsia="Times New Roman" w:hAnsi="Times New Roman"/>
                <w:sz w:val="19"/>
                <w:szCs w:val="19"/>
                <w:color w:val="231F20"/>
              </w:rPr>
              <w:t>1st Quarter</w:t>
            </w:r>
          </w:p>
        </w:tc>
        <w:tc>
          <w:tcPr>
            <w:tcW w:w="4540" w:type="dxa"/>
            <w:vAlign w:val="bottom"/>
            <w:tcBorders>
              <w:top w:val="single" w:sz="8" w:color="E6E7E8"/>
            </w:tcBorders>
            <w:shd w:val="clear" w:color="auto" w:fill="E6E7E8"/>
          </w:tcPr>
          <w:p>
            <w:pPr>
              <w:spacing w:after="0"/>
              <w:rPr>
                <w:sz w:val="17"/>
                <w:szCs w:val="17"/>
                <w:color w:val="auto"/>
              </w:rPr>
            </w:pPr>
          </w:p>
        </w:tc>
        <w:tc>
          <w:tcPr>
            <w:tcW w:w="320" w:type="dxa"/>
            <w:vAlign w:val="bottom"/>
            <w:tcBorders>
              <w:top w:val="single" w:sz="8" w:color="231F20"/>
            </w:tcBorders>
            <w:shd w:val="clear" w:color="auto" w:fill="E6E7E8"/>
          </w:tcPr>
          <w:p>
            <w:pPr>
              <w:jc w:val="right"/>
              <w:ind w:right="156"/>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108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b w:val="1"/>
                <w:bCs w:val="1"/>
                <w:color w:val="231F20"/>
              </w:rPr>
              <w:t>0.45</w:t>
            </w:r>
          </w:p>
        </w:tc>
        <w:tc>
          <w:tcPr>
            <w:tcW w:w="260" w:type="dxa"/>
            <w:vAlign w:val="bottom"/>
            <w:tcBorders>
              <w:top w:val="single" w:sz="8" w:color="E6E7E8"/>
            </w:tcBorders>
            <w:shd w:val="clear" w:color="auto" w:fill="E6E7E8"/>
          </w:tcPr>
          <w:p>
            <w:pPr>
              <w:spacing w:after="0"/>
              <w:rPr>
                <w:sz w:val="17"/>
                <w:szCs w:val="17"/>
                <w:color w:val="auto"/>
              </w:rPr>
            </w:pPr>
          </w:p>
        </w:tc>
        <w:tc>
          <w:tcPr>
            <w:tcW w:w="320" w:type="dxa"/>
            <w:vAlign w:val="bottom"/>
            <w:tcBorders>
              <w:top w:val="single" w:sz="8" w:color="231F20"/>
            </w:tcBorders>
            <w:shd w:val="clear" w:color="auto" w:fill="E6E7E8"/>
          </w:tcPr>
          <w:p>
            <w:pPr>
              <w:jc w:val="right"/>
              <w:ind w:right="156"/>
              <w:spacing w:after="0"/>
              <w:rPr>
                <w:sz w:val="20"/>
                <w:szCs w:val="20"/>
                <w:color w:val="auto"/>
              </w:rPr>
            </w:pPr>
            <w:r>
              <w:rPr>
                <w:rFonts w:ascii="Times New Roman" w:cs="Times New Roman" w:eastAsia="Times New Roman" w:hAnsi="Times New Roman"/>
                <w:sz w:val="17"/>
                <w:szCs w:val="17"/>
                <w:color w:val="231F20"/>
                <w:w w:val="70"/>
              </w:rPr>
              <w:t>$</w:t>
            </w:r>
          </w:p>
        </w:tc>
        <w:tc>
          <w:tcPr>
            <w:tcW w:w="108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color w:val="231F20"/>
              </w:rPr>
              <w:t>0.425</w:t>
            </w:r>
          </w:p>
        </w:tc>
        <w:tc>
          <w:tcPr>
            <w:tcW w:w="60" w:type="dxa"/>
            <w:vAlign w:val="bottom"/>
            <w:tcBorders>
              <w:top w:val="single" w:sz="8" w:color="E6E7E8"/>
            </w:tcBorders>
            <w:shd w:val="clear" w:color="auto" w:fill="E6E7E8"/>
          </w:tcPr>
          <w:p>
            <w:pPr>
              <w:spacing w:after="0"/>
              <w:rPr>
                <w:sz w:val="17"/>
                <w:szCs w:val="17"/>
                <w:color w:val="auto"/>
              </w:rPr>
            </w:pPr>
          </w:p>
        </w:tc>
      </w:tr>
      <w:tr>
        <w:trPr>
          <w:trHeight w:val="218"/>
        </w:trPr>
        <w:tc>
          <w:tcPr>
            <w:tcW w:w="2060" w:type="dxa"/>
            <w:vAlign w:val="bottom"/>
          </w:tcPr>
          <w:p>
            <w:pPr>
              <w:spacing w:after="0"/>
              <w:rPr>
                <w:sz w:val="20"/>
                <w:szCs w:val="20"/>
                <w:color w:val="auto"/>
              </w:rPr>
            </w:pPr>
            <w:r>
              <w:rPr>
                <w:rFonts w:ascii="Times New Roman" w:cs="Times New Roman" w:eastAsia="Times New Roman" w:hAnsi="Times New Roman"/>
                <w:sz w:val="19"/>
                <w:szCs w:val="19"/>
                <w:color w:val="231F20"/>
              </w:rPr>
              <w:t>2nd Quarter</w:t>
            </w:r>
          </w:p>
        </w:tc>
        <w:tc>
          <w:tcPr>
            <w:tcW w:w="4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0.45</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0.425</w:t>
            </w:r>
          </w:p>
        </w:tc>
        <w:tc>
          <w:tcPr>
            <w:tcW w:w="60" w:type="dxa"/>
            <w:vAlign w:val="bottom"/>
          </w:tcPr>
          <w:p>
            <w:pPr>
              <w:spacing w:after="0"/>
              <w:rPr>
                <w:sz w:val="19"/>
                <w:szCs w:val="19"/>
                <w:color w:val="auto"/>
              </w:rPr>
            </w:pPr>
          </w:p>
        </w:tc>
      </w:tr>
      <w:tr>
        <w:trPr>
          <w:trHeight w:val="218"/>
        </w:trPr>
        <w:tc>
          <w:tcPr>
            <w:tcW w:w="2060" w:type="dxa"/>
            <w:vAlign w:val="bottom"/>
            <w:shd w:val="clear" w:color="auto" w:fill="E6E7E8"/>
          </w:tcPr>
          <w:p>
            <w:pPr>
              <w:spacing w:after="0"/>
              <w:rPr>
                <w:sz w:val="20"/>
                <w:szCs w:val="20"/>
                <w:color w:val="auto"/>
              </w:rPr>
            </w:pPr>
            <w:r>
              <w:rPr>
                <w:rFonts w:ascii="Times New Roman" w:cs="Times New Roman" w:eastAsia="Times New Roman" w:hAnsi="Times New Roman"/>
                <w:sz w:val="19"/>
                <w:szCs w:val="19"/>
                <w:color w:val="231F20"/>
              </w:rPr>
              <w:t>3rd Quarter</w:t>
            </w:r>
          </w:p>
        </w:tc>
        <w:tc>
          <w:tcPr>
            <w:tcW w:w="4540" w:type="dxa"/>
            <w:vAlign w:val="bottom"/>
            <w:shd w:val="clear" w:color="auto" w:fill="E6E7E8"/>
          </w:tcPr>
          <w:p>
            <w:pPr>
              <w:spacing w:after="0"/>
              <w:rPr>
                <w:sz w:val="19"/>
                <w:szCs w:val="19"/>
                <w:color w:val="auto"/>
              </w:rPr>
            </w:pPr>
          </w:p>
        </w:tc>
        <w:tc>
          <w:tcPr>
            <w:tcW w:w="320" w:type="dxa"/>
            <w:vAlign w:val="bottom"/>
            <w:shd w:val="clear" w:color="auto" w:fill="E6E7E8"/>
          </w:tcPr>
          <w:p>
            <w:pPr>
              <w:spacing w:after="0"/>
              <w:rPr>
                <w:sz w:val="19"/>
                <w:szCs w:val="19"/>
                <w:color w:val="auto"/>
              </w:rPr>
            </w:pPr>
          </w:p>
        </w:tc>
        <w:tc>
          <w:tcPr>
            <w:tcW w:w="1340" w:type="dxa"/>
            <w:vAlign w:val="bottom"/>
            <w:gridSpan w:val="2"/>
            <w:shd w:val="clear" w:color="auto" w:fill="E6E7E8"/>
          </w:tcPr>
          <w:p>
            <w:pPr>
              <w:jc w:val="right"/>
              <w:ind w:right="260"/>
              <w:spacing w:after="0"/>
              <w:rPr>
                <w:sz w:val="20"/>
                <w:szCs w:val="20"/>
                <w:color w:val="auto"/>
              </w:rPr>
            </w:pPr>
            <w:r>
              <w:rPr>
                <w:rFonts w:ascii="Times New Roman" w:cs="Times New Roman" w:eastAsia="Times New Roman" w:hAnsi="Times New Roman"/>
                <w:sz w:val="19"/>
                <w:szCs w:val="19"/>
                <w:b w:val="1"/>
                <w:bCs w:val="1"/>
                <w:color w:val="231F20"/>
              </w:rPr>
              <w:t>0.45</w:t>
            </w:r>
          </w:p>
        </w:tc>
        <w:tc>
          <w:tcPr>
            <w:tcW w:w="320" w:type="dxa"/>
            <w:vAlign w:val="bottom"/>
            <w:shd w:val="clear" w:color="auto" w:fill="E6E7E8"/>
          </w:tcPr>
          <w:p>
            <w:pPr>
              <w:spacing w:after="0"/>
              <w:rPr>
                <w:sz w:val="19"/>
                <w:szCs w:val="19"/>
                <w:color w:val="auto"/>
              </w:rPr>
            </w:pPr>
          </w:p>
        </w:tc>
        <w:tc>
          <w:tcPr>
            <w:tcW w:w="10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0.425</w:t>
            </w:r>
          </w:p>
        </w:tc>
        <w:tc>
          <w:tcPr>
            <w:tcW w:w="60" w:type="dxa"/>
            <w:vAlign w:val="bottom"/>
            <w:shd w:val="clear" w:color="auto" w:fill="E6E7E8"/>
          </w:tcPr>
          <w:p>
            <w:pPr>
              <w:spacing w:after="0"/>
              <w:rPr>
                <w:sz w:val="19"/>
                <w:szCs w:val="19"/>
                <w:color w:val="auto"/>
              </w:rPr>
            </w:pPr>
          </w:p>
        </w:tc>
      </w:tr>
      <w:tr>
        <w:trPr>
          <w:trHeight w:val="218"/>
        </w:trPr>
        <w:tc>
          <w:tcPr>
            <w:tcW w:w="2060" w:type="dxa"/>
            <w:vAlign w:val="bottom"/>
          </w:tcPr>
          <w:p>
            <w:pPr>
              <w:spacing w:after="0"/>
              <w:rPr>
                <w:sz w:val="20"/>
                <w:szCs w:val="20"/>
                <w:color w:val="auto"/>
              </w:rPr>
            </w:pPr>
            <w:r>
              <w:rPr>
                <w:rFonts w:ascii="Times New Roman" w:cs="Times New Roman" w:eastAsia="Times New Roman" w:hAnsi="Times New Roman"/>
                <w:sz w:val="19"/>
                <w:szCs w:val="19"/>
                <w:color w:val="231F20"/>
              </w:rPr>
              <w:t>4th Quarter</w:t>
            </w:r>
          </w:p>
        </w:tc>
        <w:tc>
          <w:tcPr>
            <w:tcW w:w="4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b w:val="1"/>
                <w:bCs w:val="1"/>
                <w:color w:val="231F20"/>
              </w:rPr>
              <w:t>0.45</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0.425</w:t>
            </w:r>
          </w:p>
        </w:tc>
        <w:tc>
          <w:tcPr>
            <w:tcW w:w="60" w:type="dxa"/>
            <w:vAlign w:val="bottom"/>
          </w:tcPr>
          <w:p>
            <w:pPr>
              <w:spacing w:after="0"/>
              <w:rPr>
                <w:sz w:val="19"/>
                <w:szCs w:val="19"/>
                <w:color w:val="auto"/>
              </w:rPr>
            </w:pPr>
          </w:p>
        </w:tc>
      </w:tr>
      <w:tr>
        <w:trPr>
          <w:trHeight w:val="233"/>
        </w:trPr>
        <w:tc>
          <w:tcPr>
            <w:tcW w:w="2060" w:type="dxa"/>
            <w:vAlign w:val="bottom"/>
            <w:tcBorders>
              <w:top w:val="single" w:sz="8" w:color="E6E7E8"/>
              <w:bottom w:val="single" w:sz="8" w:color="E6E7E8"/>
            </w:tcBorders>
            <w:shd w:val="clear" w:color="auto" w:fill="E6E7E8"/>
          </w:tcPr>
          <w:p>
            <w:pPr>
              <w:ind w:left="200"/>
              <w:spacing w:after="0" w:line="214" w:lineRule="exact"/>
              <w:rPr>
                <w:sz w:val="20"/>
                <w:szCs w:val="20"/>
                <w:color w:val="auto"/>
              </w:rPr>
            </w:pPr>
            <w:r>
              <w:rPr>
                <w:rFonts w:ascii="Times New Roman" w:cs="Times New Roman" w:eastAsia="Times New Roman" w:hAnsi="Times New Roman"/>
                <w:sz w:val="19"/>
                <w:szCs w:val="19"/>
                <w:color w:val="231F20"/>
              </w:rPr>
              <w:t>Total for Year</w:t>
            </w:r>
          </w:p>
        </w:tc>
        <w:tc>
          <w:tcPr>
            <w:tcW w:w="4540" w:type="dxa"/>
            <w:vAlign w:val="bottom"/>
            <w:tcBorders>
              <w:top w:val="single" w:sz="8" w:color="E6E7E8"/>
              <w:bottom w:val="single" w:sz="8" w:color="E6E7E8"/>
            </w:tcBorders>
            <w:shd w:val="clear" w:color="auto" w:fill="E6E7E8"/>
          </w:tcPr>
          <w:p>
            <w:pPr>
              <w:spacing w:after="0"/>
              <w:rPr>
                <w:sz w:val="20"/>
                <w:szCs w:val="20"/>
                <w:color w:val="auto"/>
              </w:rPr>
            </w:pPr>
          </w:p>
        </w:tc>
        <w:tc>
          <w:tcPr>
            <w:tcW w:w="320" w:type="dxa"/>
            <w:vAlign w:val="bottom"/>
            <w:tcBorders>
              <w:top w:val="single" w:sz="8" w:color="231F20"/>
              <w:bottom w:val="single" w:sz="8" w:color="231F20"/>
            </w:tcBorders>
            <w:shd w:val="clear" w:color="auto" w:fill="E6E7E8"/>
          </w:tcPr>
          <w:p>
            <w:pPr>
              <w:jc w:val="right"/>
              <w:ind w:right="156"/>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1080" w:type="dxa"/>
            <w:vAlign w:val="bottom"/>
            <w:tcBorders>
              <w:top w:val="single" w:sz="8" w:color="231F20"/>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1.80</w:t>
            </w:r>
          </w:p>
        </w:tc>
        <w:tc>
          <w:tcPr>
            <w:tcW w:w="260" w:type="dxa"/>
            <w:vAlign w:val="bottom"/>
            <w:tcBorders>
              <w:top w:val="single" w:sz="8" w:color="E6E7E8"/>
              <w:bottom w:val="single" w:sz="8" w:color="E6E7E8"/>
            </w:tcBorders>
            <w:shd w:val="clear" w:color="auto" w:fill="E6E7E8"/>
          </w:tcPr>
          <w:p>
            <w:pPr>
              <w:spacing w:after="0"/>
              <w:rPr>
                <w:sz w:val="20"/>
                <w:szCs w:val="20"/>
                <w:color w:val="auto"/>
              </w:rPr>
            </w:pPr>
          </w:p>
        </w:tc>
        <w:tc>
          <w:tcPr>
            <w:tcW w:w="320" w:type="dxa"/>
            <w:vAlign w:val="bottom"/>
            <w:tcBorders>
              <w:top w:val="single" w:sz="8" w:color="231F20"/>
              <w:bottom w:val="single" w:sz="8" w:color="231F20"/>
            </w:tcBorders>
            <w:shd w:val="clear" w:color="auto" w:fill="E6E7E8"/>
          </w:tcPr>
          <w:p>
            <w:pPr>
              <w:jc w:val="right"/>
              <w:ind w:right="156"/>
              <w:spacing w:after="0"/>
              <w:rPr>
                <w:sz w:val="20"/>
                <w:szCs w:val="20"/>
                <w:color w:val="auto"/>
              </w:rPr>
            </w:pPr>
            <w:r>
              <w:rPr>
                <w:rFonts w:ascii="Times New Roman" w:cs="Times New Roman" w:eastAsia="Times New Roman" w:hAnsi="Times New Roman"/>
                <w:sz w:val="17"/>
                <w:szCs w:val="17"/>
                <w:color w:val="231F20"/>
                <w:w w:val="70"/>
              </w:rPr>
              <w:t>$</w:t>
            </w:r>
          </w:p>
        </w:tc>
        <w:tc>
          <w:tcPr>
            <w:tcW w:w="1080" w:type="dxa"/>
            <w:vAlign w:val="bottom"/>
            <w:tcBorders>
              <w:top w:val="single" w:sz="8" w:color="231F20"/>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1.70</w:t>
            </w:r>
          </w:p>
        </w:tc>
        <w:tc>
          <w:tcPr>
            <w:tcW w:w="60" w:type="dxa"/>
            <w:vAlign w:val="bottom"/>
            <w:tcBorders>
              <w:top w:val="single" w:sz="8" w:color="E6E7E8"/>
              <w:bottom w:val="single" w:sz="8" w:color="E6E7E8"/>
            </w:tcBorders>
            <w:shd w:val="clear" w:color="auto" w:fill="E6E7E8"/>
          </w:tcPr>
          <w:p>
            <w:pPr>
              <w:spacing w:after="0"/>
              <w:rPr>
                <w:sz w:val="20"/>
                <w:szCs w:val="20"/>
                <w:color w:val="auto"/>
              </w:rPr>
            </w:pPr>
          </w:p>
        </w:tc>
      </w:tr>
      <w:tr>
        <w:trPr>
          <w:trHeight w:val="20"/>
        </w:trPr>
        <w:tc>
          <w:tcPr>
            <w:tcW w:w="20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5" w:lineRule="exact"/>
        <w:rPr>
          <w:sz w:val="20"/>
          <w:szCs w:val="20"/>
          <w:color w:val="auto"/>
        </w:rPr>
      </w:pPr>
    </w:p>
    <w:p>
      <w:pPr>
        <w:ind w:right="640" w:firstLine="612"/>
        <w:spacing w:after="0" w:line="279" w:lineRule="auto"/>
        <w:rPr>
          <w:sz w:val="20"/>
          <w:szCs w:val="20"/>
          <w:color w:val="auto"/>
        </w:rPr>
      </w:pPr>
      <w:r>
        <w:rPr>
          <w:rFonts w:ascii="Times New Roman" w:cs="Times New Roman" w:eastAsia="Times New Roman" w:hAnsi="Times New Roman"/>
          <w:sz w:val="21"/>
          <w:szCs w:val="21"/>
          <w:color w:val="231F20"/>
        </w:rPr>
        <w:t>See “Dividends” in Part II, Item 7 (Management’s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Equity Compensation Plan Information</w:t>
      </w:r>
    </w:p>
    <w:p>
      <w:pPr>
        <w:spacing w:after="0" w:line="244" w:lineRule="exact"/>
        <w:rPr>
          <w:sz w:val="20"/>
          <w:szCs w:val="20"/>
          <w:color w:val="auto"/>
        </w:rPr>
      </w:pPr>
    </w:p>
    <w:p>
      <w:pPr>
        <w:ind w:right="820" w:firstLine="612"/>
        <w:spacing w:after="0" w:line="279" w:lineRule="auto"/>
        <w:rPr>
          <w:sz w:val="20"/>
          <w:szCs w:val="20"/>
          <w:color w:val="auto"/>
        </w:rPr>
      </w:pPr>
      <w:r>
        <w:rPr>
          <w:rFonts w:ascii="Times New Roman" w:cs="Times New Roman" w:eastAsia="Times New Roman" w:hAnsi="Times New Roman"/>
          <w:sz w:val="21"/>
          <w:szCs w:val="21"/>
          <w:color w:val="231F20"/>
        </w:rPr>
        <w:t>Information regarding securities authorized for issuance under the Company’s equity compensation plans, as of December 31, 2025, is set forth in the following table.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(a)</w:t>
            </w:r>
          </w:p>
        </w:tc>
        <w:tc>
          <w:tcPr>
            <w:tcW w:w="2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(b)</w:t>
            </w:r>
          </w:p>
        </w:tc>
        <w:tc>
          <w:tcPr>
            <w:tcW w:w="2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(c)</w:t>
            </w:r>
          </w:p>
        </w:tc>
        <w:tc>
          <w:tcPr>
            <w:tcW w:w="60" w:type="dxa"/>
            <w:vAlign w:val="bottom"/>
          </w:tcPr>
          <w:p>
            <w:pPr>
              <w:spacing w:after="0"/>
              <w:rPr>
                <w:sz w:val="16"/>
                <w:szCs w:val="16"/>
                <w:color w:val="auto"/>
              </w:rPr>
            </w:pPr>
          </w:p>
        </w:tc>
      </w:tr>
      <w:tr>
        <w:trPr>
          <w:trHeight w:val="184"/>
        </w:trPr>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Number of securities</w:t>
            </w:r>
          </w:p>
        </w:tc>
        <w:tc>
          <w:tcPr>
            <w:tcW w:w="60" w:type="dxa"/>
            <w:vAlign w:val="bottom"/>
          </w:tcPr>
          <w:p>
            <w:pPr>
              <w:spacing w:after="0"/>
              <w:rPr>
                <w:sz w:val="16"/>
                <w:szCs w:val="16"/>
                <w:color w:val="auto"/>
              </w:rPr>
            </w:pPr>
          </w:p>
        </w:tc>
      </w:tr>
      <w:tr>
        <w:trPr>
          <w:trHeight w:val="184"/>
        </w:trPr>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remaining available</w:t>
            </w:r>
          </w:p>
        </w:tc>
        <w:tc>
          <w:tcPr>
            <w:tcW w:w="60" w:type="dxa"/>
            <w:vAlign w:val="bottom"/>
          </w:tcPr>
          <w:p>
            <w:pPr>
              <w:spacing w:after="0"/>
              <w:rPr>
                <w:sz w:val="16"/>
                <w:szCs w:val="16"/>
                <w:color w:val="auto"/>
              </w:rPr>
            </w:pPr>
          </w:p>
        </w:tc>
      </w:tr>
      <w:tr>
        <w:trPr>
          <w:trHeight w:val="184"/>
        </w:trPr>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for</w:t>
            </w:r>
          </w:p>
        </w:tc>
        <w:tc>
          <w:tcPr>
            <w:tcW w:w="60" w:type="dxa"/>
            <w:vAlign w:val="bottom"/>
          </w:tcPr>
          <w:p>
            <w:pPr>
              <w:spacing w:after="0"/>
              <w:rPr>
                <w:sz w:val="16"/>
                <w:szCs w:val="16"/>
                <w:color w:val="auto"/>
              </w:rPr>
            </w:pPr>
          </w:p>
        </w:tc>
      </w:tr>
      <w:tr>
        <w:trPr>
          <w:trHeight w:val="184"/>
        </w:trPr>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Number of securities</w:t>
            </w: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future issuance under</w:t>
            </w:r>
          </w:p>
        </w:tc>
        <w:tc>
          <w:tcPr>
            <w:tcW w:w="60" w:type="dxa"/>
            <w:vAlign w:val="bottom"/>
          </w:tcPr>
          <w:p>
            <w:pPr>
              <w:spacing w:after="0"/>
              <w:rPr>
                <w:sz w:val="16"/>
                <w:szCs w:val="16"/>
                <w:color w:val="auto"/>
              </w:rPr>
            </w:pPr>
          </w:p>
        </w:tc>
      </w:tr>
      <w:tr>
        <w:trPr>
          <w:trHeight w:val="184"/>
        </w:trPr>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to be issued upon</w:t>
            </w:r>
          </w:p>
        </w:tc>
        <w:tc>
          <w:tcPr>
            <w:tcW w:w="2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Weighted-average</w:t>
            </w:r>
          </w:p>
        </w:tc>
        <w:tc>
          <w:tcPr>
            <w:tcW w:w="2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equity compensation</w:t>
            </w:r>
          </w:p>
        </w:tc>
        <w:tc>
          <w:tcPr>
            <w:tcW w:w="60" w:type="dxa"/>
            <w:vAlign w:val="bottom"/>
          </w:tcPr>
          <w:p>
            <w:pPr>
              <w:spacing w:after="0"/>
              <w:rPr>
                <w:sz w:val="16"/>
                <w:szCs w:val="16"/>
                <w:color w:val="auto"/>
              </w:rPr>
            </w:pPr>
          </w:p>
        </w:tc>
      </w:tr>
      <w:tr>
        <w:trPr>
          <w:trHeight w:val="184"/>
        </w:trPr>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exercise</w:t>
            </w:r>
          </w:p>
        </w:tc>
        <w:tc>
          <w:tcPr>
            <w:tcW w:w="2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exercise price of</w:t>
            </w:r>
          </w:p>
        </w:tc>
        <w:tc>
          <w:tcPr>
            <w:tcW w:w="2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plans (excluding</w:t>
            </w:r>
          </w:p>
        </w:tc>
        <w:tc>
          <w:tcPr>
            <w:tcW w:w="60" w:type="dxa"/>
            <w:vAlign w:val="bottom"/>
          </w:tcPr>
          <w:p>
            <w:pPr>
              <w:spacing w:after="0"/>
              <w:rPr>
                <w:sz w:val="16"/>
                <w:szCs w:val="16"/>
                <w:color w:val="auto"/>
              </w:rPr>
            </w:pPr>
          </w:p>
        </w:tc>
      </w:tr>
      <w:tr>
        <w:trPr>
          <w:trHeight w:val="184"/>
        </w:trPr>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of outstanding options,</w:t>
            </w:r>
          </w:p>
        </w:tc>
        <w:tc>
          <w:tcPr>
            <w:tcW w:w="2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outstanding options,</w:t>
            </w:r>
          </w:p>
        </w:tc>
        <w:tc>
          <w:tcPr>
            <w:tcW w:w="2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securities reflected in</w:t>
            </w:r>
          </w:p>
        </w:tc>
        <w:tc>
          <w:tcPr>
            <w:tcW w:w="60" w:type="dxa"/>
            <w:vAlign w:val="bottom"/>
          </w:tcPr>
          <w:p>
            <w:pPr>
              <w:spacing w:after="0"/>
              <w:rPr>
                <w:sz w:val="16"/>
                <w:szCs w:val="16"/>
                <w:color w:val="auto"/>
              </w:rPr>
            </w:pPr>
          </w:p>
        </w:tc>
      </w:tr>
      <w:tr>
        <w:trPr>
          <w:trHeight w:val="219"/>
        </w:trPr>
        <w:tc>
          <w:tcPr>
            <w:tcW w:w="1000" w:type="dxa"/>
            <w:vAlign w:val="bottom"/>
            <w:tcBorders>
              <w:bottom w:val="single" w:sz="8" w:color="E6E7E8"/>
            </w:tcBorders>
          </w:tcPr>
          <w:p>
            <w:pPr>
              <w:spacing w:after="0"/>
              <w:rPr>
                <w:sz w:val="18"/>
                <w:szCs w:val="18"/>
                <w:color w:val="auto"/>
              </w:rPr>
            </w:pPr>
          </w:p>
        </w:tc>
        <w:tc>
          <w:tcPr>
            <w:tcW w:w="1200" w:type="dxa"/>
            <w:vAlign w:val="bottom"/>
            <w:tcBorders>
              <w:bottom w:val="single" w:sz="8" w:color="E6E7E8"/>
            </w:tcBorders>
          </w:tcPr>
          <w:p>
            <w:pPr>
              <w:spacing w:after="0"/>
              <w:rPr>
                <w:sz w:val="18"/>
                <w:szCs w:val="18"/>
                <w:color w:val="auto"/>
              </w:rPr>
            </w:pPr>
          </w:p>
        </w:tc>
        <w:tc>
          <w:tcPr>
            <w:tcW w:w="100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w w:val="99"/>
              </w:rPr>
              <w:t>Plan Category</w:t>
            </w:r>
          </w:p>
        </w:tc>
        <w:tc>
          <w:tcPr>
            <w:tcW w:w="2300" w:type="dxa"/>
            <w:vAlign w:val="bottom"/>
            <w:tcBorders>
              <w:bottom w:val="single" w:sz="8" w:color="E6E7E8"/>
            </w:tcBorders>
          </w:tcPr>
          <w:p>
            <w:pPr>
              <w:spacing w:after="0"/>
              <w:rPr>
                <w:sz w:val="18"/>
                <w:szCs w:val="18"/>
                <w:color w:val="auto"/>
              </w:rPr>
            </w:pPr>
          </w:p>
        </w:tc>
        <w:tc>
          <w:tcPr>
            <w:tcW w:w="16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warrants and rights</w:t>
            </w:r>
          </w:p>
        </w:tc>
        <w:tc>
          <w:tcPr>
            <w:tcW w:w="220" w:type="dxa"/>
            <w:vAlign w:val="bottom"/>
            <w:tcBorders>
              <w:bottom w:val="single" w:sz="8" w:color="E6E7E8"/>
            </w:tcBorders>
          </w:tcPr>
          <w:p>
            <w:pPr>
              <w:spacing w:after="0"/>
              <w:rPr>
                <w:sz w:val="18"/>
                <w:szCs w:val="18"/>
                <w:color w:val="auto"/>
              </w:rPr>
            </w:pPr>
          </w:p>
        </w:tc>
        <w:tc>
          <w:tcPr>
            <w:tcW w:w="16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warrants and rights</w:t>
            </w:r>
          </w:p>
        </w:tc>
        <w:tc>
          <w:tcPr>
            <w:tcW w:w="220" w:type="dxa"/>
            <w:vAlign w:val="bottom"/>
            <w:tcBorders>
              <w:bottom w:val="single" w:sz="8" w:color="E6E7E8"/>
            </w:tcBorders>
          </w:tcPr>
          <w:p>
            <w:pPr>
              <w:spacing w:after="0"/>
              <w:rPr>
                <w:sz w:val="18"/>
                <w:szCs w:val="18"/>
                <w:color w:val="auto"/>
              </w:rPr>
            </w:pPr>
          </w:p>
        </w:tc>
        <w:tc>
          <w:tcPr>
            <w:tcW w:w="15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column (a))</w:t>
            </w:r>
          </w:p>
        </w:tc>
        <w:tc>
          <w:tcPr>
            <w:tcW w:w="60" w:type="dxa"/>
            <w:vAlign w:val="bottom"/>
            <w:tcBorders>
              <w:bottom w:val="single" w:sz="8" w:color="E6E7E8"/>
            </w:tcBorders>
          </w:tcPr>
          <w:p>
            <w:pPr>
              <w:spacing w:after="0"/>
              <w:rPr>
                <w:sz w:val="18"/>
                <w:szCs w:val="18"/>
                <w:color w:val="auto"/>
              </w:rPr>
            </w:pPr>
          </w:p>
        </w:tc>
      </w:tr>
      <w:tr>
        <w:trPr>
          <w:trHeight w:val="203"/>
        </w:trPr>
        <w:tc>
          <w:tcPr>
            <w:tcW w:w="2200" w:type="dxa"/>
            <w:vAlign w:val="bottom"/>
            <w:tcBorders>
              <w:top w:val="single" w:sz="8" w:color="E6E7E8"/>
            </w:tcBorders>
            <w:gridSpan w:val="2"/>
            <w:shd w:val="clear" w:color="auto" w:fill="E6E7E8"/>
          </w:tcPr>
          <w:p>
            <w:pPr>
              <w:spacing w:after="0" w:line="204" w:lineRule="exact"/>
              <w:rPr>
                <w:sz w:val="20"/>
                <w:szCs w:val="20"/>
                <w:color w:val="auto"/>
              </w:rPr>
            </w:pPr>
            <w:r>
              <w:rPr>
                <w:rFonts w:ascii="Times New Roman" w:cs="Times New Roman" w:eastAsia="Times New Roman" w:hAnsi="Times New Roman"/>
                <w:sz w:val="19"/>
                <w:szCs w:val="19"/>
                <w:b w:val="1"/>
                <w:bCs w:val="1"/>
                <w:color w:val="231F20"/>
                <w:w w:val="99"/>
              </w:rPr>
              <w:t>Equity compensation plans</w:t>
            </w:r>
          </w:p>
        </w:tc>
        <w:tc>
          <w:tcPr>
            <w:tcW w:w="3300" w:type="dxa"/>
            <w:vAlign w:val="bottom"/>
            <w:tcBorders>
              <w:top w:val="single" w:sz="8" w:color="E6E7E8"/>
            </w:tcBorders>
            <w:gridSpan w:val="2"/>
            <w:shd w:val="clear" w:color="auto" w:fill="E6E7E8"/>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231F20"/>
              </w:rPr>
              <w:t>approved by security holders</w:t>
            </w:r>
            <w:r>
              <w:rPr>
                <w:rFonts w:ascii="Times New Roman" w:cs="Times New Roman" w:eastAsia="Times New Roman" w:hAnsi="Times New Roman"/>
                <w:sz w:val="23"/>
                <w:szCs w:val="23"/>
                <w:b w:val="1"/>
                <w:bCs w:val="1"/>
                <w:color w:val="231F20"/>
                <w:vertAlign w:val="superscript"/>
              </w:rPr>
              <w:t>(1)</w:t>
            </w:r>
          </w:p>
        </w:tc>
        <w:tc>
          <w:tcPr>
            <w:tcW w:w="1620" w:type="dxa"/>
            <w:vAlign w:val="bottom"/>
            <w:tcBorders>
              <w:top w:val="single" w:sz="8" w:color="231F20"/>
            </w:tcBorders>
            <w:shd w:val="clear" w:color="auto" w:fill="E6E7E8"/>
          </w:tcPr>
          <w:p>
            <w:pPr>
              <w:ind w:left="1440"/>
              <w:spacing w:after="0" w:line="204" w:lineRule="exact"/>
              <w:rPr>
                <w:sz w:val="20"/>
                <w:szCs w:val="20"/>
                <w:color w:val="auto"/>
              </w:rPr>
            </w:pPr>
            <w:r>
              <w:rPr>
                <w:rFonts w:ascii="Times New Roman" w:cs="Times New Roman" w:eastAsia="Times New Roman" w:hAnsi="Times New Roman"/>
                <w:sz w:val="19"/>
                <w:szCs w:val="19"/>
                <w:b w:val="1"/>
                <w:bCs w:val="1"/>
                <w:color w:val="231F20"/>
                <w:w w:val="83"/>
              </w:rPr>
              <w:t>—</w:t>
            </w:r>
          </w:p>
        </w:tc>
        <w:tc>
          <w:tcPr>
            <w:tcW w:w="220" w:type="dxa"/>
            <w:vAlign w:val="bottom"/>
            <w:tcBorders>
              <w:top w:val="single" w:sz="8" w:color="E6E7E8"/>
            </w:tcBorders>
            <w:shd w:val="clear" w:color="auto" w:fill="E6E7E8"/>
          </w:tcPr>
          <w:p>
            <w:pPr>
              <w:spacing w:after="0"/>
              <w:rPr>
                <w:sz w:val="17"/>
                <w:szCs w:val="17"/>
                <w:color w:val="auto"/>
              </w:rPr>
            </w:pPr>
          </w:p>
        </w:tc>
        <w:tc>
          <w:tcPr>
            <w:tcW w:w="1620" w:type="dxa"/>
            <w:vAlign w:val="bottom"/>
            <w:tcBorders>
              <w:top w:val="single" w:sz="8" w:color="231F20"/>
            </w:tcBorders>
            <w:shd w:val="clear" w:color="auto" w:fill="E6E7E8"/>
          </w:tcPr>
          <w:p>
            <w:pPr>
              <w:ind w:left="1440"/>
              <w:spacing w:after="0" w:line="204" w:lineRule="exact"/>
              <w:rPr>
                <w:sz w:val="20"/>
                <w:szCs w:val="20"/>
                <w:color w:val="auto"/>
              </w:rPr>
            </w:pPr>
            <w:r>
              <w:rPr>
                <w:rFonts w:ascii="Times New Roman" w:cs="Times New Roman" w:eastAsia="Times New Roman" w:hAnsi="Times New Roman"/>
                <w:sz w:val="19"/>
                <w:szCs w:val="19"/>
                <w:b w:val="1"/>
                <w:bCs w:val="1"/>
                <w:color w:val="231F20"/>
                <w:w w:val="83"/>
              </w:rPr>
              <w:t>—</w:t>
            </w:r>
          </w:p>
        </w:tc>
        <w:tc>
          <w:tcPr>
            <w:tcW w:w="220" w:type="dxa"/>
            <w:vAlign w:val="bottom"/>
            <w:tcBorders>
              <w:top w:val="single" w:sz="8" w:color="E6E7E8"/>
            </w:tcBorders>
            <w:shd w:val="clear" w:color="auto" w:fill="E6E7E8"/>
          </w:tcPr>
          <w:p>
            <w:pPr>
              <w:spacing w:after="0"/>
              <w:rPr>
                <w:sz w:val="17"/>
                <w:szCs w:val="17"/>
                <w:color w:val="auto"/>
              </w:rPr>
            </w:pPr>
          </w:p>
        </w:tc>
        <w:tc>
          <w:tcPr>
            <w:tcW w:w="156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color w:val="231F20"/>
              </w:rPr>
              <w:t>310,433</w:t>
            </w:r>
          </w:p>
        </w:tc>
        <w:tc>
          <w:tcPr>
            <w:tcW w:w="60" w:type="dxa"/>
            <w:vAlign w:val="bottom"/>
            <w:tcBorders>
              <w:top w:val="single" w:sz="8" w:color="E6E7E8"/>
            </w:tcBorders>
            <w:shd w:val="clear" w:color="auto" w:fill="E6E7E8"/>
          </w:tcPr>
          <w:p>
            <w:pPr>
              <w:spacing w:after="0"/>
              <w:rPr>
                <w:sz w:val="17"/>
                <w:szCs w:val="17"/>
                <w:color w:val="auto"/>
              </w:rPr>
            </w:pPr>
          </w:p>
        </w:tc>
      </w:tr>
      <w:tr>
        <w:trPr>
          <w:trHeight w:val="218"/>
        </w:trPr>
        <w:tc>
          <w:tcPr>
            <w:tcW w:w="5500" w:type="dxa"/>
            <w:vAlign w:val="bottom"/>
            <w:tcBorders>
              <w:bottom w:val="single" w:sz="8" w:color="E6E7E8"/>
            </w:tcBorders>
            <w:gridSpan w:val="4"/>
          </w:tcPr>
          <w:p>
            <w:pPr>
              <w:spacing w:after="0"/>
              <w:rPr>
                <w:sz w:val="20"/>
                <w:szCs w:val="20"/>
                <w:color w:val="auto"/>
              </w:rPr>
            </w:pPr>
            <w:r>
              <w:rPr>
                <w:rFonts w:ascii="Times New Roman" w:cs="Times New Roman" w:eastAsia="Times New Roman" w:hAnsi="Times New Roman"/>
                <w:sz w:val="19"/>
                <w:szCs w:val="19"/>
                <w:b w:val="1"/>
                <w:bCs w:val="1"/>
                <w:color w:val="231F20"/>
              </w:rPr>
              <w:t>Equity compensation plans not approved by security holders</w:t>
            </w:r>
          </w:p>
        </w:tc>
        <w:tc>
          <w:tcPr>
            <w:tcW w:w="1620" w:type="dxa"/>
            <w:vAlign w:val="bottom"/>
            <w:tcBorders>
              <w:bottom w:val="single" w:sz="8" w:color="231F20"/>
            </w:tcBorders>
          </w:tcPr>
          <w:p>
            <w:pPr>
              <w:ind w:left="1440"/>
              <w:spacing w:after="0"/>
              <w:rPr>
                <w:sz w:val="20"/>
                <w:szCs w:val="20"/>
                <w:color w:val="auto"/>
              </w:rPr>
            </w:pPr>
            <w:r>
              <w:rPr>
                <w:rFonts w:ascii="Times New Roman" w:cs="Times New Roman" w:eastAsia="Times New Roman" w:hAnsi="Times New Roman"/>
                <w:sz w:val="19"/>
                <w:szCs w:val="19"/>
                <w:b w:val="1"/>
                <w:bCs w:val="1"/>
                <w:color w:val="231F20"/>
                <w:w w:val="83"/>
              </w:rPr>
              <w:t>—</w:t>
            </w:r>
          </w:p>
        </w:tc>
        <w:tc>
          <w:tcPr>
            <w:tcW w:w="220" w:type="dxa"/>
            <w:vAlign w:val="bottom"/>
            <w:tcBorders>
              <w:bottom w:val="single" w:sz="8" w:color="E6E7E8"/>
            </w:tcBorders>
          </w:tcPr>
          <w:p>
            <w:pPr>
              <w:spacing w:after="0"/>
              <w:rPr>
                <w:sz w:val="18"/>
                <w:szCs w:val="18"/>
                <w:color w:val="auto"/>
              </w:rPr>
            </w:pPr>
          </w:p>
        </w:tc>
        <w:tc>
          <w:tcPr>
            <w:tcW w:w="1620" w:type="dxa"/>
            <w:vAlign w:val="bottom"/>
            <w:tcBorders>
              <w:bottom w:val="single" w:sz="8" w:color="231F20"/>
            </w:tcBorders>
          </w:tcPr>
          <w:p>
            <w:pPr>
              <w:ind w:left="1440"/>
              <w:spacing w:after="0"/>
              <w:rPr>
                <w:sz w:val="20"/>
                <w:szCs w:val="20"/>
                <w:color w:val="auto"/>
              </w:rPr>
            </w:pPr>
            <w:r>
              <w:rPr>
                <w:rFonts w:ascii="Times New Roman" w:cs="Times New Roman" w:eastAsia="Times New Roman" w:hAnsi="Times New Roman"/>
                <w:sz w:val="19"/>
                <w:szCs w:val="19"/>
                <w:b w:val="1"/>
                <w:bCs w:val="1"/>
                <w:color w:val="231F20"/>
                <w:w w:val="83"/>
              </w:rPr>
              <w:t>—</w:t>
            </w:r>
          </w:p>
        </w:tc>
        <w:tc>
          <w:tcPr>
            <w:tcW w:w="220" w:type="dxa"/>
            <w:vAlign w:val="bottom"/>
            <w:tcBorders>
              <w:bottom w:val="single" w:sz="8" w:color="E6E7E8"/>
            </w:tcBorders>
          </w:tcPr>
          <w:p>
            <w:pPr>
              <w:spacing w:after="0"/>
              <w:rPr>
                <w:sz w:val="18"/>
                <w:szCs w:val="18"/>
                <w:color w:val="auto"/>
              </w:rPr>
            </w:pPr>
          </w:p>
        </w:tc>
        <w:tc>
          <w:tcPr>
            <w:tcW w:w="15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60" w:type="dxa"/>
            <w:vAlign w:val="bottom"/>
            <w:tcBorders>
              <w:bottom w:val="single" w:sz="8" w:color="E6E7E8"/>
            </w:tcBorders>
          </w:tcPr>
          <w:p>
            <w:pPr>
              <w:spacing w:after="0"/>
              <w:rPr>
                <w:sz w:val="18"/>
                <w:szCs w:val="18"/>
                <w:color w:val="auto"/>
              </w:rPr>
            </w:pPr>
          </w:p>
        </w:tc>
      </w:tr>
      <w:tr>
        <w:trPr>
          <w:trHeight w:val="213"/>
        </w:trPr>
        <w:tc>
          <w:tcPr>
            <w:tcW w:w="5500" w:type="dxa"/>
            <w:vAlign w:val="bottom"/>
            <w:tcBorders>
              <w:bottom w:val="single" w:sz="8" w:color="E6E7E8"/>
            </w:tcBorders>
            <w:gridSpan w:val="4"/>
            <w:shd w:val="clear" w:color="auto" w:fill="E6E7E8"/>
          </w:tcPr>
          <w:p>
            <w:pPr>
              <w:spacing w:after="0" w:line="214" w:lineRule="exact"/>
              <w:rPr>
                <w:sz w:val="20"/>
                <w:szCs w:val="20"/>
                <w:color w:val="auto"/>
              </w:rPr>
            </w:pPr>
            <w:r>
              <w:rPr>
                <w:rFonts w:ascii="Times New Roman" w:cs="Times New Roman" w:eastAsia="Times New Roman" w:hAnsi="Times New Roman"/>
                <w:sz w:val="19"/>
                <w:szCs w:val="19"/>
                <w:b w:val="1"/>
                <w:bCs w:val="1"/>
                <w:color w:val="231F20"/>
              </w:rPr>
              <w:t>Total</w:t>
            </w:r>
          </w:p>
        </w:tc>
        <w:tc>
          <w:tcPr>
            <w:tcW w:w="1620" w:type="dxa"/>
            <w:vAlign w:val="bottom"/>
            <w:tcBorders>
              <w:bottom w:val="single" w:sz="8" w:color="231F20"/>
            </w:tcBorders>
            <w:shd w:val="clear" w:color="auto" w:fill="E6E7E8"/>
          </w:tcPr>
          <w:p>
            <w:pPr>
              <w:ind w:left="1440"/>
              <w:spacing w:after="0" w:line="214" w:lineRule="exact"/>
              <w:rPr>
                <w:sz w:val="20"/>
                <w:szCs w:val="20"/>
                <w:color w:val="auto"/>
              </w:rPr>
            </w:pPr>
            <w:r>
              <w:rPr>
                <w:rFonts w:ascii="Times New Roman" w:cs="Times New Roman" w:eastAsia="Times New Roman" w:hAnsi="Times New Roman"/>
                <w:sz w:val="19"/>
                <w:szCs w:val="19"/>
                <w:color w:val="231F20"/>
                <w:w w:val="83"/>
              </w:rPr>
              <w:t>—</w:t>
            </w:r>
          </w:p>
        </w:tc>
        <w:tc>
          <w:tcPr>
            <w:tcW w:w="220" w:type="dxa"/>
            <w:vAlign w:val="bottom"/>
            <w:tcBorders>
              <w:bottom w:val="single" w:sz="8" w:color="E6E7E8"/>
            </w:tcBorders>
            <w:shd w:val="clear" w:color="auto" w:fill="E6E7E8"/>
          </w:tcPr>
          <w:p>
            <w:pPr>
              <w:spacing w:after="0"/>
              <w:rPr>
                <w:sz w:val="18"/>
                <w:szCs w:val="18"/>
                <w:color w:val="auto"/>
              </w:rPr>
            </w:pPr>
          </w:p>
        </w:tc>
        <w:tc>
          <w:tcPr>
            <w:tcW w:w="1620" w:type="dxa"/>
            <w:vAlign w:val="bottom"/>
            <w:tcBorders>
              <w:bottom w:val="single" w:sz="8" w:color="231F20"/>
            </w:tcBorders>
            <w:shd w:val="clear" w:color="auto" w:fill="E6E7E8"/>
          </w:tcPr>
          <w:p>
            <w:pPr>
              <w:ind w:left="1440"/>
              <w:spacing w:after="0" w:line="214" w:lineRule="exact"/>
              <w:rPr>
                <w:sz w:val="20"/>
                <w:szCs w:val="20"/>
                <w:color w:val="auto"/>
              </w:rPr>
            </w:pPr>
            <w:r>
              <w:rPr>
                <w:rFonts w:ascii="Times New Roman" w:cs="Times New Roman" w:eastAsia="Times New Roman" w:hAnsi="Times New Roman"/>
                <w:sz w:val="19"/>
                <w:szCs w:val="19"/>
                <w:color w:val="231F20"/>
                <w:w w:val="83"/>
              </w:rPr>
              <w:t>—</w:t>
            </w:r>
          </w:p>
        </w:tc>
        <w:tc>
          <w:tcPr>
            <w:tcW w:w="220" w:type="dxa"/>
            <w:vAlign w:val="bottom"/>
            <w:tcBorders>
              <w:bottom w:val="single" w:sz="8" w:color="E6E7E8"/>
            </w:tcBorders>
            <w:shd w:val="clear" w:color="auto" w:fill="E6E7E8"/>
          </w:tcPr>
          <w:p>
            <w:pPr>
              <w:spacing w:after="0"/>
              <w:rPr>
                <w:sz w:val="18"/>
                <w:szCs w:val="18"/>
                <w:color w:val="auto"/>
              </w:rPr>
            </w:pPr>
          </w:p>
        </w:tc>
        <w:tc>
          <w:tcPr>
            <w:tcW w:w="1560" w:type="dxa"/>
            <w:vAlign w:val="bottom"/>
            <w:tcBorders>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310,433</w:t>
            </w:r>
          </w:p>
        </w:tc>
        <w:tc>
          <w:tcPr>
            <w:tcW w:w="60" w:type="dxa"/>
            <w:vAlign w:val="bottom"/>
            <w:tcBorders>
              <w:bottom w:val="single" w:sz="8" w:color="E6E7E8"/>
            </w:tcBorders>
            <w:shd w:val="clear" w:color="auto" w:fill="E6E7E8"/>
          </w:tcPr>
          <w:p>
            <w:pPr>
              <w:spacing w:after="0"/>
              <w:rPr>
                <w:sz w:val="18"/>
                <w:szCs w:val="18"/>
                <w:color w:val="auto"/>
              </w:rPr>
            </w:pPr>
          </w:p>
        </w:tc>
      </w:tr>
      <w:tr>
        <w:trPr>
          <w:trHeight w:val="135"/>
        </w:trPr>
        <w:tc>
          <w:tcPr>
            <w:tcW w:w="1000" w:type="dxa"/>
            <w:vAlign w:val="bottom"/>
            <w:tcBorders>
              <w:bottom w:val="single" w:sz="8" w:color="231F20"/>
            </w:tcBorders>
          </w:tcPr>
          <w:p>
            <w:pPr>
              <w:spacing w:after="0"/>
              <w:rPr>
                <w:sz w:val="11"/>
                <w:szCs w:val="11"/>
                <w:color w:val="auto"/>
              </w:rPr>
            </w:pPr>
          </w:p>
        </w:tc>
        <w:tc>
          <w:tcPr>
            <w:tcW w:w="1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231F20"/>
        </w:rPr>
        <w:t>NOTES: (also see Note 5 (Equity) to the accompanying Consolidated Financial Statements)</w:t>
      </w:r>
    </w:p>
    <w:p>
      <w:pPr>
        <w:spacing w:after="0" w:line="19" w:lineRule="exact"/>
        <w:rPr>
          <w:sz w:val="20"/>
          <w:szCs w:val="20"/>
          <w:color w:val="auto"/>
        </w:rPr>
      </w:pPr>
    </w:p>
    <w:p>
      <w:pPr>
        <w:ind w:left="480" w:right="60" w:hanging="480"/>
        <w:spacing w:after="0" w:line="232" w:lineRule="auto"/>
        <w:tabs>
          <w:tab w:leader="none" w:pos="480" w:val="left"/>
        </w:tabs>
        <w:numPr>
          <w:ilvl w:val="0"/>
          <w:numId w:val="16"/>
        </w:numPr>
        <w:rPr>
          <w:rFonts w:ascii="Times New Roman" w:cs="Times New Roman" w:eastAsia="Times New Roman" w:hAnsi="Times New Roman"/>
          <w:sz w:val="28"/>
          <w:szCs w:val="28"/>
          <w:color w:val="231F20"/>
          <w:vertAlign w:val="superscript"/>
        </w:rPr>
      </w:pPr>
      <w:r>
        <w:rPr>
          <w:rFonts w:ascii="Times New Roman" w:cs="Times New Roman" w:eastAsia="Times New Roman" w:hAnsi="Times New Roman"/>
          <w:sz w:val="21"/>
          <w:szCs w:val="21"/>
          <w:color w:val="231F20"/>
        </w:rPr>
        <w:t>Consists of the Third Amended and Restated 2003 Stock Plan (as amended and restated, the “Plan”). On April 19, 2012, shareholders initially approved the Plan, and a total of 677,500 shares of the Company’s common stock were reserved for issuance pursuant to awards of restricted stock, restricted stock units and common stock under the Plan. On May 1, 2024, shareholders approved an additional 350,000 shares of the Company’s common stock to be reserved for issuance pursuant to awards of restricted stock, restricted stock units and common stock under the Plan. A total of 639,505 shares of restricted stock have been awarded and 66,797 restricted stock units have been settled and issued as shares of common stock by Plan participants through December 31, 2025. As of December 31, 2025, a total of 15,200 shares of restricted stock were forfeited and once again became available for issuance under the Plan.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Stock Performance Graph</w:t>
      </w:r>
    </w:p>
    <w:p>
      <w:pPr>
        <w:spacing w:after="0" w:line="124" w:lineRule="exact"/>
        <w:rPr>
          <w:sz w:val="20"/>
          <w:szCs w:val="20"/>
          <w:color w:val="auto"/>
        </w:rPr>
      </w:pPr>
    </w:p>
    <w:p>
      <w:pPr>
        <w:jc w:val="both"/>
        <w:ind w:right="180" w:firstLine="619"/>
        <w:spacing w:after="0" w:line="253" w:lineRule="auto"/>
        <w:rPr>
          <w:sz w:val="20"/>
          <w:szCs w:val="20"/>
          <w:color w:val="auto"/>
        </w:rPr>
      </w:pPr>
      <w:r>
        <w:rPr>
          <w:rFonts w:ascii="Times New Roman" w:cs="Times New Roman" w:eastAsia="Times New Roman" w:hAnsi="Times New Roman"/>
          <w:sz w:val="21"/>
          <w:szCs w:val="21"/>
          <w:color w:val="231F20"/>
        </w:rPr>
        <w:t>The following graph compares Unitil Corporation’s cumulative stockholder return since December 31, 2020 with the Peer Group index, comprised of the S&amp;P 500 Utilities Index, and the S&amp;P 500 index. The graph assumes that the value of the investment in the Company’s common stock and each index (including reinvestment of dividends) was $100 on December 31, 2020.</w:t>
      </w:r>
    </w:p>
    <w:p>
      <w:pPr>
        <w:sectPr>
          <w:pgSz w:w="12240" w:h="15840" w:orient="portrait"/>
          <w:cols w:equalWidth="0" w:num="1">
            <w:col w:w="10800"/>
          </w:cols>
          <w:pgMar w:left="720" w:top="924" w:right="720" w:bottom="188"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20</w:t>
      </w:r>
    </w:p>
    <w:p>
      <w:pPr>
        <w:sectPr>
          <w:pgSz w:w="12240" w:h="15840" w:orient="portrait"/>
          <w:cols w:equalWidth="0" w:num="1">
            <w:col w:w="10800"/>
          </w:cols>
          <w:pgMar w:left="720" w:top="924" w:right="720" w:bottom="188" w:gutter="0" w:footer="0" w:header="0"/>
          <w:type w:val="continuous"/>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457200</wp:posOffset>
            </wp:positionH>
            <wp:positionV relativeFrom="page">
              <wp:posOffset>593725</wp:posOffset>
            </wp:positionV>
            <wp:extent cx="7260590" cy="525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6">
                      <a:extLst>
                        <a:ext uri="{28A0092B-C50C-407E-A947-70E740481C1C}"/>
                      </a:extLst>
                    </a:blip>
                    <a:srcRect/>
                    <a:stretch>
                      <a:fillRect/>
                    </a:stretch>
                  </pic:blipFill>
                  <pic:spPr bwMode="auto">
                    <a:xfrm>
                      <a:off x="0" y="0"/>
                      <a:ext cx="7260590" cy="525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231F20"/>
        </w:rPr>
        <w:t>NOTE:</w:t>
      </w:r>
    </w:p>
    <w:p>
      <w:pPr>
        <w:spacing w:after="0" w:line="19" w:lineRule="exact"/>
        <w:rPr>
          <w:sz w:val="20"/>
          <w:szCs w:val="20"/>
          <w:color w:val="auto"/>
        </w:rPr>
      </w:pPr>
    </w:p>
    <w:p>
      <w:pPr>
        <w:ind w:left="480" w:hanging="480"/>
        <w:spacing w:after="0" w:line="214" w:lineRule="auto"/>
        <w:tabs>
          <w:tab w:leader="none" w:pos="480" w:val="left"/>
        </w:tabs>
        <w:numPr>
          <w:ilvl w:val="0"/>
          <w:numId w:val="17"/>
        </w:numPr>
        <w:rPr>
          <w:rFonts w:ascii="Times New Roman" w:cs="Times New Roman" w:eastAsia="Times New Roman" w:hAnsi="Times New Roman"/>
          <w:sz w:val="28"/>
          <w:szCs w:val="28"/>
          <w:color w:val="231F20"/>
          <w:vertAlign w:val="superscript"/>
        </w:rPr>
      </w:pPr>
      <w:r>
        <w:rPr>
          <w:rFonts w:ascii="Times New Roman" w:cs="Times New Roman" w:eastAsia="Times New Roman" w:hAnsi="Times New Roman"/>
          <w:sz w:val="21"/>
          <w:szCs w:val="21"/>
          <w:color w:val="231F20"/>
        </w:rPr>
        <w:t>The graph above assumes $100 invested on December 31, 2020, in each category and the reinvestment of all dividends during the five-year period. The Peer Group is comprised of the S&amp;P 500 Utilities Index.</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Unregistered Sales of Equity Securities and Uses of Proceeds</w:t>
      </w:r>
    </w:p>
    <w:p>
      <w:pPr>
        <w:spacing w:after="0" w:line="1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231F20"/>
        </w:rPr>
        <w:t>There were no sales of unregistered equity securities by the Company for the fiscal period ended December 31, 2025.</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Issuer Purchases of Equity Securities</w:t>
      </w:r>
    </w:p>
    <w:p>
      <w:pPr>
        <w:spacing w:after="0" w:line="2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231F20"/>
        </w:rPr>
        <w:t>There were no purchases of equity securities by the Company for the quarter ended December 31, 2025.</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Item 6. Reserved</w:t>
      </w:r>
    </w:p>
    <w:p>
      <w:pPr>
        <w:sectPr>
          <w:pgSz w:w="12240" w:h="15840" w:orient="portrait"/>
          <w:cols w:equalWidth="0" w:num="1">
            <w:col w:w="10480"/>
          </w:cols>
          <w:pgMar w:left="720" w:top="1440" w:right="104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231F20"/>
        </w:rPr>
        <w:t>21</w:t>
      </w:r>
    </w:p>
    <w:p>
      <w:pPr>
        <w:sectPr>
          <w:pgSz w:w="12240" w:h="15840" w:orient="portrait"/>
          <w:cols w:equalWidth="0" w:num="1">
            <w:col w:w="10480"/>
          </w:cols>
          <w:pgMar w:left="720" w:top="1440" w:right="1040" w:bottom="188" w:gutter="0" w:footer="0" w:header="0"/>
          <w:type w:val="continuous"/>
        </w:sectPr>
      </w:pPr>
    </w:p>
    <w:bookmarkStart w:id="41" w:name="page42"/>
    <w:bookmarkEnd w:id="41"/>
    <w:p>
      <w:pPr>
        <w:ind w:right="180"/>
        <w:spacing w:after="0" w:line="263" w:lineRule="auto"/>
        <w:rPr>
          <w:sz w:val="20"/>
          <w:szCs w:val="20"/>
          <w:color w:val="auto"/>
        </w:rPr>
      </w:pPr>
      <w:r>
        <w:rPr>
          <w:rFonts w:ascii="Times New Roman" w:cs="Times New Roman" w:eastAsia="Times New Roman" w:hAnsi="Times New Roman"/>
          <w:sz w:val="21"/>
          <w:szCs w:val="21"/>
          <w:b w:val="1"/>
          <w:bCs w:val="1"/>
          <w:color w:val="231F20"/>
        </w:rPr>
        <w:t>Item 7. Management’s Discussion and Analysis of Financial Condition and Results of Operations (MD&amp;A) (Note references are to the Notes to the Consolidated Financial Statements included in Item 8 of this Annual Report on Form 10-K.)</w:t>
      </w:r>
    </w:p>
    <w:p>
      <w:pPr>
        <w:spacing w:after="0" w:line="59" w:lineRule="exact"/>
        <w:rPr>
          <w:sz w:val="20"/>
          <w:szCs w:val="20"/>
          <w:color w:val="auto"/>
        </w:rPr>
      </w:pPr>
    </w:p>
    <w:p>
      <w:pPr>
        <w:ind w:right="160" w:firstLine="720"/>
        <w:spacing w:after="0" w:line="275" w:lineRule="auto"/>
        <w:rPr>
          <w:sz w:val="20"/>
          <w:szCs w:val="20"/>
          <w:color w:val="auto"/>
        </w:rPr>
      </w:pPr>
      <w:r>
        <w:rPr>
          <w:rFonts w:ascii="Times New Roman" w:cs="Times New Roman" w:eastAsia="Times New Roman" w:hAnsi="Times New Roman"/>
          <w:sz w:val="21"/>
          <w:szCs w:val="21"/>
          <w:i w:val="1"/>
          <w:iCs w:val="1"/>
          <w:color w:val="231F20"/>
        </w:rPr>
        <w:t>You should read the following discussion and analysis together with the consolidated financial statements and related notes included elsewhere herein.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231F20"/>
        </w:rPr>
        <w:t>OVERVIEW</w:t>
      </w:r>
    </w:p>
    <w:p>
      <w:pPr>
        <w:spacing w:after="0" w:line="118" w:lineRule="exact"/>
        <w:rPr>
          <w:sz w:val="20"/>
          <w:szCs w:val="20"/>
          <w:color w:val="auto"/>
        </w:rPr>
      </w:pPr>
    </w:p>
    <w:p>
      <w:pPr>
        <w:ind w:right="20" w:firstLine="612"/>
        <w:spacing w:after="0" w:line="279" w:lineRule="auto"/>
        <w:rPr>
          <w:sz w:val="20"/>
          <w:szCs w:val="20"/>
          <w:color w:val="auto"/>
        </w:rPr>
      </w:pPr>
      <w:r>
        <w:rPr>
          <w:rFonts w:ascii="Times New Roman" w:cs="Times New Roman" w:eastAsia="Times New Roman" w:hAnsi="Times New Roman"/>
          <w:sz w:val="21"/>
          <w:szCs w:val="21"/>
          <w:color w:val="231F20"/>
        </w:rPr>
        <w:t>Unitil is a public utility holding company headquartered in Hampton, New Hampshire. Unitil is subject to regulation as a holding company system by the FERC under the Energy Policy Act of 2005.</w:t>
      </w:r>
    </w:p>
    <w:p>
      <w:pPr>
        <w:spacing w:after="0" w:line="162" w:lineRule="exact"/>
        <w:rPr>
          <w:sz w:val="20"/>
          <w:szCs w:val="20"/>
          <w:color w:val="auto"/>
        </w:rPr>
      </w:pPr>
    </w:p>
    <w:p>
      <w:pPr>
        <w:ind w:right="180" w:firstLine="612"/>
        <w:spacing w:after="0" w:line="259" w:lineRule="auto"/>
        <w:rPr>
          <w:sz w:val="20"/>
          <w:szCs w:val="20"/>
          <w:color w:val="auto"/>
        </w:rPr>
      </w:pPr>
      <w:r>
        <w:rPr>
          <w:rFonts w:ascii="Times New Roman" w:cs="Times New Roman" w:eastAsia="Times New Roman" w:hAnsi="Times New Roman"/>
          <w:sz w:val="21"/>
          <w:szCs w:val="21"/>
          <w:color w:val="231F20"/>
        </w:rPr>
        <w:t>Unitil’s principal business is the local distribution of electricity and natural gas to approximately 215,100 customers throughout its service territory in the states of New Hampshire, Massachusetts and Maine. Unitil is the parent company of five wholly-owned distribution utilities:</w:t>
      </w:r>
    </w:p>
    <w:p>
      <w:pPr>
        <w:spacing w:after="0" w:line="63" w:lineRule="exact"/>
        <w:rPr>
          <w:sz w:val="20"/>
          <w:szCs w:val="20"/>
          <w:color w:val="auto"/>
        </w:rPr>
      </w:pPr>
    </w:p>
    <w:p>
      <w:pPr>
        <w:ind w:left="980" w:right="820" w:hanging="489"/>
        <w:spacing w:after="0" w:line="279" w:lineRule="auto"/>
        <w:tabs>
          <w:tab w:leader="none" w:pos="980" w:val="left"/>
        </w:tabs>
        <w:numPr>
          <w:ilvl w:val="0"/>
          <w:numId w:val="18"/>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color w:val="231F20"/>
        </w:rPr>
        <w:t>Unitil Energy, which provides electric service in the southeastern seacoast and state capital regions of New Hampshire;</w:t>
      </w:r>
    </w:p>
    <w:p>
      <w:pPr>
        <w:spacing w:after="0" w:line="41" w:lineRule="exact"/>
        <w:rPr>
          <w:rFonts w:ascii="Times New Roman" w:cs="Times New Roman" w:eastAsia="Times New Roman" w:hAnsi="Times New Roman"/>
          <w:sz w:val="21"/>
          <w:szCs w:val="21"/>
          <w:color w:val="231F20"/>
        </w:rPr>
      </w:pPr>
    </w:p>
    <w:p>
      <w:pPr>
        <w:ind w:left="980" w:right="760" w:hanging="547"/>
        <w:spacing w:after="0" w:line="279" w:lineRule="auto"/>
        <w:tabs>
          <w:tab w:leader="none" w:pos="980" w:val="left"/>
        </w:tabs>
        <w:numPr>
          <w:ilvl w:val="0"/>
          <w:numId w:val="18"/>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color w:val="231F20"/>
        </w:rPr>
        <w:t>Fitchburg, which provides both electric and natural gas service in the greater Fitchburg area of north central Massachusetts;</w:t>
      </w:r>
    </w:p>
    <w:p>
      <w:pPr>
        <w:spacing w:after="0" w:line="41" w:lineRule="exact"/>
        <w:rPr>
          <w:rFonts w:ascii="Times New Roman" w:cs="Times New Roman" w:eastAsia="Times New Roman" w:hAnsi="Times New Roman"/>
          <w:sz w:val="21"/>
          <w:szCs w:val="21"/>
          <w:color w:val="231F20"/>
        </w:rPr>
      </w:pPr>
    </w:p>
    <w:p>
      <w:pPr>
        <w:ind w:left="980" w:right="120" w:hanging="606"/>
        <w:spacing w:after="0" w:line="279" w:lineRule="auto"/>
        <w:tabs>
          <w:tab w:leader="none" w:pos="980" w:val="left"/>
        </w:tabs>
        <w:numPr>
          <w:ilvl w:val="0"/>
          <w:numId w:val="18"/>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color w:val="231F20"/>
        </w:rPr>
        <w:t>Northern Utilities, which provides natural gas service in southeastern New Hampshire and portions of southern and central Maine, including the city of Portland and the Lewiston-Auburn area;</w:t>
      </w:r>
    </w:p>
    <w:p>
      <w:pPr>
        <w:spacing w:after="0" w:line="41" w:lineRule="exact"/>
        <w:rPr>
          <w:rFonts w:ascii="Times New Roman" w:cs="Times New Roman" w:eastAsia="Times New Roman" w:hAnsi="Times New Roman"/>
          <w:sz w:val="21"/>
          <w:szCs w:val="21"/>
          <w:color w:val="231F20"/>
        </w:rPr>
      </w:pPr>
    </w:p>
    <w:p>
      <w:pPr>
        <w:ind w:left="980" w:hanging="594"/>
        <w:spacing w:after="0"/>
        <w:tabs>
          <w:tab w:leader="none" w:pos="980" w:val="left"/>
        </w:tabs>
        <w:numPr>
          <w:ilvl w:val="0"/>
          <w:numId w:val="18"/>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color w:val="231F20"/>
        </w:rPr>
        <w:t>Bangor, which provides natural gas service in the greater Bangor area of central Maine; and</w:t>
      </w:r>
    </w:p>
    <w:p>
      <w:pPr>
        <w:spacing w:after="0" w:line="120" w:lineRule="exact"/>
        <w:rPr>
          <w:rFonts w:ascii="Times New Roman" w:cs="Times New Roman" w:eastAsia="Times New Roman" w:hAnsi="Times New Roman"/>
          <w:sz w:val="21"/>
          <w:szCs w:val="21"/>
          <w:color w:val="231F20"/>
        </w:rPr>
      </w:pPr>
    </w:p>
    <w:p>
      <w:pPr>
        <w:ind w:left="980" w:right="420" w:hanging="536"/>
        <w:spacing w:after="0" w:line="279" w:lineRule="auto"/>
        <w:tabs>
          <w:tab w:leader="none" w:pos="980" w:val="left"/>
        </w:tabs>
        <w:numPr>
          <w:ilvl w:val="0"/>
          <w:numId w:val="18"/>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color w:val="231F20"/>
        </w:rPr>
        <w:t>Maine Natural, which provides natural gas service in southern and central Maine, including the greater Portland region, as well as the capital city of Augusta.</w:t>
      </w:r>
    </w:p>
    <w:p>
      <w:pPr>
        <w:spacing w:after="0" w:line="162" w:lineRule="exact"/>
        <w:rPr>
          <w:sz w:val="20"/>
          <w:szCs w:val="20"/>
          <w:color w:val="auto"/>
        </w:rPr>
      </w:pPr>
    </w:p>
    <w:p>
      <w:pPr>
        <w:ind w:right="120" w:firstLine="612"/>
        <w:spacing w:after="0" w:line="259" w:lineRule="auto"/>
        <w:rPr>
          <w:sz w:val="20"/>
          <w:szCs w:val="20"/>
          <w:color w:val="auto"/>
        </w:rPr>
      </w:pPr>
      <w:r>
        <w:rPr>
          <w:rFonts w:ascii="Times New Roman" w:cs="Times New Roman" w:eastAsia="Times New Roman" w:hAnsi="Times New Roman"/>
          <w:sz w:val="21"/>
          <w:szCs w:val="21"/>
          <w:color w:val="231F20"/>
        </w:rPr>
        <w:t>Unitil Energy, Fitchburg, Northern Utilities, Bangor and Maine Natural are collectively referred to as the “distribution utilities.” Together, the distribution utilities serve approximately 110,100 electric customers and 105,000 natural gas customers in their service territories. The distribution utilities are local “wires and pipes” operating companies.</w:t>
      </w:r>
    </w:p>
    <w:p>
      <w:pPr>
        <w:spacing w:after="0" w:line="183" w:lineRule="exact"/>
        <w:rPr>
          <w:sz w:val="20"/>
          <w:szCs w:val="20"/>
          <w:color w:val="auto"/>
        </w:rPr>
      </w:pPr>
    </w:p>
    <w:p>
      <w:pPr>
        <w:ind w:right="300" w:firstLine="612"/>
        <w:spacing w:after="0" w:line="253" w:lineRule="auto"/>
        <w:rPr>
          <w:sz w:val="20"/>
          <w:szCs w:val="20"/>
          <w:color w:val="auto"/>
        </w:rPr>
      </w:pPr>
      <w:r>
        <w:rPr>
          <w:rFonts w:ascii="Times New Roman" w:cs="Times New Roman" w:eastAsia="Times New Roman" w:hAnsi="Times New Roman"/>
          <w:sz w:val="21"/>
          <w:szCs w:val="21"/>
          <w:color w:val="231F20"/>
        </w:rPr>
        <w:t>In addition, Unitil is the parent company of Granite State, a natural gas transmission pipeline, regulated by the FERC, operating 85 miles of underground gas transmission pipeline primarily located in Maine and New Hampshire. Granite State provides Northern Utilities with interconnection to three major natural gas pipelines and access to North American pipeline supplies.</w:t>
      </w:r>
    </w:p>
    <w:p>
      <w:pPr>
        <w:spacing w:after="0" w:line="188" w:lineRule="exact"/>
        <w:rPr>
          <w:sz w:val="20"/>
          <w:szCs w:val="20"/>
          <w:color w:val="auto"/>
        </w:rPr>
      </w:pPr>
    </w:p>
    <w:p>
      <w:pPr>
        <w:ind w:firstLine="612"/>
        <w:spacing w:after="0" w:line="249" w:lineRule="auto"/>
        <w:rPr>
          <w:sz w:val="20"/>
          <w:szCs w:val="20"/>
          <w:color w:val="auto"/>
        </w:rPr>
      </w:pPr>
      <w:r>
        <w:rPr>
          <w:rFonts w:ascii="Times New Roman" w:cs="Times New Roman" w:eastAsia="Times New Roman" w:hAnsi="Times New Roman"/>
          <w:sz w:val="21"/>
          <w:szCs w:val="21"/>
          <w:color w:val="231F20"/>
        </w:rPr>
        <w:t>Unitil had an investment in Net Utility Plant of $1.8 billion at December 31, 2025. Unitil’s total revenue was $536.0 million in 2025, which includes revenue to recover the approved cost of purchased electricity and natural gas in rates on a fully reconciling basis. As a result of this reconciling rate structure, the Company’s earnings are not affected by changes in the cost of purchased electricity and natural gas. Earnings from Unitil’s utility operations are derived from the return on investment in the five distribution utilities and Granite State.</w:t>
      </w:r>
    </w:p>
    <w:p>
      <w:pPr>
        <w:spacing w:after="0" w:line="75" w:lineRule="exact"/>
        <w:rPr>
          <w:sz w:val="20"/>
          <w:szCs w:val="20"/>
          <w:color w:val="auto"/>
        </w:rPr>
      </w:pPr>
    </w:p>
    <w:p>
      <w:pPr>
        <w:ind w:right="80" w:firstLine="612"/>
        <w:spacing w:after="0" w:line="247" w:lineRule="auto"/>
        <w:rPr>
          <w:sz w:val="20"/>
          <w:szCs w:val="20"/>
          <w:color w:val="auto"/>
        </w:rPr>
      </w:pPr>
      <w:r>
        <w:rPr>
          <w:rFonts w:ascii="Times New Roman" w:cs="Times New Roman" w:eastAsia="Times New Roman" w:hAnsi="Times New Roman"/>
          <w:sz w:val="21"/>
          <w:szCs w:val="21"/>
          <w:color w:val="231F20"/>
        </w:rPr>
        <w:t>The Company’s other subsidiaries include Unitil Service, which provides, at cost, a variety of administrative and professional services to Unitil’s affiliated companies, Unitil Resources, the Company’s non-regulated subsidiary, which currently does not have any activity, Unitil Realty, which owns and manages the Company’s corporate office in Hampton, New Hampshire and also owns land in Kingston, New Hampshire on which Unitil Energy’s solar facility is located, which became operational in May 2025, and Unitil Water which currently does not have any activity. Unitil’s consolidated net income includes the earnings of the holding company and these subsidiaries.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Regulation</w:t>
      </w:r>
    </w:p>
    <w:p>
      <w:pPr>
        <w:spacing w:after="0" w:line="124" w:lineRule="exact"/>
        <w:rPr>
          <w:sz w:val="20"/>
          <w:szCs w:val="20"/>
          <w:color w:val="auto"/>
        </w:rPr>
      </w:pPr>
    </w:p>
    <w:p>
      <w:pPr>
        <w:ind w:right="80" w:firstLine="612"/>
        <w:spacing w:after="0" w:line="265" w:lineRule="auto"/>
        <w:rPr>
          <w:sz w:val="20"/>
          <w:szCs w:val="20"/>
          <w:color w:val="auto"/>
        </w:rPr>
      </w:pPr>
      <w:r>
        <w:rPr>
          <w:rFonts w:ascii="Times New Roman" w:cs="Times New Roman" w:eastAsia="Times New Roman" w:hAnsi="Times New Roman"/>
          <w:sz w:val="20"/>
          <w:szCs w:val="20"/>
          <w:color w:val="231F20"/>
        </w:rPr>
        <w:t>Unitil is subject to comprehensive regulation by federal and state regulatory authorities. Unitil and its subsidiaries are subject to regulation as a holding company system by the FERC under the Energy Policy Act of 2005 with regard to certain bookkeeping, accounting and reporting requirements. Unitil’s utility operations related to wholesale and interstate energy business activities are also regulated by the FERC. Unitil’s distribution utilities are subject to regulation by the applicable state public utility commissions, with regard to their rates, issuance of securities and other accounting and operational matters: Unitil</w:t>
      </w:r>
    </w:p>
    <w:p>
      <w:pPr>
        <w:sectPr>
          <w:pgSz w:w="12240" w:h="15840" w:orient="portrait"/>
          <w:cols w:equalWidth="0" w:num="1">
            <w:col w:w="10800"/>
          </w:cols>
          <w:pgMar w:left="720" w:top="925" w:right="720" w:bottom="188" w:gutter="0" w:footer="0" w:header="0"/>
        </w:sect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22</w:t>
      </w:r>
    </w:p>
    <w:p>
      <w:pPr>
        <w:sectPr>
          <w:pgSz w:w="12240" w:h="15840" w:orient="portrait"/>
          <w:cols w:equalWidth="0" w:num="1">
            <w:col w:w="10800"/>
          </w:cols>
          <w:pgMar w:left="720" w:top="925" w:right="720" w:bottom="188" w:gutter="0" w:footer="0" w:header="0"/>
          <w:type w:val="continuous"/>
        </w:sectPr>
      </w:pPr>
    </w:p>
    <w:bookmarkStart w:id="42" w:name="page43"/>
    <w:bookmarkEnd w:id="42"/>
    <w:p>
      <w:pPr>
        <w:ind w:right="20"/>
        <w:spacing w:after="0" w:line="249" w:lineRule="auto"/>
        <w:rPr>
          <w:sz w:val="20"/>
          <w:szCs w:val="20"/>
          <w:color w:val="auto"/>
        </w:rPr>
      </w:pPr>
      <w:r>
        <w:rPr>
          <w:rFonts w:ascii="Times New Roman" w:cs="Times New Roman" w:eastAsia="Times New Roman" w:hAnsi="Times New Roman"/>
          <w:sz w:val="21"/>
          <w:szCs w:val="21"/>
          <w:color w:val="231F20"/>
        </w:rPr>
        <w:t>Energy is subject to regulation by the NHPUC; Fitchburg is subject to regulation by the MDPU; Northern Utilities is regulated by the NHPUC and MPUC; and Bangor and Maine Natural are regulated by the MPUC. Granite State, Unitil’s interstate natural gas transmission pipeline, is subject to regulation by the FERC with regard to its rates and operations. Because Unitil’s primary operations are subject to rate regulation, the regulatory treatment of various matters could significantly affect the Company’s operations, financial position, and cash flows.</w:t>
      </w:r>
    </w:p>
    <w:p>
      <w:pPr>
        <w:spacing w:after="0" w:line="195" w:lineRule="exact"/>
        <w:rPr>
          <w:sz w:val="20"/>
          <w:szCs w:val="20"/>
          <w:color w:val="auto"/>
        </w:rPr>
      </w:pPr>
    </w:p>
    <w:p>
      <w:pPr>
        <w:ind w:firstLine="612"/>
        <w:spacing w:after="0" w:line="244" w:lineRule="auto"/>
        <w:rPr>
          <w:sz w:val="20"/>
          <w:szCs w:val="20"/>
          <w:color w:val="auto"/>
        </w:rPr>
      </w:pPr>
      <w:r>
        <w:rPr>
          <w:rFonts w:ascii="Times New Roman" w:cs="Times New Roman" w:eastAsia="Times New Roman" w:hAnsi="Times New Roman"/>
          <w:sz w:val="21"/>
          <w:szCs w:val="21"/>
          <w:color w:val="231F20"/>
        </w:rPr>
        <w:t>Unitil Energy, Fitchburg, Northern Utilities and Maine Natural’s non-Augusta service area deliver electricity and/or natural gas to all customers in their service territories, at rates established under traditional cost of service regulation. Under this regulatory structure, Unitil’s distribution utilities are provided the opportunity to recover the cost of providing distribution service to their customers based on a historical or forward test year, and earn a return on their capital investment in utility assets. In addition, the Company’s distribution utilities and its natural gas transmission pipeline company also may recover certain base rate costs, including capital project spending and enhanced reliability and vegetation management programs, through annual step adjustments and cost tracker rate mechanisms. Bangor and Maine Natural’s Augusta Service Area deliver natural gas customers at rates established under alternative rate plans, which provide multi-year rate changes designed to approximate market-based rates.</w:t>
      </w:r>
    </w:p>
    <w:p>
      <w:pPr>
        <w:spacing w:after="0" w:line="204" w:lineRule="exact"/>
        <w:rPr>
          <w:sz w:val="20"/>
          <w:szCs w:val="20"/>
          <w:color w:val="auto"/>
        </w:rPr>
      </w:pPr>
    </w:p>
    <w:p>
      <w:pPr>
        <w:ind w:right="60" w:firstLine="612"/>
        <w:spacing w:after="0" w:line="249" w:lineRule="auto"/>
        <w:rPr>
          <w:sz w:val="20"/>
          <w:szCs w:val="20"/>
          <w:color w:val="auto"/>
        </w:rPr>
      </w:pPr>
      <w:r>
        <w:rPr>
          <w:rFonts w:ascii="Times New Roman" w:cs="Times New Roman" w:eastAsia="Times New Roman" w:hAnsi="Times New Roman"/>
          <w:sz w:val="21"/>
          <w:szCs w:val="21"/>
          <w:color w:val="231F20"/>
        </w:rPr>
        <w:t>Most of Unitil’s customers have the opportunity to purchase their electricity or natural gas supplies from third -party energy suppliers. For customers that choose not to participate in the third-party energy supplier market, Unitil acts as a provider of last resort. Unitil’s distribution utilities purchase electricity or natural gas from unaffiliated wholesale energy suppliers and recover the actual approved costs of these supplies on a pass-through basis, through reconciling rate mechanisms that are periodically adjusted.</w:t>
      </w:r>
    </w:p>
    <w:p>
      <w:pPr>
        <w:spacing w:after="0" w:line="231"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21"/>
          <w:szCs w:val="21"/>
          <w:color w:val="231F20"/>
        </w:rPr>
        <w:t>The Company’s electric and gas sales in Massachusetts and New Hampshire are decoupled. Revenue decoupling is the term given to the elimination of the dependency of a utility’s distribution revenue on the volume of electricity or gas sales. The difference between distribution revenue amounts billed to customers and the targeted revenue decoupling amounts is recognized as an increase or a decrease in Accrued Revenue, which forms the basis for resetting rates for future cash recoveries from, or credits to, customers. These revenue decoupling targets may be adjusted as a result of rate cases and other authorized adjustments that the Company files with the MDPU and NHPUC.</w:t>
      </w:r>
    </w:p>
    <w:p>
      <w:pPr>
        <w:spacing w:after="0" w:line="234" w:lineRule="exact"/>
        <w:rPr>
          <w:sz w:val="20"/>
          <w:szCs w:val="20"/>
          <w:color w:val="auto"/>
        </w:rPr>
      </w:pPr>
    </w:p>
    <w:p>
      <w:pPr>
        <w:ind w:right="800" w:firstLine="612"/>
        <w:spacing w:after="0" w:line="279" w:lineRule="auto"/>
        <w:rPr>
          <w:sz w:val="20"/>
          <w:szCs w:val="20"/>
          <w:color w:val="auto"/>
        </w:rPr>
      </w:pPr>
      <w:r>
        <w:rPr>
          <w:rFonts w:ascii="Times New Roman" w:cs="Times New Roman" w:eastAsia="Times New Roman" w:hAnsi="Times New Roman"/>
          <w:sz w:val="21"/>
          <w:szCs w:val="21"/>
          <w:color w:val="231F20"/>
        </w:rPr>
        <w:t xml:space="preserve">Also see </w:t>
      </w:r>
      <w:r>
        <w:rPr>
          <w:rFonts w:ascii="Times New Roman" w:cs="Times New Roman" w:eastAsia="Times New Roman" w:hAnsi="Times New Roman"/>
          <w:sz w:val="21"/>
          <w:szCs w:val="21"/>
          <w:i w:val="1"/>
          <w:iCs w:val="1"/>
          <w:color w:val="231F20"/>
        </w:rPr>
        <w:t>Regulatory Matters</w:t>
      </w:r>
      <w:r>
        <w:rPr>
          <w:rFonts w:ascii="Times New Roman" w:cs="Times New Roman" w:eastAsia="Times New Roman" w:hAnsi="Times New Roman"/>
          <w:sz w:val="21"/>
          <w:szCs w:val="21"/>
          <w:color w:val="231F20"/>
        </w:rPr>
        <w:t xml:space="preserve"> in this section and Note 8 (Commitments and Contingencies) to the accompanying Consolidated Financial Statements for additional information on rates and regulation.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231F20"/>
        </w:rPr>
        <w:t>RESULTS OF OPERATIONS</w:t>
      </w:r>
    </w:p>
    <w:p>
      <w:pPr>
        <w:spacing w:after="0" w:line="136" w:lineRule="exact"/>
        <w:rPr>
          <w:sz w:val="20"/>
          <w:szCs w:val="20"/>
          <w:color w:val="auto"/>
        </w:rPr>
      </w:pPr>
    </w:p>
    <w:p>
      <w:pPr>
        <w:jc w:val="both"/>
        <w:ind w:right="200" w:firstLine="619"/>
        <w:spacing w:after="0" w:line="259" w:lineRule="auto"/>
        <w:rPr>
          <w:sz w:val="20"/>
          <w:szCs w:val="20"/>
          <w:color w:val="auto"/>
        </w:rPr>
      </w:pPr>
      <w:r>
        <w:rPr>
          <w:rFonts w:ascii="Times New Roman" w:cs="Times New Roman" w:eastAsia="Times New Roman" w:hAnsi="Times New Roman"/>
          <w:sz w:val="21"/>
          <w:szCs w:val="21"/>
          <w:color w:val="231F20"/>
        </w:rPr>
        <w:t>The following discussion of the Company’s financial condition and results of operations should be read in conjunction with the accompanying Consolidated Financial Statements and the accompanying Notes to Consolidated Financial Statements included in Part II, Item 8 of this report.</w:t>
      </w:r>
    </w:p>
    <w:p>
      <w:pPr>
        <w:spacing w:after="0" w:line="219" w:lineRule="exact"/>
        <w:rPr>
          <w:sz w:val="20"/>
          <w:szCs w:val="20"/>
          <w:color w:val="auto"/>
        </w:rPr>
      </w:pPr>
    </w:p>
    <w:p>
      <w:pPr>
        <w:ind w:right="160" w:firstLine="619"/>
        <w:spacing w:after="0" w:line="247" w:lineRule="auto"/>
        <w:rPr>
          <w:sz w:val="20"/>
          <w:szCs w:val="20"/>
          <w:color w:val="auto"/>
        </w:rPr>
      </w:pPr>
      <w:r>
        <w:rPr>
          <w:rFonts w:ascii="Times New Roman" w:cs="Times New Roman" w:eastAsia="Times New Roman" w:hAnsi="Times New Roman"/>
          <w:sz w:val="21"/>
          <w:szCs w:val="21"/>
          <w:color w:val="231F20"/>
        </w:rPr>
        <w:t>The Company’s results of operations are expected to reflect the seasonal nature of the natural gas business. Annual gas revenues are substantially realized during the colder weather seasons of the year as a result of higher sales of natural gas used for heating-related purposes. Accordingly, the results of operations are historically most favorable in the first and fourth quarters. Fluctuations in seasonal weather conditions may have a significant effect on the result of operations. Sales of electricity are generally less sensitive to weather than natural gas sales, but may also be affected by weather conditions and the temperature in the winter and summer seasons.</w:t>
      </w:r>
    </w:p>
    <w:p>
      <w:pPr>
        <w:sectPr>
          <w:pgSz w:w="12240" w:h="15840" w:orient="portrait"/>
          <w:cols w:equalWidth="0" w:num="1">
            <w:col w:w="10800"/>
          </w:cols>
          <w:pgMar w:left="720" w:top="929" w:right="72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23</w:t>
      </w:r>
    </w:p>
    <w:p>
      <w:pPr>
        <w:sectPr>
          <w:pgSz w:w="12240" w:h="15840" w:orient="portrait"/>
          <w:cols w:equalWidth="0" w:num="1">
            <w:col w:w="10800"/>
          </w:cols>
          <w:pgMar w:left="720" w:top="929" w:right="720" w:bottom="188"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1"/>
          <w:szCs w:val="21"/>
          <w:b w:val="1"/>
          <w:bCs w:val="1"/>
          <w:color w:val="231F20"/>
        </w:rPr>
        <w:t>Use of GAAP and Non-GAAP Financial Measures</w:t>
      </w:r>
    </w:p>
    <w:p>
      <w:pPr>
        <w:spacing w:after="0" w:line="236"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20"/>
          <w:szCs w:val="20"/>
          <w:color w:val="231F20"/>
        </w:rPr>
        <w:t>The MD&amp;A includes financial information prepared in accordance with generally accepted accounting principles in the United States (GAAP), as well as certain non-GAAP financial measures. The Company's management believes that the non-GAAP presentations of earnings and Earnings Per Share (EPS) and Electric and Gas Adjusted Gross Margins are a more meaningful representation of the Company's financial performance and provide additional and useful information to readers of this report in analyzing the historical and future performance of the business. The non-GAAP financial measures should be viewed as a supplement to, and not a substitute for, financial measures presented in accordance with GAAP. Non-GAAP measures as presented herein may not be comparable to similarly titled measures used by other companies.</w:t>
      </w:r>
    </w:p>
    <w:p>
      <w:pPr>
        <w:spacing w:after="0" w:line="200"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0"/>
          <w:szCs w:val="20"/>
          <w:color w:val="231F20"/>
        </w:rPr>
        <w:t>The Company's earnings discussion includes Adjusted Net Income, a non-GAAP financial measure referencing the Company’s 2025 GAAP Net Income adjusted for certain transaction costs related to the Company's acquisitions of Bangor Natural Gas Company (transaction closed on January 31, 2025), Maine Natural Gas Corporation (transaction closed on October 31, 2025), Aquarion Water Company of Massachusetts, Inc., Aquarion Water Company of New Hampshire, Inc., and Abenaki Water Co., Inc. (the Aquarion Companies) (pending certain regulatory approvals and satisfaction of closing conditions). The Company's management believes that the transaction costs related to the acquisitions of Bangor, Maine Natural and the Aquarion Companies, which are included in Operation and Maintenance expense on the Consolidated Statements of Earnings, are not indicative of the Company's ongoing costs and not directly related to the ongoing operations of the business and therefore are not an indicator of baseline operating performance.</w:t>
      </w:r>
    </w:p>
    <w:p>
      <w:pPr>
        <w:spacing w:after="0" w:line="196" w:lineRule="exact"/>
        <w:rPr>
          <w:sz w:val="20"/>
          <w:szCs w:val="20"/>
          <w:color w:val="auto"/>
        </w:rPr>
      </w:pPr>
    </w:p>
    <w:p>
      <w:pPr>
        <w:ind w:right="140" w:firstLine="720"/>
        <w:spacing w:after="0" w:line="277" w:lineRule="auto"/>
        <w:rPr>
          <w:sz w:val="20"/>
          <w:szCs w:val="20"/>
          <w:color w:val="auto"/>
        </w:rPr>
      </w:pPr>
      <w:r>
        <w:rPr>
          <w:rFonts w:ascii="Times New Roman" w:cs="Times New Roman" w:eastAsia="Times New Roman" w:hAnsi="Times New Roman"/>
          <w:sz w:val="20"/>
          <w:szCs w:val="20"/>
          <w:color w:val="231F20"/>
        </w:rPr>
        <w:t>In the following tables the Company has reconciled Adjusted Net Income to GAAP Net Income, which we believe to be the most comparable GAAP financial measure.</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231F20"/>
        </w:rPr>
        <w:t>(Millions,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-1270</wp:posOffset>
            </wp:positionV>
            <wp:extent cx="619125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7">
                      <a:extLst>
                        <a:ext uri="{28A0092B-C50C-407E-A947-70E740481C1C}"/>
                      </a:extLst>
                    </a:blip>
                    <a:srcRect/>
                    <a:stretch>
                      <a:fillRect/>
                    </a:stretch>
                  </pic:blipFill>
                  <pic:spPr bwMode="auto">
                    <a:xfrm>
                      <a:off x="0" y="0"/>
                      <a:ext cx="6191250" cy="38100"/>
                    </a:xfrm>
                    <a:prstGeom prst="rect">
                      <a:avLst/>
                    </a:prstGeom>
                    <a:noFill/>
                  </pic:spPr>
                </pic:pic>
              </a:graphicData>
            </a:graphic>
          </wp:anchor>
        </w:drawing>
      </w:r>
    </w:p>
    <w:p>
      <w:pPr>
        <w:spacing w:after="0" w:line="1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6"/>
          <w:szCs w:val="16"/>
          <w:b w:val="1"/>
          <w:bCs w:val="1"/>
          <w:color w:val="231F20"/>
        </w:rPr>
        <w:t>Twelve Months Ended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4540250</wp:posOffset>
                </wp:positionH>
                <wp:positionV relativeFrom="paragraph">
                  <wp:posOffset>12065</wp:posOffset>
                </wp:positionV>
                <wp:extent cx="197485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485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7.5pt,0.95pt" to="513pt,0.95pt" o:allowincell="f" strokecolor="#231F20" strokeweight="0.75pt"/>
            </w:pict>
          </mc:Fallback>
        </mc:AlternateContent>
      </w:r>
    </w:p>
    <w:p>
      <w:pPr>
        <w:spacing w:after="0" w:line="9" w:lineRule="exact"/>
        <w:rPr>
          <w:sz w:val="20"/>
          <w:szCs w:val="20"/>
          <w:color w:val="auto"/>
        </w:rPr>
      </w:pPr>
    </w:p>
    <w:p>
      <w:pPr>
        <w:ind w:left="7560"/>
        <w:spacing w:after="0"/>
        <w:tabs>
          <w:tab w:leader="none" w:pos="9120" w:val="left"/>
        </w:tabs>
        <w:rPr>
          <w:sz w:val="20"/>
          <w:szCs w:val="20"/>
          <w:color w:val="auto"/>
        </w:rPr>
      </w:pPr>
      <w:r>
        <w:rPr>
          <w:rFonts w:ascii="Times New Roman" w:cs="Times New Roman" w:eastAsia="Times New Roman" w:hAnsi="Times New Roman"/>
          <w:sz w:val="16"/>
          <w:szCs w:val="16"/>
          <w:b w:val="1"/>
          <w:bCs w:val="1"/>
          <w:color w:val="231F20"/>
        </w:rPr>
        <w:t>Amount</w:t>
      </w:r>
      <w:r>
        <w:rPr>
          <w:sz w:val="20"/>
          <w:szCs w:val="20"/>
          <w:color w:val="auto"/>
        </w:rPr>
        <w:tab/>
      </w:r>
      <w:r>
        <w:rPr>
          <w:rFonts w:ascii="Times New Roman" w:cs="Times New Roman" w:eastAsia="Times New Roman" w:hAnsi="Times New Roman"/>
          <w:sz w:val="16"/>
          <w:szCs w:val="16"/>
          <w:b w:val="1"/>
          <w:bCs w:val="1"/>
          <w:color w:val="231F20"/>
        </w:rPr>
        <w:t>Per Share</w:t>
      </w:r>
    </w:p>
    <w:p>
      <w:pPr>
        <w:spacing w:after="0" w:line="12" w:lineRule="exact"/>
        <w:rPr>
          <w:sz w:val="20"/>
          <w:szCs w:val="20"/>
          <w:color w:val="auto"/>
        </w:rPr>
      </w:pPr>
    </w:p>
    <w:tbl>
      <w:tblPr>
        <w:tblLayout w:type="fixed"/>
        <w:tblInd w:w="540" w:type="dxa"/>
        <w:tblCellMar>
          <w:top w:w="0" w:type="dxa"/>
          <w:left w:w="0" w:type="dxa"/>
          <w:bottom w:w="0" w:type="dxa"/>
          <w:right w:w="0" w:type="dxa"/>
        </w:tblCellMar>
      </w:tblPr>
      <w:tr>
        <w:trPr>
          <w:trHeight w:val="239"/>
        </w:trPr>
        <w:tc>
          <w:tcPr>
            <w:tcW w:w="6620" w:type="dxa"/>
            <w:vAlign w:val="bottom"/>
            <w:tcBorders>
              <w:top w:val="single" w:sz="8" w:color="E6E7E8"/>
            </w:tcBorders>
            <w:shd w:val="clear" w:color="auto" w:fill="E6E7E8"/>
          </w:tcPr>
          <w:p>
            <w:pPr>
              <w:spacing w:after="0"/>
              <w:rPr>
                <w:sz w:val="20"/>
                <w:szCs w:val="20"/>
                <w:color w:val="auto"/>
              </w:rPr>
            </w:pPr>
            <w:r>
              <w:rPr>
                <w:rFonts w:ascii="Times New Roman" w:cs="Times New Roman" w:eastAsia="Times New Roman" w:hAnsi="Times New Roman"/>
                <w:sz w:val="20"/>
                <w:szCs w:val="20"/>
                <w:color w:val="231F20"/>
              </w:rPr>
              <w:t>GAAP Net Income</w:t>
            </w:r>
          </w:p>
        </w:tc>
        <w:tc>
          <w:tcPr>
            <w:tcW w:w="1000" w:type="dxa"/>
            <w:vAlign w:val="bottom"/>
            <w:tcBorders>
              <w:top w:val="single" w:sz="8" w:color="231F20"/>
            </w:tcBorders>
            <w:shd w:val="clear" w:color="auto" w:fill="E6E7E8"/>
          </w:tcPr>
          <w:p>
            <w:pPr>
              <w:jc w:val="right"/>
              <w:ind w:right="808"/>
              <w:spacing w:after="0"/>
              <w:rPr>
                <w:sz w:val="20"/>
                <w:szCs w:val="20"/>
                <w:color w:val="auto"/>
              </w:rPr>
            </w:pPr>
            <w:r>
              <w:rPr>
                <w:rFonts w:ascii="Times New Roman" w:cs="Times New Roman" w:eastAsia="Times New Roman" w:hAnsi="Times New Roman"/>
                <w:sz w:val="20"/>
                <w:szCs w:val="20"/>
                <w:color w:val="231F20"/>
                <w:w w:val="79"/>
              </w:rPr>
              <w:t>$</w:t>
            </w:r>
          </w:p>
        </w:tc>
        <w:tc>
          <w:tcPr>
            <w:tcW w:w="48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50.2</w:t>
            </w:r>
          </w:p>
        </w:tc>
        <w:tc>
          <w:tcPr>
            <w:tcW w:w="160" w:type="dxa"/>
            <w:vAlign w:val="bottom"/>
            <w:tcBorders>
              <w:top w:val="single" w:sz="8" w:color="E6E7E8"/>
            </w:tcBorders>
            <w:shd w:val="clear" w:color="auto" w:fill="E6E7E8"/>
          </w:tcPr>
          <w:p>
            <w:pPr>
              <w:spacing w:after="0"/>
              <w:rPr>
                <w:sz w:val="20"/>
                <w:szCs w:val="20"/>
                <w:color w:val="auto"/>
              </w:rPr>
            </w:pPr>
          </w:p>
        </w:tc>
        <w:tc>
          <w:tcPr>
            <w:tcW w:w="220" w:type="dxa"/>
            <w:vAlign w:val="bottom"/>
            <w:tcBorders>
              <w:top w:val="single" w:sz="8" w:color="231F20"/>
            </w:tcBorders>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124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2.97</w:t>
            </w:r>
          </w:p>
        </w:tc>
      </w:tr>
      <w:tr>
        <w:trPr>
          <w:trHeight w:val="244"/>
        </w:trPr>
        <w:tc>
          <w:tcPr>
            <w:tcW w:w="6620" w:type="dxa"/>
            <w:vAlign w:val="bottom"/>
            <w:tcBorders>
              <w:bottom w:val="single" w:sz="8" w:color="E6E7E8"/>
            </w:tcBorders>
          </w:tcPr>
          <w:p>
            <w:pPr>
              <w:spacing w:after="0"/>
              <w:rPr>
                <w:sz w:val="20"/>
                <w:szCs w:val="20"/>
                <w:color w:val="auto"/>
              </w:rPr>
            </w:pPr>
            <w:r>
              <w:rPr>
                <w:rFonts w:ascii="Times New Roman" w:cs="Times New Roman" w:eastAsia="Times New Roman" w:hAnsi="Times New Roman"/>
                <w:sz w:val="20"/>
                <w:szCs w:val="20"/>
                <w:color w:val="231F20"/>
              </w:rPr>
              <w:t>Transaction Costs</w:t>
            </w:r>
          </w:p>
        </w:tc>
        <w:tc>
          <w:tcPr>
            <w:tcW w:w="1000" w:type="dxa"/>
            <w:vAlign w:val="bottom"/>
            <w:tcBorders>
              <w:bottom w:val="single" w:sz="8" w:color="231F20"/>
            </w:tcBorders>
          </w:tcPr>
          <w:p>
            <w:pPr>
              <w:spacing w:after="0"/>
              <w:rPr>
                <w:sz w:val="21"/>
                <w:szCs w:val="21"/>
                <w:color w:val="auto"/>
              </w:rPr>
            </w:pPr>
          </w:p>
        </w:tc>
        <w:tc>
          <w:tcPr>
            <w:tcW w:w="4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3.1</w:t>
            </w:r>
          </w:p>
        </w:tc>
        <w:tc>
          <w:tcPr>
            <w:tcW w:w="160" w:type="dxa"/>
            <w:vAlign w:val="bottom"/>
            <w:tcBorders>
              <w:bottom w:val="single" w:sz="8" w:color="E6E7E8"/>
            </w:tcBorders>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1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0.19</w:t>
            </w:r>
          </w:p>
        </w:tc>
      </w:tr>
      <w:tr>
        <w:trPr>
          <w:trHeight w:val="239"/>
        </w:trPr>
        <w:tc>
          <w:tcPr>
            <w:tcW w:w="662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Adjusted Net Income</w:t>
            </w:r>
          </w:p>
        </w:tc>
        <w:tc>
          <w:tcPr>
            <w:tcW w:w="1000" w:type="dxa"/>
            <w:vAlign w:val="bottom"/>
            <w:tcBorders>
              <w:bottom w:val="single" w:sz="8" w:color="231F20"/>
            </w:tcBorders>
            <w:shd w:val="clear" w:color="auto" w:fill="E6E7E8"/>
          </w:tcPr>
          <w:p>
            <w:pPr>
              <w:jc w:val="right"/>
              <w:ind w:right="808"/>
              <w:spacing w:after="0"/>
              <w:rPr>
                <w:sz w:val="20"/>
                <w:szCs w:val="20"/>
                <w:color w:val="auto"/>
              </w:rPr>
            </w:pPr>
            <w:r>
              <w:rPr>
                <w:rFonts w:ascii="Times New Roman" w:cs="Times New Roman" w:eastAsia="Times New Roman" w:hAnsi="Times New Roman"/>
                <w:sz w:val="20"/>
                <w:szCs w:val="20"/>
                <w:color w:val="231F20"/>
                <w:w w:val="79"/>
              </w:rPr>
              <w:t>$</w:t>
            </w:r>
          </w:p>
        </w:tc>
        <w:tc>
          <w:tcPr>
            <w:tcW w:w="48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53.3</w:t>
            </w:r>
          </w:p>
        </w:tc>
        <w:tc>
          <w:tcPr>
            <w:tcW w:w="160" w:type="dxa"/>
            <w:vAlign w:val="bottom"/>
            <w:shd w:val="clear" w:color="auto" w:fill="E6E7E8"/>
          </w:tcPr>
          <w:p>
            <w:pPr>
              <w:spacing w:after="0"/>
              <w:rPr>
                <w:sz w:val="20"/>
                <w:szCs w:val="20"/>
                <w:color w:val="auto"/>
              </w:rPr>
            </w:pPr>
          </w:p>
        </w:tc>
        <w:tc>
          <w:tcPr>
            <w:tcW w:w="220" w:type="dxa"/>
            <w:vAlign w:val="bottom"/>
            <w:tcBorders>
              <w:bottom w:val="single" w:sz="8" w:color="231F20"/>
            </w:tcBorders>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124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3.16</w:t>
            </w:r>
          </w:p>
        </w:tc>
      </w:tr>
      <w:tr>
        <w:trPr>
          <w:trHeight w:val="20"/>
        </w:trPr>
        <w:tc>
          <w:tcPr>
            <w:tcW w:w="6620" w:type="dxa"/>
            <w:vAlign w:val="bottom"/>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r>
      <w:tr>
        <w:trPr>
          <w:trHeight w:val="268"/>
        </w:trPr>
        <w:tc>
          <w:tcPr>
            <w:tcW w:w="6620" w:type="dxa"/>
            <w:vAlign w:val="bottom"/>
          </w:tcPr>
          <w:p>
            <w:pPr>
              <w:spacing w:after="0"/>
              <w:rPr>
                <w:sz w:val="23"/>
                <w:szCs w:val="23"/>
                <w:color w:val="auto"/>
              </w:rPr>
            </w:pPr>
          </w:p>
        </w:tc>
        <w:tc>
          <w:tcPr>
            <w:tcW w:w="1000" w:type="dxa"/>
            <w:vAlign w:val="bottom"/>
            <w:tcBorders>
              <w:bottom w:val="single" w:sz="8" w:color="231F20"/>
            </w:tcBorders>
          </w:tcPr>
          <w:p>
            <w:pPr>
              <w:spacing w:after="0"/>
              <w:rPr>
                <w:sz w:val="23"/>
                <w:szCs w:val="23"/>
                <w:color w:val="auto"/>
              </w:rPr>
            </w:pPr>
          </w:p>
        </w:tc>
        <w:tc>
          <w:tcPr>
            <w:tcW w:w="480" w:type="dxa"/>
            <w:vAlign w:val="bottom"/>
            <w:tcBorders>
              <w:bottom w:val="single" w:sz="8" w:color="231F20"/>
            </w:tcBorders>
          </w:tcPr>
          <w:p>
            <w:pPr>
              <w:spacing w:after="0"/>
              <w:rPr>
                <w:sz w:val="23"/>
                <w:szCs w:val="23"/>
                <w:color w:val="auto"/>
              </w:rPr>
            </w:pPr>
          </w:p>
        </w:tc>
        <w:tc>
          <w:tcPr>
            <w:tcW w:w="160" w:type="dxa"/>
            <w:vAlign w:val="bottom"/>
            <w:tcBorders>
              <w:bottom w:val="single" w:sz="8" w:color="231F20"/>
            </w:tcBorders>
          </w:tcPr>
          <w:p>
            <w:pPr>
              <w:spacing w:after="0"/>
              <w:rPr>
                <w:sz w:val="23"/>
                <w:szCs w:val="23"/>
                <w:color w:val="auto"/>
              </w:rPr>
            </w:pPr>
          </w:p>
        </w:tc>
        <w:tc>
          <w:tcPr>
            <w:tcW w:w="220" w:type="dxa"/>
            <w:vAlign w:val="bottom"/>
            <w:tcBorders>
              <w:bottom w:val="single" w:sz="8" w:color="231F20"/>
            </w:tcBorders>
          </w:tcPr>
          <w:p>
            <w:pPr>
              <w:spacing w:after="0"/>
              <w:rPr>
                <w:sz w:val="23"/>
                <w:szCs w:val="23"/>
                <w:color w:val="auto"/>
              </w:rPr>
            </w:pPr>
          </w:p>
        </w:tc>
        <w:tc>
          <w:tcPr>
            <w:tcW w:w="1240" w:type="dxa"/>
            <w:vAlign w:val="bottom"/>
            <w:tcBorders>
              <w:bottom w:val="single" w:sz="8" w:color="231F20"/>
            </w:tcBorders>
          </w:tcPr>
          <w:p>
            <w:pPr>
              <w:spacing w:after="0"/>
              <w:rPr>
                <w:sz w:val="23"/>
                <w:szCs w:val="23"/>
                <w:color w:val="auto"/>
              </w:rPr>
            </w:pPr>
          </w:p>
        </w:tc>
      </w:tr>
      <w:tr>
        <w:trPr>
          <w:trHeight w:val="193"/>
        </w:trPr>
        <w:tc>
          <w:tcPr>
            <w:tcW w:w="6620" w:type="dxa"/>
            <w:vAlign w:val="bottom"/>
          </w:tcPr>
          <w:p>
            <w:pPr>
              <w:spacing w:after="0"/>
              <w:rPr>
                <w:sz w:val="16"/>
                <w:szCs w:val="16"/>
                <w:color w:val="auto"/>
              </w:rPr>
            </w:pPr>
          </w:p>
        </w:tc>
        <w:tc>
          <w:tcPr>
            <w:tcW w:w="3100" w:type="dxa"/>
            <w:vAlign w:val="bottom"/>
            <w:tcBorders>
              <w:bottom w:val="single" w:sz="8" w:color="231F20"/>
            </w:tcBorders>
            <w:gridSpan w:val="5"/>
          </w:tcPr>
          <w:p>
            <w:pPr>
              <w:jc w:val="right"/>
              <w:ind w:right="64"/>
              <w:spacing w:after="0"/>
              <w:rPr>
                <w:sz w:val="20"/>
                <w:szCs w:val="20"/>
                <w:color w:val="auto"/>
              </w:rPr>
            </w:pPr>
            <w:r>
              <w:rPr>
                <w:rFonts w:ascii="Times New Roman" w:cs="Times New Roman" w:eastAsia="Times New Roman" w:hAnsi="Times New Roman"/>
                <w:sz w:val="16"/>
                <w:szCs w:val="16"/>
                <w:b w:val="1"/>
                <w:bCs w:val="1"/>
                <w:color w:val="231F20"/>
              </w:rPr>
              <w:t>Twelve Months Ended December 31, 2024</w:t>
            </w:r>
          </w:p>
        </w:tc>
      </w:tr>
      <w:tr>
        <w:trPr>
          <w:trHeight w:val="193"/>
        </w:trPr>
        <w:tc>
          <w:tcPr>
            <w:tcW w:w="6620" w:type="dxa"/>
            <w:vAlign w:val="bottom"/>
            <w:tcBorders>
              <w:bottom w:val="single" w:sz="8" w:color="E6E7E8"/>
            </w:tcBorders>
          </w:tcPr>
          <w:p>
            <w:pPr>
              <w:spacing w:after="0"/>
              <w:rPr>
                <w:sz w:val="16"/>
                <w:szCs w:val="16"/>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Amount</w:t>
            </w:r>
          </w:p>
        </w:tc>
        <w:tc>
          <w:tcPr>
            <w:tcW w:w="480" w:type="dxa"/>
            <w:vAlign w:val="bottom"/>
            <w:tcBorders>
              <w:bottom w:val="single" w:sz="8" w:color="231F20"/>
            </w:tcBorders>
          </w:tcPr>
          <w:p>
            <w:pPr>
              <w:spacing w:after="0"/>
              <w:rPr>
                <w:sz w:val="16"/>
                <w:szCs w:val="16"/>
                <w:color w:val="auto"/>
              </w:rPr>
            </w:pPr>
          </w:p>
        </w:tc>
        <w:tc>
          <w:tcPr>
            <w:tcW w:w="160" w:type="dxa"/>
            <w:vAlign w:val="bottom"/>
            <w:tcBorders>
              <w:bottom w:val="single" w:sz="8" w:color="E6E7E8"/>
            </w:tcBorders>
          </w:tcPr>
          <w:p>
            <w:pPr>
              <w:spacing w:after="0"/>
              <w:rPr>
                <w:sz w:val="16"/>
                <w:szCs w:val="16"/>
                <w:color w:val="auto"/>
              </w:rPr>
            </w:pPr>
          </w:p>
        </w:tc>
        <w:tc>
          <w:tcPr>
            <w:tcW w:w="220" w:type="dxa"/>
            <w:vAlign w:val="bottom"/>
            <w:tcBorders>
              <w:bottom w:val="single" w:sz="8" w:color="231F20"/>
            </w:tcBorders>
          </w:tcPr>
          <w:p>
            <w:pPr>
              <w:spacing w:after="0"/>
              <w:rPr>
                <w:sz w:val="16"/>
                <w:szCs w:val="16"/>
                <w:color w:val="auto"/>
              </w:rPr>
            </w:pPr>
          </w:p>
        </w:tc>
        <w:tc>
          <w:tcPr>
            <w:tcW w:w="1240" w:type="dxa"/>
            <w:vAlign w:val="bottom"/>
            <w:tcBorders>
              <w:bottom w:val="single" w:sz="8" w:color="231F20"/>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231F20"/>
              </w:rPr>
              <w:t>Per Share</w:t>
            </w:r>
          </w:p>
        </w:tc>
      </w:tr>
      <w:tr>
        <w:trPr>
          <w:trHeight w:val="239"/>
        </w:trPr>
        <w:tc>
          <w:tcPr>
            <w:tcW w:w="662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GAAP Net Income</w:t>
            </w:r>
          </w:p>
        </w:tc>
        <w:tc>
          <w:tcPr>
            <w:tcW w:w="1000" w:type="dxa"/>
            <w:vAlign w:val="bottom"/>
            <w:shd w:val="clear" w:color="auto" w:fill="E6E7E8"/>
          </w:tcPr>
          <w:p>
            <w:pPr>
              <w:jc w:val="right"/>
              <w:ind w:right="808"/>
              <w:spacing w:after="0"/>
              <w:rPr>
                <w:sz w:val="20"/>
                <w:szCs w:val="20"/>
                <w:color w:val="auto"/>
              </w:rPr>
            </w:pPr>
            <w:r>
              <w:rPr>
                <w:rFonts w:ascii="Times New Roman" w:cs="Times New Roman" w:eastAsia="Times New Roman" w:hAnsi="Times New Roman"/>
                <w:sz w:val="20"/>
                <w:szCs w:val="20"/>
                <w:color w:val="231F20"/>
                <w:w w:val="79"/>
              </w:rPr>
              <w:t>$</w:t>
            </w:r>
          </w:p>
        </w:tc>
        <w:tc>
          <w:tcPr>
            <w:tcW w:w="4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47.1</w:t>
            </w:r>
          </w:p>
        </w:tc>
        <w:tc>
          <w:tcPr>
            <w:tcW w:w="160" w:type="dxa"/>
            <w:vAlign w:val="bottom"/>
            <w:shd w:val="clear" w:color="auto" w:fill="E6E7E8"/>
          </w:tcPr>
          <w:p>
            <w:pPr>
              <w:spacing w:after="0"/>
              <w:rPr>
                <w:sz w:val="20"/>
                <w:szCs w:val="20"/>
                <w:color w:val="auto"/>
              </w:rPr>
            </w:pPr>
          </w:p>
        </w:tc>
        <w:tc>
          <w:tcPr>
            <w:tcW w:w="220" w:type="dxa"/>
            <w:vAlign w:val="bottom"/>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124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2.93</w:t>
            </w:r>
          </w:p>
        </w:tc>
      </w:tr>
      <w:tr>
        <w:trPr>
          <w:trHeight w:val="244"/>
        </w:trPr>
        <w:tc>
          <w:tcPr>
            <w:tcW w:w="6620" w:type="dxa"/>
            <w:vAlign w:val="bottom"/>
            <w:tcBorders>
              <w:bottom w:val="single" w:sz="8" w:color="E6E7E8"/>
            </w:tcBorders>
          </w:tcPr>
          <w:p>
            <w:pPr>
              <w:spacing w:after="0"/>
              <w:rPr>
                <w:sz w:val="20"/>
                <w:szCs w:val="20"/>
                <w:color w:val="auto"/>
              </w:rPr>
            </w:pPr>
            <w:r>
              <w:rPr>
                <w:rFonts w:ascii="Times New Roman" w:cs="Times New Roman" w:eastAsia="Times New Roman" w:hAnsi="Times New Roman"/>
                <w:sz w:val="20"/>
                <w:szCs w:val="20"/>
                <w:color w:val="231F20"/>
              </w:rPr>
              <w:t>Transaction Costs</w:t>
            </w:r>
          </w:p>
        </w:tc>
        <w:tc>
          <w:tcPr>
            <w:tcW w:w="1000" w:type="dxa"/>
            <w:vAlign w:val="bottom"/>
            <w:tcBorders>
              <w:bottom w:val="single" w:sz="8" w:color="231F20"/>
            </w:tcBorders>
          </w:tcPr>
          <w:p>
            <w:pPr>
              <w:spacing w:after="0"/>
              <w:rPr>
                <w:sz w:val="21"/>
                <w:szCs w:val="21"/>
                <w:color w:val="auto"/>
              </w:rPr>
            </w:pPr>
          </w:p>
        </w:tc>
        <w:tc>
          <w:tcPr>
            <w:tcW w:w="4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0.7</w:t>
            </w:r>
          </w:p>
        </w:tc>
        <w:tc>
          <w:tcPr>
            <w:tcW w:w="160" w:type="dxa"/>
            <w:vAlign w:val="bottom"/>
            <w:tcBorders>
              <w:bottom w:val="single" w:sz="8" w:color="E6E7E8"/>
            </w:tcBorders>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1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0.04</w:t>
            </w:r>
          </w:p>
        </w:tc>
      </w:tr>
      <w:tr>
        <w:trPr>
          <w:trHeight w:val="239"/>
        </w:trPr>
        <w:tc>
          <w:tcPr>
            <w:tcW w:w="662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Adjusted Net Income</w:t>
            </w:r>
          </w:p>
        </w:tc>
        <w:tc>
          <w:tcPr>
            <w:tcW w:w="1000" w:type="dxa"/>
            <w:vAlign w:val="bottom"/>
            <w:tcBorders>
              <w:bottom w:val="single" w:sz="8" w:color="231F20"/>
            </w:tcBorders>
            <w:shd w:val="clear" w:color="auto" w:fill="E6E7E8"/>
          </w:tcPr>
          <w:p>
            <w:pPr>
              <w:jc w:val="right"/>
              <w:ind w:right="808"/>
              <w:spacing w:after="0"/>
              <w:rPr>
                <w:sz w:val="20"/>
                <w:szCs w:val="20"/>
                <w:color w:val="auto"/>
              </w:rPr>
            </w:pPr>
            <w:r>
              <w:rPr>
                <w:rFonts w:ascii="Times New Roman" w:cs="Times New Roman" w:eastAsia="Times New Roman" w:hAnsi="Times New Roman"/>
                <w:sz w:val="20"/>
                <w:szCs w:val="20"/>
                <w:color w:val="231F20"/>
                <w:w w:val="79"/>
              </w:rPr>
              <w:t>$</w:t>
            </w:r>
          </w:p>
        </w:tc>
        <w:tc>
          <w:tcPr>
            <w:tcW w:w="48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47.8</w:t>
            </w:r>
          </w:p>
        </w:tc>
        <w:tc>
          <w:tcPr>
            <w:tcW w:w="160" w:type="dxa"/>
            <w:vAlign w:val="bottom"/>
            <w:shd w:val="clear" w:color="auto" w:fill="E6E7E8"/>
          </w:tcPr>
          <w:p>
            <w:pPr>
              <w:spacing w:after="0"/>
              <w:rPr>
                <w:sz w:val="20"/>
                <w:szCs w:val="20"/>
                <w:color w:val="auto"/>
              </w:rPr>
            </w:pPr>
          </w:p>
        </w:tc>
        <w:tc>
          <w:tcPr>
            <w:tcW w:w="220" w:type="dxa"/>
            <w:vAlign w:val="bottom"/>
            <w:tcBorders>
              <w:bottom w:val="single" w:sz="8" w:color="231F20"/>
            </w:tcBorders>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124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2.97</w:t>
            </w:r>
          </w:p>
        </w:tc>
      </w:tr>
      <w:tr>
        <w:trPr>
          <w:trHeight w:val="20"/>
        </w:trPr>
        <w:tc>
          <w:tcPr>
            <w:tcW w:w="6620" w:type="dxa"/>
            <w:vAlign w:val="bottom"/>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r>
      <w:tr>
        <w:trPr>
          <w:trHeight w:val="268"/>
        </w:trPr>
        <w:tc>
          <w:tcPr>
            <w:tcW w:w="6620" w:type="dxa"/>
            <w:vAlign w:val="bottom"/>
          </w:tcPr>
          <w:p>
            <w:pPr>
              <w:spacing w:after="0"/>
              <w:rPr>
                <w:sz w:val="23"/>
                <w:szCs w:val="23"/>
                <w:color w:val="auto"/>
              </w:rPr>
            </w:pPr>
          </w:p>
        </w:tc>
        <w:tc>
          <w:tcPr>
            <w:tcW w:w="1000" w:type="dxa"/>
            <w:vAlign w:val="bottom"/>
            <w:tcBorders>
              <w:bottom w:val="single" w:sz="8" w:color="231F20"/>
            </w:tcBorders>
          </w:tcPr>
          <w:p>
            <w:pPr>
              <w:spacing w:after="0"/>
              <w:rPr>
                <w:sz w:val="23"/>
                <w:szCs w:val="23"/>
                <w:color w:val="auto"/>
              </w:rPr>
            </w:pPr>
          </w:p>
        </w:tc>
        <w:tc>
          <w:tcPr>
            <w:tcW w:w="480" w:type="dxa"/>
            <w:vAlign w:val="bottom"/>
            <w:tcBorders>
              <w:bottom w:val="single" w:sz="8" w:color="231F20"/>
            </w:tcBorders>
          </w:tcPr>
          <w:p>
            <w:pPr>
              <w:spacing w:after="0"/>
              <w:rPr>
                <w:sz w:val="23"/>
                <w:szCs w:val="23"/>
                <w:color w:val="auto"/>
              </w:rPr>
            </w:pPr>
          </w:p>
        </w:tc>
        <w:tc>
          <w:tcPr>
            <w:tcW w:w="160" w:type="dxa"/>
            <w:vAlign w:val="bottom"/>
            <w:tcBorders>
              <w:bottom w:val="single" w:sz="8" w:color="231F20"/>
            </w:tcBorders>
          </w:tcPr>
          <w:p>
            <w:pPr>
              <w:spacing w:after="0"/>
              <w:rPr>
                <w:sz w:val="23"/>
                <w:szCs w:val="23"/>
                <w:color w:val="auto"/>
              </w:rPr>
            </w:pPr>
          </w:p>
        </w:tc>
        <w:tc>
          <w:tcPr>
            <w:tcW w:w="220" w:type="dxa"/>
            <w:vAlign w:val="bottom"/>
            <w:tcBorders>
              <w:bottom w:val="single" w:sz="8" w:color="231F20"/>
            </w:tcBorders>
          </w:tcPr>
          <w:p>
            <w:pPr>
              <w:spacing w:after="0"/>
              <w:rPr>
                <w:sz w:val="23"/>
                <w:szCs w:val="23"/>
                <w:color w:val="auto"/>
              </w:rPr>
            </w:pPr>
          </w:p>
        </w:tc>
        <w:tc>
          <w:tcPr>
            <w:tcW w:w="1240" w:type="dxa"/>
            <w:vAlign w:val="bottom"/>
            <w:tcBorders>
              <w:bottom w:val="single" w:sz="8" w:color="231F20"/>
            </w:tcBorders>
          </w:tcPr>
          <w:p>
            <w:pPr>
              <w:spacing w:after="0"/>
              <w:rPr>
                <w:sz w:val="23"/>
                <w:szCs w:val="23"/>
                <w:color w:val="auto"/>
              </w:rPr>
            </w:pPr>
          </w:p>
        </w:tc>
      </w:tr>
      <w:tr>
        <w:trPr>
          <w:trHeight w:val="193"/>
        </w:trPr>
        <w:tc>
          <w:tcPr>
            <w:tcW w:w="6620" w:type="dxa"/>
            <w:vAlign w:val="bottom"/>
          </w:tcPr>
          <w:p>
            <w:pPr>
              <w:spacing w:after="0"/>
              <w:rPr>
                <w:sz w:val="16"/>
                <w:szCs w:val="16"/>
                <w:color w:val="auto"/>
              </w:rPr>
            </w:pPr>
          </w:p>
        </w:tc>
        <w:tc>
          <w:tcPr>
            <w:tcW w:w="3100" w:type="dxa"/>
            <w:vAlign w:val="bottom"/>
            <w:tcBorders>
              <w:bottom w:val="single" w:sz="8" w:color="231F20"/>
            </w:tcBorders>
            <w:gridSpan w:val="5"/>
          </w:tcPr>
          <w:p>
            <w:pPr>
              <w:jc w:val="right"/>
              <w:ind w:right="64"/>
              <w:spacing w:after="0"/>
              <w:rPr>
                <w:sz w:val="20"/>
                <w:szCs w:val="20"/>
                <w:color w:val="auto"/>
              </w:rPr>
            </w:pPr>
            <w:r>
              <w:rPr>
                <w:rFonts w:ascii="Times New Roman" w:cs="Times New Roman" w:eastAsia="Times New Roman" w:hAnsi="Times New Roman"/>
                <w:sz w:val="16"/>
                <w:szCs w:val="16"/>
                <w:b w:val="1"/>
                <w:bCs w:val="1"/>
                <w:color w:val="231F20"/>
              </w:rPr>
              <w:t>Twelve Months Ended December 31, 2023</w:t>
            </w:r>
          </w:p>
        </w:tc>
      </w:tr>
      <w:tr>
        <w:trPr>
          <w:trHeight w:val="193"/>
        </w:trPr>
        <w:tc>
          <w:tcPr>
            <w:tcW w:w="6620" w:type="dxa"/>
            <w:vAlign w:val="bottom"/>
            <w:tcBorders>
              <w:bottom w:val="single" w:sz="8" w:color="E6E7E8"/>
            </w:tcBorders>
          </w:tcPr>
          <w:p>
            <w:pPr>
              <w:spacing w:after="0"/>
              <w:rPr>
                <w:sz w:val="16"/>
                <w:szCs w:val="16"/>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Amount</w:t>
            </w:r>
          </w:p>
        </w:tc>
        <w:tc>
          <w:tcPr>
            <w:tcW w:w="480" w:type="dxa"/>
            <w:vAlign w:val="bottom"/>
            <w:tcBorders>
              <w:bottom w:val="single" w:sz="8" w:color="231F20"/>
            </w:tcBorders>
          </w:tcPr>
          <w:p>
            <w:pPr>
              <w:spacing w:after="0"/>
              <w:rPr>
                <w:sz w:val="16"/>
                <w:szCs w:val="16"/>
                <w:color w:val="auto"/>
              </w:rPr>
            </w:pPr>
          </w:p>
        </w:tc>
        <w:tc>
          <w:tcPr>
            <w:tcW w:w="160" w:type="dxa"/>
            <w:vAlign w:val="bottom"/>
            <w:tcBorders>
              <w:bottom w:val="single" w:sz="8" w:color="E6E7E8"/>
            </w:tcBorders>
          </w:tcPr>
          <w:p>
            <w:pPr>
              <w:spacing w:after="0"/>
              <w:rPr>
                <w:sz w:val="16"/>
                <w:szCs w:val="16"/>
                <w:color w:val="auto"/>
              </w:rPr>
            </w:pPr>
          </w:p>
        </w:tc>
        <w:tc>
          <w:tcPr>
            <w:tcW w:w="220" w:type="dxa"/>
            <w:vAlign w:val="bottom"/>
            <w:tcBorders>
              <w:bottom w:val="single" w:sz="8" w:color="231F20"/>
            </w:tcBorders>
          </w:tcPr>
          <w:p>
            <w:pPr>
              <w:spacing w:after="0"/>
              <w:rPr>
                <w:sz w:val="16"/>
                <w:szCs w:val="16"/>
                <w:color w:val="auto"/>
              </w:rPr>
            </w:pPr>
          </w:p>
        </w:tc>
        <w:tc>
          <w:tcPr>
            <w:tcW w:w="1240" w:type="dxa"/>
            <w:vAlign w:val="bottom"/>
            <w:tcBorders>
              <w:bottom w:val="single" w:sz="8" w:color="231F20"/>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231F20"/>
              </w:rPr>
              <w:t>Per Share</w:t>
            </w:r>
          </w:p>
        </w:tc>
      </w:tr>
      <w:tr>
        <w:trPr>
          <w:trHeight w:val="239"/>
        </w:trPr>
        <w:tc>
          <w:tcPr>
            <w:tcW w:w="662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GAAP Net Income</w:t>
            </w:r>
          </w:p>
        </w:tc>
        <w:tc>
          <w:tcPr>
            <w:tcW w:w="1000" w:type="dxa"/>
            <w:vAlign w:val="bottom"/>
            <w:shd w:val="clear" w:color="auto" w:fill="E6E7E8"/>
          </w:tcPr>
          <w:p>
            <w:pPr>
              <w:jc w:val="right"/>
              <w:ind w:right="808"/>
              <w:spacing w:after="0"/>
              <w:rPr>
                <w:sz w:val="20"/>
                <w:szCs w:val="20"/>
                <w:color w:val="auto"/>
              </w:rPr>
            </w:pPr>
            <w:r>
              <w:rPr>
                <w:rFonts w:ascii="Times New Roman" w:cs="Times New Roman" w:eastAsia="Times New Roman" w:hAnsi="Times New Roman"/>
                <w:sz w:val="20"/>
                <w:szCs w:val="20"/>
                <w:color w:val="231F20"/>
                <w:w w:val="79"/>
              </w:rPr>
              <w:t>$</w:t>
            </w:r>
          </w:p>
        </w:tc>
        <w:tc>
          <w:tcPr>
            <w:tcW w:w="4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45.2</w:t>
            </w:r>
          </w:p>
        </w:tc>
        <w:tc>
          <w:tcPr>
            <w:tcW w:w="160" w:type="dxa"/>
            <w:vAlign w:val="bottom"/>
            <w:shd w:val="clear" w:color="auto" w:fill="E6E7E8"/>
          </w:tcPr>
          <w:p>
            <w:pPr>
              <w:spacing w:after="0"/>
              <w:rPr>
                <w:sz w:val="20"/>
                <w:szCs w:val="20"/>
                <w:color w:val="auto"/>
              </w:rPr>
            </w:pPr>
          </w:p>
        </w:tc>
        <w:tc>
          <w:tcPr>
            <w:tcW w:w="220" w:type="dxa"/>
            <w:vAlign w:val="bottom"/>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124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2.82</w:t>
            </w:r>
          </w:p>
        </w:tc>
      </w:tr>
      <w:tr>
        <w:trPr>
          <w:trHeight w:val="244"/>
        </w:trPr>
        <w:tc>
          <w:tcPr>
            <w:tcW w:w="6620" w:type="dxa"/>
            <w:vAlign w:val="bottom"/>
            <w:tcBorders>
              <w:bottom w:val="single" w:sz="8" w:color="E6E7E8"/>
            </w:tcBorders>
          </w:tcPr>
          <w:p>
            <w:pPr>
              <w:spacing w:after="0"/>
              <w:rPr>
                <w:sz w:val="20"/>
                <w:szCs w:val="20"/>
                <w:color w:val="auto"/>
              </w:rPr>
            </w:pPr>
            <w:r>
              <w:rPr>
                <w:rFonts w:ascii="Times New Roman" w:cs="Times New Roman" w:eastAsia="Times New Roman" w:hAnsi="Times New Roman"/>
                <w:sz w:val="20"/>
                <w:szCs w:val="20"/>
                <w:color w:val="231F20"/>
              </w:rPr>
              <w:t>Transaction Costs</w:t>
            </w:r>
          </w:p>
        </w:tc>
        <w:tc>
          <w:tcPr>
            <w:tcW w:w="1000" w:type="dxa"/>
            <w:vAlign w:val="bottom"/>
            <w:tcBorders>
              <w:bottom w:val="single" w:sz="8" w:color="231F20"/>
            </w:tcBorders>
          </w:tcPr>
          <w:p>
            <w:pPr>
              <w:spacing w:after="0"/>
              <w:rPr>
                <w:sz w:val="21"/>
                <w:szCs w:val="21"/>
                <w:color w:val="auto"/>
              </w:rPr>
            </w:pPr>
          </w:p>
        </w:tc>
        <w:tc>
          <w:tcPr>
            <w:tcW w:w="4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Borders>
              <w:bottom w:val="single" w:sz="8" w:color="E6E7E8"/>
            </w:tcBorders>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1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39"/>
        </w:trPr>
        <w:tc>
          <w:tcPr>
            <w:tcW w:w="662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Adjusted Net Income</w:t>
            </w:r>
          </w:p>
        </w:tc>
        <w:tc>
          <w:tcPr>
            <w:tcW w:w="1000" w:type="dxa"/>
            <w:vAlign w:val="bottom"/>
            <w:tcBorders>
              <w:bottom w:val="single" w:sz="8" w:color="231F20"/>
            </w:tcBorders>
            <w:shd w:val="clear" w:color="auto" w:fill="E6E7E8"/>
          </w:tcPr>
          <w:p>
            <w:pPr>
              <w:jc w:val="right"/>
              <w:ind w:right="808"/>
              <w:spacing w:after="0"/>
              <w:rPr>
                <w:sz w:val="20"/>
                <w:szCs w:val="20"/>
                <w:color w:val="auto"/>
              </w:rPr>
            </w:pPr>
            <w:r>
              <w:rPr>
                <w:rFonts w:ascii="Times New Roman" w:cs="Times New Roman" w:eastAsia="Times New Roman" w:hAnsi="Times New Roman"/>
                <w:sz w:val="20"/>
                <w:szCs w:val="20"/>
                <w:color w:val="231F20"/>
                <w:w w:val="79"/>
              </w:rPr>
              <w:t>$</w:t>
            </w:r>
          </w:p>
        </w:tc>
        <w:tc>
          <w:tcPr>
            <w:tcW w:w="48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45.2</w:t>
            </w:r>
          </w:p>
        </w:tc>
        <w:tc>
          <w:tcPr>
            <w:tcW w:w="160" w:type="dxa"/>
            <w:vAlign w:val="bottom"/>
            <w:shd w:val="clear" w:color="auto" w:fill="E6E7E8"/>
          </w:tcPr>
          <w:p>
            <w:pPr>
              <w:spacing w:after="0"/>
              <w:rPr>
                <w:sz w:val="20"/>
                <w:szCs w:val="20"/>
                <w:color w:val="auto"/>
              </w:rPr>
            </w:pPr>
          </w:p>
        </w:tc>
        <w:tc>
          <w:tcPr>
            <w:tcW w:w="220" w:type="dxa"/>
            <w:vAlign w:val="bottom"/>
            <w:tcBorders>
              <w:bottom w:val="single" w:sz="8" w:color="231F20"/>
            </w:tcBorders>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124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2.82</w:t>
            </w:r>
          </w:p>
        </w:tc>
      </w:tr>
      <w:tr>
        <w:trPr>
          <w:trHeight w:val="20"/>
        </w:trPr>
        <w:tc>
          <w:tcPr>
            <w:tcW w:w="6620" w:type="dxa"/>
            <w:vAlign w:val="bottom"/>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right="120" w:firstLine="612"/>
        <w:spacing w:after="0" w:line="245" w:lineRule="auto"/>
        <w:rPr>
          <w:sz w:val="20"/>
          <w:szCs w:val="20"/>
          <w:color w:val="auto"/>
        </w:rPr>
      </w:pPr>
      <w:r>
        <w:rPr>
          <w:rFonts w:ascii="Times New Roman" w:cs="Times New Roman" w:eastAsia="Times New Roman" w:hAnsi="Times New Roman"/>
          <w:sz w:val="21"/>
          <w:szCs w:val="21"/>
          <w:color w:val="231F20"/>
        </w:rPr>
        <w:t>The Company analyzes operating results using Electric and Gas Adjusted Gross Margins, which are non-GAAP financial measures. Electric Adjusted Gross Margin is calculated as Total Electric Operating Revenue less Cost of Electric Sales. Gas Adjusted Gross Margin is calculated as Total Gas Operating Revenues less Cost of Gas Sales. The Company’s management believes Electric and Gas Adjusted Gross Margins provide useful information to investors regarding profitability. Also, the Company’s management believes Electric and Gas Adjusted Gross Margins are important financial measures to analyze revenue from the Company’s ongoing operations because the approved cost of electric and gas sales are tracked, reconciled and passed through directly to customers in electric and gas tariff rates, resulting in an equal and offsetting amount reflected in Total Electric and Gas Operating Revenue.</w:t>
      </w:r>
    </w:p>
    <w:p>
      <w:pPr>
        <w:spacing w:after="0" w:line="200" w:lineRule="exact"/>
        <w:rPr>
          <w:sz w:val="20"/>
          <w:szCs w:val="20"/>
          <w:color w:val="auto"/>
        </w:rPr>
      </w:pPr>
    </w:p>
    <w:p>
      <w:pPr>
        <w:ind w:firstLine="612"/>
        <w:spacing w:after="0" w:line="253" w:lineRule="auto"/>
        <w:rPr>
          <w:sz w:val="20"/>
          <w:szCs w:val="20"/>
          <w:color w:val="auto"/>
        </w:rPr>
      </w:pPr>
      <w:r>
        <w:rPr>
          <w:rFonts w:ascii="Times New Roman" w:cs="Times New Roman" w:eastAsia="Times New Roman" w:hAnsi="Times New Roman"/>
          <w:sz w:val="21"/>
          <w:szCs w:val="21"/>
          <w:color w:val="231F20"/>
        </w:rPr>
        <w:t>In the following tables the Company has reconciled Electric and Gas Adjusted Gross Margin to GAAP Gross Margin, which we believe to be the most comparable GAAP financial measure. GAAP Gross Margin is calculated as Revenue less Cost of Sales, and Depreciation and Amortization. The Company calculates Electric and Gas Adjusted Gross Margin as Revenue less Cost of Sales. The Company believes excluding Depreciation and Amortization, which are period costs and not related to</w:t>
      </w:r>
    </w:p>
    <w:p>
      <w:pPr>
        <w:sectPr>
          <w:pgSz w:w="12240" w:h="15840" w:orient="portrait"/>
          <w:cols w:equalWidth="0" w:num="1">
            <w:col w:w="10780"/>
          </w:cols>
          <w:pgMar w:left="720" w:top="924" w:right="740" w:bottom="188"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24</w:t>
      </w:r>
    </w:p>
    <w:p>
      <w:pPr>
        <w:sectPr>
          <w:pgSz w:w="12240" w:h="15840" w:orient="portrait"/>
          <w:cols w:equalWidth="0" w:num="1">
            <w:col w:w="10780"/>
          </w:cols>
          <w:pgMar w:left="720" w:top="924" w:right="740" w:bottom="188" w:gutter="0" w:footer="0" w:header="0"/>
          <w:type w:val="continuous"/>
        </w:sectPr>
      </w:pPr>
    </w:p>
    <w:bookmarkStart w:id="44" w:name="page45"/>
    <w:bookmarkEnd w:id="44"/>
    <w:p>
      <w:pPr>
        <w:ind w:right="400"/>
        <w:spacing w:after="0" w:line="279" w:lineRule="auto"/>
        <w:rPr>
          <w:sz w:val="20"/>
          <w:szCs w:val="20"/>
          <w:color w:val="auto"/>
        </w:rPr>
      </w:pPr>
      <w:r>
        <w:rPr>
          <w:rFonts w:ascii="Times New Roman" w:cs="Times New Roman" w:eastAsia="Times New Roman" w:hAnsi="Times New Roman"/>
          <w:sz w:val="21"/>
          <w:szCs w:val="21"/>
          <w:color w:val="231F20"/>
        </w:rPr>
        <w:t>volumetric sales, is a meaningful financial measure to inform investors of the Company’s profitability from electric and gas sales in the period.</w:t>
      </w:r>
    </w:p>
    <w:p>
      <w:pPr>
        <w:spacing w:after="0" w:line="199" w:lineRule="exact"/>
        <w:rPr>
          <w:sz w:val="20"/>
          <w:szCs w:val="20"/>
          <w:color w:val="auto"/>
        </w:rPr>
      </w:pPr>
    </w:p>
    <w:tbl>
      <w:tblPr>
        <w:tblLayout w:type="fixed"/>
        <w:tblInd w:w="540" w:type="dxa"/>
        <w:tblCellMar>
          <w:top w:w="0" w:type="dxa"/>
          <w:left w:w="0" w:type="dxa"/>
          <w:bottom w:w="0" w:type="dxa"/>
          <w:right w:w="0" w:type="dxa"/>
        </w:tblCellMar>
      </w:tblPr>
      <w:tr>
        <w:trPr>
          <w:trHeight w:val="199"/>
        </w:trPr>
        <w:tc>
          <w:tcPr>
            <w:tcW w:w="2900" w:type="dxa"/>
            <w:vAlign w:val="bottom"/>
          </w:tcPr>
          <w:p>
            <w:pPr>
              <w:spacing w:after="0"/>
              <w:rPr>
                <w:sz w:val="17"/>
                <w:szCs w:val="17"/>
                <w:color w:val="auto"/>
              </w:rPr>
            </w:pPr>
          </w:p>
        </w:tc>
        <w:tc>
          <w:tcPr>
            <w:tcW w:w="4540" w:type="dxa"/>
            <w:vAlign w:val="bottom"/>
            <w:gridSpan w:val="19"/>
          </w:tcPr>
          <w:p>
            <w:pPr>
              <w:ind w:left="80"/>
              <w:spacing w:after="0"/>
              <w:rPr>
                <w:sz w:val="20"/>
                <w:szCs w:val="20"/>
                <w:color w:val="auto"/>
              </w:rPr>
            </w:pPr>
            <w:r>
              <w:rPr>
                <w:rFonts w:ascii="Times New Roman" w:cs="Times New Roman" w:eastAsia="Times New Roman" w:hAnsi="Times New Roman"/>
                <w:sz w:val="16"/>
                <w:szCs w:val="16"/>
                <w:b w:val="1"/>
                <w:bCs w:val="1"/>
                <w:color w:val="231F20"/>
              </w:rPr>
              <w:t>Twelve Months Ended December 31, 2025 ($ millions)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231F20"/>
              </w:rPr>
              <w:t>Electric</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6"/>
          </w:tcPr>
          <w:p>
            <w:pPr>
              <w:ind w:left="140"/>
              <w:spacing w:after="0"/>
              <w:rPr>
                <w:sz w:val="20"/>
                <w:szCs w:val="20"/>
                <w:color w:val="auto"/>
              </w:rPr>
            </w:pPr>
            <w:r>
              <w:rPr>
                <w:rFonts w:ascii="Times New Roman" w:cs="Times New Roman" w:eastAsia="Times New Roman" w:hAnsi="Times New Roman"/>
                <w:sz w:val="16"/>
                <w:szCs w:val="16"/>
                <w:b w:val="1"/>
                <w:bCs w:val="1"/>
                <w:color w:val="231F20"/>
              </w:rPr>
              <w:t>Gas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231F20"/>
              </w:rPr>
              <w:t>Other</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4"/>
          </w:tcPr>
          <w:p>
            <w:pPr>
              <w:jc w:val="right"/>
              <w:ind w:right="400"/>
              <w:spacing w:after="0"/>
              <w:rPr>
                <w:sz w:val="20"/>
                <w:szCs w:val="20"/>
                <w:color w:val="auto"/>
              </w:rPr>
            </w:pPr>
            <w:r>
              <w:rPr>
                <w:rFonts w:ascii="Times New Roman" w:cs="Times New Roman" w:eastAsia="Times New Roman" w:hAnsi="Times New Roman"/>
                <w:sz w:val="16"/>
                <w:szCs w:val="16"/>
                <w:b w:val="1"/>
                <w:bCs w:val="1"/>
                <w:color w:val="231F20"/>
              </w:rPr>
              <w:t>Total</w:t>
            </w:r>
          </w:p>
        </w:tc>
      </w:tr>
      <w:tr>
        <w:trPr>
          <w:trHeight w:val="214"/>
        </w:trPr>
        <w:tc>
          <w:tcPr>
            <w:tcW w:w="2900" w:type="dxa"/>
            <w:vAlign w:val="bottom"/>
            <w:tcBorders>
              <w:top w:val="single" w:sz="8" w:color="E6E7E8"/>
            </w:tcBorders>
            <w:shd w:val="clear" w:color="auto" w:fill="E6E7E8"/>
          </w:tcPr>
          <w:p>
            <w:pPr>
              <w:spacing w:after="0" w:line="214" w:lineRule="exact"/>
              <w:rPr>
                <w:sz w:val="20"/>
                <w:szCs w:val="20"/>
                <w:color w:val="auto"/>
              </w:rPr>
            </w:pPr>
            <w:r>
              <w:rPr>
                <w:rFonts w:ascii="Times New Roman" w:cs="Times New Roman" w:eastAsia="Times New Roman" w:hAnsi="Times New Roman"/>
                <w:sz w:val="19"/>
                <w:szCs w:val="19"/>
                <w:color w:val="231F20"/>
              </w:rPr>
              <w:t>Total Operating Revenue</w:t>
            </w:r>
          </w:p>
        </w:tc>
        <w:tc>
          <w:tcPr>
            <w:tcW w:w="2040" w:type="dxa"/>
            <w:vAlign w:val="bottom"/>
            <w:tcBorders>
              <w:top w:val="single" w:sz="8" w:color="E6E7E8"/>
            </w:tcBorders>
            <w:shd w:val="clear" w:color="auto" w:fill="E6E7E8"/>
          </w:tcPr>
          <w:p>
            <w:pPr>
              <w:spacing w:after="0"/>
              <w:rPr>
                <w:sz w:val="18"/>
                <w:szCs w:val="18"/>
                <w:color w:val="auto"/>
              </w:rPr>
            </w:pPr>
          </w:p>
        </w:tc>
        <w:tc>
          <w:tcPr>
            <w:tcW w:w="20" w:type="dxa"/>
            <w:vAlign w:val="bottom"/>
            <w:tcBorders>
              <w:top w:val="single" w:sz="8" w:color="E6E7E8"/>
            </w:tcBorders>
            <w:shd w:val="clear" w:color="auto" w:fill="E6E7E8"/>
          </w:tcPr>
          <w:p>
            <w:pPr>
              <w:spacing w:after="0"/>
              <w:rPr>
                <w:sz w:val="18"/>
                <w:szCs w:val="18"/>
                <w:color w:val="auto"/>
              </w:rPr>
            </w:pPr>
          </w:p>
        </w:tc>
        <w:tc>
          <w:tcPr>
            <w:tcW w:w="20" w:type="dxa"/>
            <w:vAlign w:val="bottom"/>
            <w:tcBorders>
              <w:top w:val="single" w:sz="8" w:color="E6E7E8"/>
            </w:tcBorders>
            <w:shd w:val="clear" w:color="auto" w:fill="E6E7E8"/>
          </w:tcPr>
          <w:p>
            <w:pPr>
              <w:spacing w:after="0"/>
              <w:rPr>
                <w:sz w:val="18"/>
                <w:szCs w:val="18"/>
                <w:color w:val="auto"/>
              </w:rPr>
            </w:pPr>
          </w:p>
        </w:tc>
        <w:tc>
          <w:tcPr>
            <w:tcW w:w="140" w:type="dxa"/>
            <w:vAlign w:val="bottom"/>
            <w:tcBorders>
              <w:top w:val="single" w:sz="8" w:color="231F20"/>
            </w:tcBorders>
            <w:gridSpan w:val="2"/>
            <w:shd w:val="clear" w:color="auto" w:fill="E6E7E8"/>
          </w:tcPr>
          <w:p>
            <w:pPr>
              <w:jc w:val="right"/>
              <w:ind w:right="54"/>
              <w:spacing w:after="0"/>
              <w:rPr>
                <w:sz w:val="20"/>
                <w:szCs w:val="20"/>
                <w:color w:val="auto"/>
              </w:rPr>
            </w:pPr>
            <w:r>
              <w:rPr>
                <w:rFonts w:ascii="Times New Roman" w:cs="Times New Roman" w:eastAsia="Times New Roman" w:hAnsi="Times New Roman"/>
                <w:sz w:val="11"/>
                <w:szCs w:val="11"/>
                <w:color w:val="231F20"/>
                <w:w w:val="71"/>
              </w:rPr>
              <w:t>$</w:t>
            </w:r>
          </w:p>
        </w:tc>
        <w:tc>
          <w:tcPr>
            <w:tcW w:w="860" w:type="dxa"/>
            <w:vAlign w:val="bottom"/>
            <w:tcBorders>
              <w:top w:val="single" w:sz="8" w:color="231F20"/>
            </w:tcBorders>
            <w:gridSpan w:val="2"/>
            <w:shd w:val="clear" w:color="auto" w:fill="E6E7E8"/>
          </w:tcPr>
          <w:p>
            <w:pPr>
              <w:jc w:val="right"/>
              <w:ind w:right="20"/>
              <w:spacing w:after="0" w:line="214" w:lineRule="exact"/>
              <w:rPr>
                <w:sz w:val="20"/>
                <w:szCs w:val="20"/>
                <w:color w:val="auto"/>
              </w:rPr>
            </w:pPr>
            <w:r>
              <w:rPr>
                <w:rFonts w:ascii="Times New Roman" w:cs="Times New Roman" w:eastAsia="Times New Roman" w:hAnsi="Times New Roman"/>
                <w:sz w:val="19"/>
                <w:szCs w:val="19"/>
                <w:color w:val="231F20"/>
              </w:rPr>
              <w:t>236.4</w:t>
            </w:r>
          </w:p>
        </w:tc>
        <w:tc>
          <w:tcPr>
            <w:tcW w:w="20" w:type="dxa"/>
            <w:vAlign w:val="bottom"/>
            <w:tcBorders>
              <w:top w:val="single" w:sz="8" w:color="E6E7E8"/>
            </w:tcBorders>
            <w:shd w:val="clear" w:color="auto" w:fill="E6E7E8"/>
          </w:tcPr>
          <w:p>
            <w:pPr>
              <w:spacing w:after="0"/>
              <w:rPr>
                <w:sz w:val="18"/>
                <w:szCs w:val="18"/>
                <w:color w:val="auto"/>
              </w:rPr>
            </w:pPr>
          </w:p>
        </w:tc>
        <w:tc>
          <w:tcPr>
            <w:tcW w:w="180" w:type="dxa"/>
            <w:vAlign w:val="bottom"/>
            <w:tcBorders>
              <w:top w:val="single" w:sz="8" w:color="E6E7E8"/>
            </w:tcBorders>
            <w:shd w:val="clear" w:color="auto" w:fill="E6E7E8"/>
          </w:tcPr>
          <w:p>
            <w:pPr>
              <w:spacing w:after="0"/>
              <w:rPr>
                <w:sz w:val="18"/>
                <w:szCs w:val="18"/>
                <w:color w:val="auto"/>
              </w:rPr>
            </w:pPr>
          </w:p>
        </w:tc>
        <w:tc>
          <w:tcPr>
            <w:tcW w:w="20" w:type="dxa"/>
            <w:vAlign w:val="bottom"/>
            <w:tcBorders>
              <w:top w:val="single" w:sz="8" w:color="E6E7E8"/>
            </w:tcBorders>
            <w:shd w:val="clear" w:color="auto" w:fill="E6E7E8"/>
          </w:tcPr>
          <w:p>
            <w:pPr>
              <w:spacing w:after="0"/>
              <w:rPr>
                <w:sz w:val="18"/>
                <w:szCs w:val="18"/>
                <w:color w:val="auto"/>
              </w:rPr>
            </w:pPr>
          </w:p>
        </w:tc>
        <w:tc>
          <w:tcPr>
            <w:tcW w:w="20" w:type="dxa"/>
            <w:vAlign w:val="bottom"/>
            <w:tcBorders>
              <w:top w:val="single" w:sz="8" w:color="E6E7E8"/>
            </w:tcBorders>
            <w:shd w:val="clear" w:color="auto" w:fill="E6E7E8"/>
          </w:tcPr>
          <w:p>
            <w:pPr>
              <w:spacing w:after="0"/>
              <w:rPr>
                <w:sz w:val="18"/>
                <w:szCs w:val="18"/>
                <w:color w:val="auto"/>
              </w:rPr>
            </w:pPr>
          </w:p>
        </w:tc>
        <w:tc>
          <w:tcPr>
            <w:tcW w:w="180" w:type="dxa"/>
            <w:vAlign w:val="bottom"/>
            <w:tcBorders>
              <w:top w:val="single" w:sz="8" w:color="231F20"/>
            </w:tcBorders>
            <w:gridSpan w:val="2"/>
            <w:shd w:val="clear" w:color="auto" w:fill="E6E7E8"/>
          </w:tcPr>
          <w:p>
            <w:pPr>
              <w:jc w:val="right"/>
              <w:ind w:right="135"/>
              <w:spacing w:after="0"/>
              <w:rPr>
                <w:sz w:val="20"/>
                <w:szCs w:val="20"/>
                <w:color w:val="auto"/>
              </w:rPr>
            </w:pPr>
            <w:r>
              <w:rPr>
                <w:rFonts w:ascii="Times New Roman" w:cs="Times New Roman" w:eastAsia="Times New Roman" w:hAnsi="Times New Roman"/>
                <w:sz w:val="5"/>
                <w:szCs w:val="5"/>
                <w:color w:val="231F20"/>
                <w:w w:val="78"/>
              </w:rPr>
              <w:t>$</w:t>
            </w:r>
          </w:p>
        </w:tc>
        <w:tc>
          <w:tcPr>
            <w:tcW w:w="820" w:type="dxa"/>
            <w:vAlign w:val="bottom"/>
            <w:tcBorders>
              <w:top w:val="single" w:sz="8" w:color="231F20"/>
            </w:tcBorders>
            <w:gridSpan w:val="2"/>
            <w:shd w:val="clear" w:color="auto" w:fill="E6E7E8"/>
          </w:tcPr>
          <w:p>
            <w:pPr>
              <w:jc w:val="right"/>
              <w:ind w:right="20"/>
              <w:spacing w:after="0" w:line="214" w:lineRule="exact"/>
              <w:rPr>
                <w:sz w:val="20"/>
                <w:szCs w:val="20"/>
                <w:color w:val="auto"/>
              </w:rPr>
            </w:pPr>
            <w:r>
              <w:rPr>
                <w:rFonts w:ascii="Times New Roman" w:cs="Times New Roman" w:eastAsia="Times New Roman" w:hAnsi="Times New Roman"/>
                <w:sz w:val="19"/>
                <w:szCs w:val="19"/>
                <w:color w:val="231F20"/>
              </w:rPr>
              <w:t>299.6</w:t>
            </w:r>
          </w:p>
        </w:tc>
        <w:tc>
          <w:tcPr>
            <w:tcW w:w="20" w:type="dxa"/>
            <w:vAlign w:val="bottom"/>
            <w:tcBorders>
              <w:top w:val="single" w:sz="8" w:color="E6E7E8"/>
            </w:tcBorders>
            <w:shd w:val="clear" w:color="auto" w:fill="E6E7E8"/>
          </w:tcPr>
          <w:p>
            <w:pPr>
              <w:spacing w:after="0"/>
              <w:rPr>
                <w:sz w:val="18"/>
                <w:szCs w:val="18"/>
                <w:color w:val="auto"/>
              </w:rPr>
            </w:pPr>
          </w:p>
        </w:tc>
        <w:tc>
          <w:tcPr>
            <w:tcW w:w="160" w:type="dxa"/>
            <w:vAlign w:val="bottom"/>
            <w:tcBorders>
              <w:top w:val="single" w:sz="8" w:color="E6E7E8"/>
            </w:tcBorders>
            <w:shd w:val="clear" w:color="auto" w:fill="E6E7E8"/>
          </w:tcPr>
          <w:p>
            <w:pPr>
              <w:spacing w:after="0"/>
              <w:rPr>
                <w:sz w:val="18"/>
                <w:szCs w:val="18"/>
                <w:color w:val="auto"/>
              </w:rPr>
            </w:pPr>
          </w:p>
        </w:tc>
        <w:tc>
          <w:tcPr>
            <w:tcW w:w="20" w:type="dxa"/>
            <w:vAlign w:val="bottom"/>
            <w:tcBorders>
              <w:top w:val="single" w:sz="8" w:color="E6E7E8"/>
            </w:tcBorders>
            <w:shd w:val="clear" w:color="auto" w:fill="E6E7E8"/>
          </w:tcPr>
          <w:p>
            <w:pPr>
              <w:spacing w:after="0"/>
              <w:rPr>
                <w:sz w:val="18"/>
                <w:szCs w:val="18"/>
                <w:color w:val="auto"/>
              </w:rPr>
            </w:pPr>
          </w:p>
        </w:tc>
        <w:tc>
          <w:tcPr>
            <w:tcW w:w="20" w:type="dxa"/>
            <w:vAlign w:val="bottom"/>
            <w:tcBorders>
              <w:top w:val="single" w:sz="8" w:color="E6E7E8"/>
            </w:tcBorders>
            <w:shd w:val="clear" w:color="auto" w:fill="E6E7E8"/>
          </w:tcPr>
          <w:p>
            <w:pPr>
              <w:spacing w:after="0"/>
              <w:rPr>
                <w:sz w:val="18"/>
                <w:szCs w:val="18"/>
                <w:color w:val="auto"/>
              </w:rPr>
            </w:pPr>
          </w:p>
        </w:tc>
        <w:tc>
          <w:tcPr>
            <w:tcW w:w="160" w:type="dxa"/>
            <w:vAlign w:val="bottom"/>
            <w:tcBorders>
              <w:top w:val="single" w:sz="8" w:color="231F20"/>
            </w:tcBorders>
            <w:gridSpan w:val="2"/>
            <w:shd w:val="clear" w:color="auto" w:fill="E6E7E8"/>
          </w:tcPr>
          <w:p>
            <w:pPr>
              <w:jc w:val="right"/>
              <w:ind w:right="104"/>
              <w:spacing w:after="0"/>
              <w:rPr>
                <w:sz w:val="20"/>
                <w:szCs w:val="20"/>
                <w:color w:val="auto"/>
              </w:rPr>
            </w:pPr>
            <w:r>
              <w:rPr>
                <w:rFonts w:ascii="Times New Roman" w:cs="Times New Roman" w:eastAsia="Times New Roman" w:hAnsi="Times New Roman"/>
                <w:sz w:val="5"/>
                <w:szCs w:val="5"/>
                <w:color w:val="231F20"/>
                <w:w w:val="78"/>
              </w:rPr>
              <w:t>$</w:t>
            </w:r>
          </w:p>
        </w:tc>
        <w:tc>
          <w:tcPr>
            <w:tcW w:w="840" w:type="dxa"/>
            <w:vAlign w:val="bottom"/>
            <w:tcBorders>
              <w:top w:val="single" w:sz="8" w:color="231F20"/>
            </w:tcBorders>
            <w:gridSpan w:val="2"/>
            <w:shd w:val="clear" w:color="auto" w:fill="E6E7E8"/>
          </w:tcPr>
          <w:p>
            <w:pPr>
              <w:jc w:val="right"/>
              <w:ind w:right="20"/>
              <w:spacing w:after="0" w:line="214" w:lineRule="exact"/>
              <w:rPr>
                <w:sz w:val="20"/>
                <w:szCs w:val="20"/>
                <w:color w:val="auto"/>
              </w:rPr>
            </w:pPr>
            <w:r>
              <w:rPr>
                <w:rFonts w:ascii="Times New Roman" w:cs="Times New Roman" w:eastAsia="Times New Roman" w:hAnsi="Times New Roman"/>
                <w:sz w:val="19"/>
                <w:szCs w:val="19"/>
                <w:color w:val="231F20"/>
              </w:rPr>
              <w:t>—</w:t>
            </w:r>
          </w:p>
        </w:tc>
        <w:tc>
          <w:tcPr>
            <w:tcW w:w="20" w:type="dxa"/>
            <w:vAlign w:val="bottom"/>
            <w:tcBorders>
              <w:top w:val="single" w:sz="8" w:color="E6E7E8"/>
            </w:tcBorders>
            <w:shd w:val="clear" w:color="auto" w:fill="E6E7E8"/>
          </w:tcPr>
          <w:p>
            <w:pPr>
              <w:spacing w:after="0"/>
              <w:rPr>
                <w:sz w:val="18"/>
                <w:szCs w:val="18"/>
                <w:color w:val="auto"/>
              </w:rPr>
            </w:pPr>
          </w:p>
        </w:tc>
        <w:tc>
          <w:tcPr>
            <w:tcW w:w="160" w:type="dxa"/>
            <w:vAlign w:val="bottom"/>
            <w:tcBorders>
              <w:top w:val="single" w:sz="8" w:color="E6E7E8"/>
            </w:tcBorders>
            <w:shd w:val="clear" w:color="auto" w:fill="E6E7E8"/>
          </w:tcPr>
          <w:p>
            <w:pPr>
              <w:spacing w:after="0"/>
              <w:rPr>
                <w:sz w:val="18"/>
                <w:szCs w:val="18"/>
                <w:color w:val="auto"/>
              </w:rPr>
            </w:pPr>
          </w:p>
        </w:tc>
        <w:tc>
          <w:tcPr>
            <w:tcW w:w="20" w:type="dxa"/>
            <w:vAlign w:val="bottom"/>
            <w:tcBorders>
              <w:top w:val="single" w:sz="8" w:color="E6E7E8"/>
            </w:tcBorders>
            <w:shd w:val="clear" w:color="auto" w:fill="E6E7E8"/>
          </w:tcPr>
          <w:p>
            <w:pPr>
              <w:spacing w:after="0"/>
              <w:rPr>
                <w:sz w:val="18"/>
                <w:szCs w:val="18"/>
                <w:color w:val="auto"/>
              </w:rPr>
            </w:pPr>
          </w:p>
        </w:tc>
        <w:tc>
          <w:tcPr>
            <w:tcW w:w="20" w:type="dxa"/>
            <w:vAlign w:val="bottom"/>
            <w:tcBorders>
              <w:top w:val="single" w:sz="8" w:color="E6E7E8"/>
            </w:tcBorders>
            <w:shd w:val="clear" w:color="auto" w:fill="E6E7E8"/>
          </w:tcPr>
          <w:p>
            <w:pPr>
              <w:spacing w:after="0"/>
              <w:rPr>
                <w:sz w:val="18"/>
                <w:szCs w:val="18"/>
                <w:color w:val="auto"/>
              </w:rPr>
            </w:pPr>
          </w:p>
        </w:tc>
        <w:tc>
          <w:tcPr>
            <w:tcW w:w="180" w:type="dxa"/>
            <w:vAlign w:val="bottom"/>
            <w:tcBorders>
              <w:top w:val="single" w:sz="8" w:color="231F20"/>
            </w:tcBorders>
            <w:gridSpan w:val="2"/>
            <w:shd w:val="clear" w:color="auto" w:fill="E6E7E8"/>
          </w:tcPr>
          <w:p>
            <w:pPr>
              <w:jc w:val="right"/>
              <w:ind w:right="94"/>
              <w:spacing w:after="0"/>
              <w:rPr>
                <w:sz w:val="20"/>
                <w:szCs w:val="20"/>
                <w:color w:val="auto"/>
              </w:rPr>
            </w:pPr>
            <w:r>
              <w:rPr>
                <w:rFonts w:ascii="Times New Roman" w:cs="Times New Roman" w:eastAsia="Times New Roman" w:hAnsi="Times New Roman"/>
                <w:sz w:val="11"/>
                <w:szCs w:val="11"/>
                <w:color w:val="231F20"/>
                <w:w w:val="71"/>
              </w:rPr>
              <w:t>$</w:t>
            </w:r>
          </w:p>
        </w:tc>
        <w:tc>
          <w:tcPr>
            <w:tcW w:w="820" w:type="dxa"/>
            <w:vAlign w:val="bottom"/>
            <w:tcBorders>
              <w:top w:val="single" w:sz="8" w:color="231F20"/>
            </w:tcBorders>
            <w:gridSpan w:val="2"/>
            <w:shd w:val="clear" w:color="auto" w:fill="E6E7E8"/>
          </w:tcPr>
          <w:p>
            <w:pPr>
              <w:jc w:val="right"/>
              <w:ind w:right="20"/>
              <w:spacing w:after="0" w:line="214" w:lineRule="exact"/>
              <w:rPr>
                <w:sz w:val="20"/>
                <w:szCs w:val="20"/>
                <w:color w:val="auto"/>
              </w:rPr>
            </w:pPr>
            <w:r>
              <w:rPr>
                <w:rFonts w:ascii="Times New Roman" w:cs="Times New Roman" w:eastAsia="Times New Roman" w:hAnsi="Times New Roman"/>
                <w:sz w:val="19"/>
                <w:szCs w:val="19"/>
                <w:color w:val="231F20"/>
              </w:rPr>
              <w:t>536.0</w:t>
            </w:r>
          </w:p>
        </w:tc>
        <w:tc>
          <w:tcPr>
            <w:tcW w:w="20" w:type="dxa"/>
            <w:vAlign w:val="bottom"/>
            <w:tcBorders>
              <w:top w:val="single" w:sz="8" w:color="E6E7E8"/>
            </w:tcBorders>
            <w:shd w:val="clear" w:color="auto" w:fill="E6E7E8"/>
          </w:tcPr>
          <w:p>
            <w:pPr>
              <w:spacing w:after="0"/>
              <w:rPr>
                <w:sz w:val="18"/>
                <w:szCs w:val="18"/>
                <w:color w:val="auto"/>
              </w:rPr>
            </w:pPr>
          </w:p>
        </w:tc>
        <w:tc>
          <w:tcPr>
            <w:tcW w:w="40" w:type="dxa"/>
            <w:vAlign w:val="bottom"/>
            <w:tcBorders>
              <w:top w:val="single" w:sz="8" w:color="E6E7E8"/>
            </w:tcBorders>
            <w:shd w:val="clear" w:color="auto" w:fill="E6E7E8"/>
          </w:tcPr>
          <w:p>
            <w:pPr>
              <w:spacing w:after="0"/>
              <w:rPr>
                <w:sz w:val="18"/>
                <w:szCs w:val="18"/>
                <w:color w:val="auto"/>
              </w:rPr>
            </w:pPr>
          </w:p>
        </w:tc>
      </w:tr>
      <w:tr>
        <w:trPr>
          <w:trHeight w:val="218"/>
        </w:trPr>
        <w:tc>
          <w:tcPr>
            <w:tcW w:w="2900" w:type="dxa"/>
            <w:vAlign w:val="bottom"/>
          </w:tcPr>
          <w:p>
            <w:pPr>
              <w:spacing w:after="0"/>
              <w:rPr>
                <w:sz w:val="20"/>
                <w:szCs w:val="20"/>
                <w:color w:val="auto"/>
              </w:rPr>
            </w:pPr>
            <w:r>
              <w:rPr>
                <w:rFonts w:ascii="Times New Roman" w:cs="Times New Roman" w:eastAsia="Times New Roman" w:hAnsi="Times New Roman"/>
                <w:sz w:val="19"/>
                <w:szCs w:val="19"/>
                <w:color w:val="231F20"/>
              </w:rPr>
              <w:t>Less: Cost of Sales</w:t>
            </w:r>
          </w:p>
        </w:tc>
        <w:tc>
          <w:tcPr>
            <w:tcW w:w="2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4"/>
          </w:tcPr>
          <w:p>
            <w:pPr>
              <w:jc w:val="right"/>
              <w:ind w:right="140"/>
              <w:spacing w:after="0"/>
              <w:rPr>
                <w:sz w:val="20"/>
                <w:szCs w:val="20"/>
                <w:color w:val="auto"/>
              </w:rPr>
            </w:pPr>
            <w:r>
              <w:rPr>
                <w:rFonts w:ascii="Times New Roman" w:cs="Times New Roman" w:eastAsia="Times New Roman" w:hAnsi="Times New Roman"/>
                <w:sz w:val="19"/>
                <w:szCs w:val="19"/>
                <w:color w:val="231F20"/>
              </w:rPr>
              <w:t>(121.8)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19"/>
                <w:szCs w:val="19"/>
                <w:color w:val="231F20"/>
              </w:rPr>
              <w:t>(100.5)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231F20"/>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9"/>
                <w:szCs w:val="19"/>
                <w:color w:val="231F20"/>
              </w:rPr>
              <w:t>(222.3)</w:t>
            </w:r>
          </w:p>
        </w:tc>
      </w:tr>
      <w:tr>
        <w:trPr>
          <w:trHeight w:val="218"/>
        </w:trPr>
        <w:tc>
          <w:tcPr>
            <w:tcW w:w="2900" w:type="dxa"/>
            <w:vAlign w:val="bottom"/>
            <w:shd w:val="clear" w:color="auto" w:fill="E6E7E8"/>
          </w:tcPr>
          <w:p>
            <w:pPr>
              <w:spacing w:after="0"/>
              <w:rPr>
                <w:sz w:val="20"/>
                <w:szCs w:val="20"/>
                <w:color w:val="auto"/>
              </w:rPr>
            </w:pPr>
            <w:r>
              <w:rPr>
                <w:rFonts w:ascii="Times New Roman" w:cs="Times New Roman" w:eastAsia="Times New Roman" w:hAnsi="Times New Roman"/>
                <w:sz w:val="19"/>
                <w:szCs w:val="19"/>
                <w:color w:val="231F20"/>
              </w:rPr>
              <w:t>Less: Depreciation and Amortization</w:t>
            </w:r>
          </w:p>
        </w:tc>
        <w:tc>
          <w:tcPr>
            <w:tcW w:w="204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1060" w:type="dxa"/>
            <w:vAlign w:val="bottom"/>
            <w:gridSpan w:val="4"/>
            <w:shd w:val="clear" w:color="auto" w:fill="E6E7E8"/>
          </w:tcPr>
          <w:p>
            <w:pPr>
              <w:jc w:val="right"/>
              <w:ind w:right="140"/>
              <w:spacing w:after="0"/>
              <w:rPr>
                <w:sz w:val="20"/>
                <w:szCs w:val="20"/>
                <w:color w:val="auto"/>
              </w:rPr>
            </w:pPr>
            <w:r>
              <w:rPr>
                <w:rFonts w:ascii="Times New Roman" w:cs="Times New Roman" w:eastAsia="Times New Roman" w:hAnsi="Times New Roman"/>
                <w:sz w:val="19"/>
                <w:szCs w:val="19"/>
                <w:color w:val="231F20"/>
              </w:rPr>
              <w:t>(31.9)</w:t>
            </w:r>
          </w:p>
        </w:tc>
        <w:tc>
          <w:tcPr>
            <w:tcW w:w="2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160" w:type="dxa"/>
            <w:vAlign w:val="bottom"/>
            <w:shd w:val="clear" w:color="auto" w:fill="E6E7E8"/>
          </w:tcPr>
          <w:p>
            <w:pPr>
              <w:spacing w:after="0"/>
              <w:rPr>
                <w:sz w:val="19"/>
                <w:szCs w:val="19"/>
                <w:color w:val="auto"/>
              </w:rPr>
            </w:pPr>
          </w:p>
        </w:tc>
        <w:tc>
          <w:tcPr>
            <w:tcW w:w="1000" w:type="dxa"/>
            <w:vAlign w:val="bottom"/>
            <w:gridSpan w:val="4"/>
            <w:shd w:val="clear" w:color="auto" w:fill="E6E7E8"/>
          </w:tcPr>
          <w:p>
            <w:pPr>
              <w:jc w:val="right"/>
              <w:ind w:right="140"/>
              <w:spacing w:after="0"/>
              <w:rPr>
                <w:sz w:val="20"/>
                <w:szCs w:val="20"/>
                <w:color w:val="auto"/>
              </w:rPr>
            </w:pPr>
            <w:r>
              <w:rPr>
                <w:rFonts w:ascii="Times New Roman" w:cs="Times New Roman" w:eastAsia="Times New Roman" w:hAnsi="Times New Roman"/>
                <w:sz w:val="19"/>
                <w:szCs w:val="19"/>
                <w:color w:val="231F20"/>
              </w:rPr>
              <w:t>(56.8)</w:t>
            </w:r>
          </w:p>
        </w:tc>
        <w:tc>
          <w:tcPr>
            <w:tcW w:w="2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140" w:type="dxa"/>
            <w:vAlign w:val="bottom"/>
            <w:shd w:val="clear" w:color="auto" w:fill="E6E7E8"/>
          </w:tcPr>
          <w:p>
            <w:pPr>
              <w:spacing w:after="0"/>
              <w:rPr>
                <w:sz w:val="19"/>
                <w:szCs w:val="19"/>
                <w:color w:val="auto"/>
              </w:rPr>
            </w:pPr>
          </w:p>
        </w:tc>
        <w:tc>
          <w:tcPr>
            <w:tcW w:w="1060" w:type="dxa"/>
            <w:vAlign w:val="bottom"/>
            <w:gridSpan w:val="6"/>
            <w:shd w:val="clear" w:color="auto" w:fill="E6E7E8"/>
          </w:tcPr>
          <w:p>
            <w:pPr>
              <w:jc w:val="right"/>
              <w:ind w:right="240"/>
              <w:spacing w:after="0"/>
              <w:rPr>
                <w:sz w:val="20"/>
                <w:szCs w:val="20"/>
                <w:color w:val="auto"/>
              </w:rPr>
            </w:pPr>
            <w:r>
              <w:rPr>
                <w:rFonts w:ascii="Times New Roman" w:cs="Times New Roman" w:eastAsia="Times New Roman" w:hAnsi="Times New Roman"/>
                <w:sz w:val="19"/>
                <w:szCs w:val="19"/>
                <w:color w:val="231F20"/>
              </w:rPr>
              <w:t>—</w:t>
            </w:r>
          </w:p>
        </w:tc>
        <w:tc>
          <w:tcPr>
            <w:tcW w:w="20" w:type="dxa"/>
            <w:vAlign w:val="bottom"/>
            <w:shd w:val="clear" w:color="auto" w:fill="E6E7E8"/>
          </w:tcPr>
          <w:p>
            <w:pPr>
              <w:spacing w:after="0"/>
              <w:rPr>
                <w:sz w:val="19"/>
                <w:szCs w:val="19"/>
                <w:color w:val="auto"/>
              </w:rPr>
            </w:pPr>
          </w:p>
        </w:tc>
        <w:tc>
          <w:tcPr>
            <w:tcW w:w="160" w:type="dxa"/>
            <w:vAlign w:val="bottom"/>
            <w:shd w:val="clear" w:color="auto" w:fill="E6E7E8"/>
          </w:tcPr>
          <w:p>
            <w:pPr>
              <w:spacing w:after="0"/>
              <w:rPr>
                <w:sz w:val="19"/>
                <w:szCs w:val="19"/>
                <w:color w:val="auto"/>
              </w:rPr>
            </w:pPr>
          </w:p>
        </w:tc>
        <w:tc>
          <w:tcPr>
            <w:tcW w:w="880" w:type="dxa"/>
            <w:vAlign w:val="bottom"/>
            <w:gridSpan w:val="4"/>
            <w:shd w:val="clear" w:color="auto" w:fill="E6E7E8"/>
          </w:tcPr>
          <w:p>
            <w:pPr>
              <w:jc w:val="right"/>
              <w:ind w:right="20"/>
              <w:spacing w:after="0"/>
              <w:rPr>
                <w:sz w:val="20"/>
                <w:szCs w:val="20"/>
                <w:color w:val="auto"/>
              </w:rPr>
            </w:pPr>
            <w:r>
              <w:rPr>
                <w:rFonts w:ascii="Times New Roman" w:cs="Times New Roman" w:eastAsia="Times New Roman" w:hAnsi="Times New Roman"/>
                <w:sz w:val="19"/>
                <w:szCs w:val="19"/>
                <w:color w:val="231F20"/>
              </w:rPr>
              <w:t>(88.7)</w:t>
            </w:r>
          </w:p>
        </w:tc>
      </w:tr>
      <w:tr>
        <w:trPr>
          <w:trHeight w:val="213"/>
        </w:trPr>
        <w:tc>
          <w:tcPr>
            <w:tcW w:w="2900" w:type="dxa"/>
            <w:vAlign w:val="bottom"/>
          </w:tcPr>
          <w:p>
            <w:pPr>
              <w:ind w:left="200"/>
              <w:spacing w:after="0" w:line="214" w:lineRule="exact"/>
              <w:rPr>
                <w:sz w:val="20"/>
                <w:szCs w:val="20"/>
                <w:color w:val="auto"/>
              </w:rPr>
            </w:pPr>
            <w:r>
              <w:rPr>
                <w:rFonts w:ascii="Times New Roman" w:cs="Times New Roman" w:eastAsia="Times New Roman" w:hAnsi="Times New Roman"/>
                <w:sz w:val="19"/>
                <w:szCs w:val="19"/>
                <w:color w:val="231F20"/>
              </w:rPr>
              <w:t>GAAP Gross Margin</w:t>
            </w: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231F20"/>
            </w:tcBorders>
          </w:tcPr>
          <w:p>
            <w:pPr>
              <w:spacing w:after="0"/>
              <w:rPr>
                <w:sz w:val="18"/>
                <w:szCs w:val="18"/>
                <w:color w:val="auto"/>
              </w:rPr>
            </w:pPr>
          </w:p>
        </w:tc>
        <w:tc>
          <w:tcPr>
            <w:tcW w:w="120" w:type="dxa"/>
            <w:vAlign w:val="bottom"/>
            <w:tcBorders>
              <w:top w:val="single" w:sz="8" w:color="231F20"/>
            </w:tcBorders>
          </w:tcPr>
          <w:p>
            <w:pPr>
              <w:spacing w:after="0"/>
              <w:rPr>
                <w:sz w:val="18"/>
                <w:szCs w:val="18"/>
                <w:color w:val="auto"/>
              </w:rPr>
            </w:pPr>
          </w:p>
        </w:tc>
        <w:tc>
          <w:tcPr>
            <w:tcW w:w="840" w:type="dxa"/>
            <w:vAlign w:val="bottom"/>
            <w:tcBorders>
              <w:top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82.7</w:t>
            </w:r>
          </w:p>
        </w:tc>
        <w:tc>
          <w:tcPr>
            <w:tcW w:w="20" w:type="dxa"/>
            <w:vAlign w:val="bottom"/>
            <w:tcBorders>
              <w:top w:val="single" w:sz="8" w:color="231F20"/>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231F20"/>
            </w:tcBorders>
          </w:tcPr>
          <w:p>
            <w:pPr>
              <w:spacing w:after="0"/>
              <w:rPr>
                <w:sz w:val="18"/>
                <w:szCs w:val="18"/>
                <w:color w:val="auto"/>
              </w:rPr>
            </w:pPr>
          </w:p>
        </w:tc>
        <w:tc>
          <w:tcPr>
            <w:tcW w:w="160" w:type="dxa"/>
            <w:vAlign w:val="bottom"/>
            <w:tcBorders>
              <w:top w:val="single" w:sz="8" w:color="231F20"/>
            </w:tcBorders>
          </w:tcPr>
          <w:p>
            <w:pPr>
              <w:spacing w:after="0"/>
              <w:rPr>
                <w:sz w:val="18"/>
                <w:szCs w:val="18"/>
                <w:color w:val="auto"/>
              </w:rPr>
            </w:pPr>
          </w:p>
        </w:tc>
        <w:tc>
          <w:tcPr>
            <w:tcW w:w="800" w:type="dxa"/>
            <w:vAlign w:val="bottom"/>
            <w:tcBorders>
              <w:top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142.3</w:t>
            </w:r>
          </w:p>
        </w:tc>
        <w:tc>
          <w:tcPr>
            <w:tcW w:w="20" w:type="dxa"/>
            <w:vAlign w:val="bottom"/>
            <w:tcBorders>
              <w:top w:val="single" w:sz="8" w:color="231F20"/>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231F20"/>
            </w:tcBorders>
          </w:tcPr>
          <w:p>
            <w:pPr>
              <w:spacing w:after="0"/>
              <w:rPr>
                <w:sz w:val="18"/>
                <w:szCs w:val="18"/>
                <w:color w:val="auto"/>
              </w:rPr>
            </w:pPr>
          </w:p>
        </w:tc>
        <w:tc>
          <w:tcPr>
            <w:tcW w:w="140" w:type="dxa"/>
            <w:vAlign w:val="bottom"/>
            <w:tcBorders>
              <w:top w:val="single" w:sz="8" w:color="231F20"/>
            </w:tcBorders>
          </w:tcPr>
          <w:p>
            <w:pPr>
              <w:spacing w:after="0"/>
              <w:rPr>
                <w:sz w:val="18"/>
                <w:szCs w:val="18"/>
                <w:color w:val="auto"/>
              </w:rPr>
            </w:pPr>
          </w:p>
        </w:tc>
        <w:tc>
          <w:tcPr>
            <w:tcW w:w="840" w:type="dxa"/>
            <w:vAlign w:val="bottom"/>
            <w:tcBorders>
              <w:top w:val="single" w:sz="8" w:color="231F20"/>
            </w:tcBorders>
            <w:gridSpan w:val="2"/>
          </w:tcPr>
          <w:p>
            <w:pPr>
              <w:jc w:val="right"/>
              <w:ind w:right="20"/>
              <w:spacing w:after="0" w:line="214" w:lineRule="exact"/>
              <w:rPr>
                <w:sz w:val="20"/>
                <w:szCs w:val="20"/>
                <w:color w:val="auto"/>
              </w:rPr>
            </w:pPr>
            <w:r>
              <w:rPr>
                <w:rFonts w:ascii="Times New Roman" w:cs="Times New Roman" w:eastAsia="Times New Roman" w:hAnsi="Times New Roman"/>
                <w:sz w:val="19"/>
                <w:szCs w:val="19"/>
                <w:color w:val="231F20"/>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231F20"/>
            </w:tcBorders>
          </w:tcPr>
          <w:p>
            <w:pPr>
              <w:spacing w:after="0"/>
              <w:rPr>
                <w:sz w:val="18"/>
                <w:szCs w:val="18"/>
                <w:color w:val="auto"/>
              </w:rPr>
            </w:pPr>
          </w:p>
        </w:tc>
        <w:tc>
          <w:tcPr>
            <w:tcW w:w="160" w:type="dxa"/>
            <w:vAlign w:val="bottom"/>
            <w:tcBorders>
              <w:top w:val="single" w:sz="8" w:color="231F20"/>
            </w:tcBorders>
          </w:tcPr>
          <w:p>
            <w:pPr>
              <w:spacing w:after="0"/>
              <w:rPr>
                <w:sz w:val="18"/>
                <w:szCs w:val="18"/>
                <w:color w:val="auto"/>
              </w:rPr>
            </w:pPr>
          </w:p>
        </w:tc>
        <w:tc>
          <w:tcPr>
            <w:tcW w:w="820" w:type="dxa"/>
            <w:vAlign w:val="bottom"/>
            <w:tcBorders>
              <w:top w:val="single" w:sz="8" w:color="231F20"/>
            </w:tcBorders>
            <w:gridSpan w:val="2"/>
          </w:tcPr>
          <w:p>
            <w:pPr>
              <w:jc w:val="right"/>
              <w:ind w:right="20"/>
              <w:spacing w:after="0" w:line="214" w:lineRule="exact"/>
              <w:rPr>
                <w:sz w:val="20"/>
                <w:szCs w:val="20"/>
                <w:color w:val="auto"/>
              </w:rPr>
            </w:pPr>
            <w:r>
              <w:rPr>
                <w:rFonts w:ascii="Times New Roman" w:cs="Times New Roman" w:eastAsia="Times New Roman" w:hAnsi="Times New Roman"/>
                <w:sz w:val="19"/>
                <w:szCs w:val="19"/>
                <w:color w:val="231F20"/>
              </w:rPr>
              <w:t>225.0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8"/>
        </w:trPr>
        <w:tc>
          <w:tcPr>
            <w:tcW w:w="2900" w:type="dxa"/>
            <w:vAlign w:val="bottom"/>
            <w:shd w:val="clear" w:color="auto" w:fill="E6E7E8"/>
          </w:tcPr>
          <w:p>
            <w:pPr>
              <w:spacing w:after="0"/>
              <w:rPr>
                <w:sz w:val="20"/>
                <w:szCs w:val="20"/>
                <w:color w:val="auto"/>
              </w:rPr>
            </w:pPr>
            <w:r>
              <w:rPr>
                <w:rFonts w:ascii="Times New Roman" w:cs="Times New Roman" w:eastAsia="Times New Roman" w:hAnsi="Times New Roman"/>
                <w:sz w:val="19"/>
                <w:szCs w:val="19"/>
                <w:color w:val="231F20"/>
              </w:rPr>
              <w:t>Depreciation and Amortization</w:t>
            </w:r>
          </w:p>
        </w:tc>
        <w:tc>
          <w:tcPr>
            <w:tcW w:w="204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1060" w:type="dxa"/>
            <w:vAlign w:val="bottom"/>
            <w:gridSpan w:val="4"/>
            <w:shd w:val="clear" w:color="auto" w:fill="E6E7E8"/>
          </w:tcPr>
          <w:p>
            <w:pPr>
              <w:jc w:val="right"/>
              <w:ind w:right="220"/>
              <w:spacing w:after="0"/>
              <w:rPr>
                <w:sz w:val="20"/>
                <w:szCs w:val="20"/>
                <w:color w:val="auto"/>
              </w:rPr>
            </w:pPr>
            <w:r>
              <w:rPr>
                <w:rFonts w:ascii="Times New Roman" w:cs="Times New Roman" w:eastAsia="Times New Roman" w:hAnsi="Times New Roman"/>
                <w:sz w:val="19"/>
                <w:szCs w:val="19"/>
                <w:color w:val="231F20"/>
              </w:rPr>
              <w:t>31.9</w:t>
            </w:r>
          </w:p>
        </w:tc>
        <w:tc>
          <w:tcPr>
            <w:tcW w:w="2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160" w:type="dxa"/>
            <w:vAlign w:val="bottom"/>
            <w:shd w:val="clear" w:color="auto" w:fill="E6E7E8"/>
          </w:tcPr>
          <w:p>
            <w:pPr>
              <w:spacing w:after="0"/>
              <w:rPr>
                <w:sz w:val="19"/>
                <w:szCs w:val="19"/>
                <w:color w:val="auto"/>
              </w:rPr>
            </w:pPr>
          </w:p>
        </w:tc>
        <w:tc>
          <w:tcPr>
            <w:tcW w:w="1000" w:type="dxa"/>
            <w:vAlign w:val="bottom"/>
            <w:gridSpan w:val="4"/>
            <w:shd w:val="clear" w:color="auto" w:fill="E6E7E8"/>
          </w:tcPr>
          <w:p>
            <w:pPr>
              <w:jc w:val="right"/>
              <w:ind w:right="200"/>
              <w:spacing w:after="0"/>
              <w:rPr>
                <w:sz w:val="20"/>
                <w:szCs w:val="20"/>
                <w:color w:val="auto"/>
              </w:rPr>
            </w:pPr>
            <w:r>
              <w:rPr>
                <w:rFonts w:ascii="Times New Roman" w:cs="Times New Roman" w:eastAsia="Times New Roman" w:hAnsi="Times New Roman"/>
                <w:sz w:val="19"/>
                <w:szCs w:val="19"/>
                <w:color w:val="231F20"/>
              </w:rPr>
              <w:t>56.8</w:t>
            </w:r>
          </w:p>
        </w:tc>
        <w:tc>
          <w:tcPr>
            <w:tcW w:w="2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140" w:type="dxa"/>
            <w:vAlign w:val="bottom"/>
            <w:shd w:val="clear" w:color="auto" w:fill="E6E7E8"/>
          </w:tcPr>
          <w:p>
            <w:pPr>
              <w:spacing w:after="0"/>
              <w:rPr>
                <w:sz w:val="19"/>
                <w:szCs w:val="19"/>
                <w:color w:val="auto"/>
              </w:rPr>
            </w:pPr>
          </w:p>
        </w:tc>
        <w:tc>
          <w:tcPr>
            <w:tcW w:w="1060" w:type="dxa"/>
            <w:vAlign w:val="bottom"/>
            <w:gridSpan w:val="6"/>
            <w:shd w:val="clear" w:color="auto" w:fill="E6E7E8"/>
          </w:tcPr>
          <w:p>
            <w:pPr>
              <w:jc w:val="right"/>
              <w:ind w:right="240"/>
              <w:spacing w:after="0"/>
              <w:rPr>
                <w:sz w:val="20"/>
                <w:szCs w:val="20"/>
                <w:color w:val="auto"/>
              </w:rPr>
            </w:pPr>
            <w:r>
              <w:rPr>
                <w:rFonts w:ascii="Times New Roman" w:cs="Times New Roman" w:eastAsia="Times New Roman" w:hAnsi="Times New Roman"/>
                <w:sz w:val="19"/>
                <w:szCs w:val="19"/>
                <w:color w:val="231F20"/>
              </w:rPr>
              <w:t>—</w:t>
            </w:r>
          </w:p>
        </w:tc>
        <w:tc>
          <w:tcPr>
            <w:tcW w:w="20" w:type="dxa"/>
            <w:vAlign w:val="bottom"/>
            <w:shd w:val="clear" w:color="auto" w:fill="E6E7E8"/>
          </w:tcPr>
          <w:p>
            <w:pPr>
              <w:spacing w:after="0"/>
              <w:rPr>
                <w:sz w:val="19"/>
                <w:szCs w:val="19"/>
                <w:color w:val="auto"/>
              </w:rPr>
            </w:pPr>
          </w:p>
        </w:tc>
        <w:tc>
          <w:tcPr>
            <w:tcW w:w="160" w:type="dxa"/>
            <w:vAlign w:val="bottom"/>
            <w:shd w:val="clear" w:color="auto" w:fill="E6E7E8"/>
          </w:tcPr>
          <w:p>
            <w:pPr>
              <w:spacing w:after="0"/>
              <w:rPr>
                <w:sz w:val="19"/>
                <w:szCs w:val="19"/>
                <w:color w:val="auto"/>
              </w:rPr>
            </w:pPr>
          </w:p>
        </w:tc>
        <w:tc>
          <w:tcPr>
            <w:tcW w:w="840" w:type="dxa"/>
            <w:vAlign w:val="bottom"/>
            <w:gridSpan w:val="3"/>
            <w:shd w:val="clear" w:color="auto" w:fill="E6E7E8"/>
          </w:tcPr>
          <w:p>
            <w:pPr>
              <w:jc w:val="right"/>
              <w:ind w:right="40"/>
              <w:spacing w:after="0"/>
              <w:rPr>
                <w:sz w:val="20"/>
                <w:szCs w:val="20"/>
                <w:color w:val="auto"/>
              </w:rPr>
            </w:pPr>
            <w:r>
              <w:rPr>
                <w:rFonts w:ascii="Times New Roman" w:cs="Times New Roman" w:eastAsia="Times New Roman" w:hAnsi="Times New Roman"/>
                <w:sz w:val="19"/>
                <w:szCs w:val="19"/>
                <w:color w:val="231F20"/>
              </w:rPr>
              <w:t>88.7</w:t>
            </w:r>
          </w:p>
        </w:tc>
        <w:tc>
          <w:tcPr>
            <w:tcW w:w="40" w:type="dxa"/>
            <w:vAlign w:val="bottom"/>
            <w:shd w:val="clear" w:color="auto" w:fill="E6E7E8"/>
          </w:tcPr>
          <w:p>
            <w:pPr>
              <w:spacing w:after="0"/>
              <w:rPr>
                <w:sz w:val="19"/>
                <w:szCs w:val="19"/>
                <w:color w:val="auto"/>
              </w:rPr>
            </w:pPr>
          </w:p>
        </w:tc>
      </w:tr>
      <w:tr>
        <w:trPr>
          <w:trHeight w:val="214"/>
        </w:trPr>
        <w:tc>
          <w:tcPr>
            <w:tcW w:w="2900" w:type="dxa"/>
            <w:vAlign w:val="bottom"/>
          </w:tcPr>
          <w:p>
            <w:pPr>
              <w:ind w:left="200"/>
              <w:spacing w:after="0" w:line="214" w:lineRule="exact"/>
              <w:rPr>
                <w:sz w:val="20"/>
                <w:szCs w:val="20"/>
                <w:color w:val="auto"/>
              </w:rPr>
            </w:pPr>
            <w:r>
              <w:rPr>
                <w:rFonts w:ascii="Times New Roman" w:cs="Times New Roman" w:eastAsia="Times New Roman" w:hAnsi="Times New Roman"/>
                <w:sz w:val="19"/>
                <w:szCs w:val="19"/>
                <w:color w:val="231F20"/>
              </w:rPr>
              <w:t>Adjusted Gross Margin</w:t>
            </w: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231F20"/>
            </w:tcBorders>
            <w:gridSpan w:val="2"/>
          </w:tcPr>
          <w:p>
            <w:pPr>
              <w:jc w:val="right"/>
              <w:ind w:right="54"/>
              <w:spacing w:after="0"/>
              <w:rPr>
                <w:sz w:val="20"/>
                <w:szCs w:val="20"/>
                <w:color w:val="auto"/>
              </w:rPr>
            </w:pPr>
            <w:r>
              <w:rPr>
                <w:rFonts w:ascii="Times New Roman" w:cs="Times New Roman" w:eastAsia="Times New Roman" w:hAnsi="Times New Roman"/>
                <w:sz w:val="11"/>
                <w:szCs w:val="11"/>
                <w:color w:val="231F20"/>
                <w:w w:val="71"/>
              </w:rPr>
              <w:t>$</w:t>
            </w:r>
          </w:p>
        </w:tc>
        <w:tc>
          <w:tcPr>
            <w:tcW w:w="840" w:type="dxa"/>
            <w:vAlign w:val="bottom"/>
            <w:tcBorders>
              <w:top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114.6</w:t>
            </w:r>
          </w:p>
        </w:tc>
        <w:tc>
          <w:tcPr>
            <w:tcW w:w="20" w:type="dxa"/>
            <w:vAlign w:val="bottom"/>
            <w:tcBorders>
              <w:top w:val="single" w:sz="8" w:color="231F20"/>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231F20"/>
            </w:tcBorders>
            <w:gridSpan w:val="2"/>
          </w:tcPr>
          <w:p>
            <w:pPr>
              <w:jc w:val="right"/>
              <w:ind w:right="135"/>
              <w:spacing w:after="0"/>
              <w:rPr>
                <w:sz w:val="20"/>
                <w:szCs w:val="20"/>
                <w:color w:val="auto"/>
              </w:rPr>
            </w:pPr>
            <w:r>
              <w:rPr>
                <w:rFonts w:ascii="Times New Roman" w:cs="Times New Roman" w:eastAsia="Times New Roman" w:hAnsi="Times New Roman"/>
                <w:sz w:val="5"/>
                <w:szCs w:val="5"/>
                <w:color w:val="231F20"/>
                <w:w w:val="78"/>
              </w:rPr>
              <w:t>$</w:t>
            </w:r>
          </w:p>
        </w:tc>
        <w:tc>
          <w:tcPr>
            <w:tcW w:w="800" w:type="dxa"/>
            <w:vAlign w:val="bottom"/>
            <w:tcBorders>
              <w:top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199.1</w:t>
            </w:r>
          </w:p>
        </w:tc>
        <w:tc>
          <w:tcPr>
            <w:tcW w:w="20" w:type="dxa"/>
            <w:vAlign w:val="bottom"/>
            <w:tcBorders>
              <w:top w:val="single" w:sz="8" w:color="231F20"/>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231F20"/>
            </w:tcBorders>
            <w:gridSpan w:val="2"/>
          </w:tcPr>
          <w:p>
            <w:pPr>
              <w:jc w:val="right"/>
              <w:ind w:right="104"/>
              <w:spacing w:after="0"/>
              <w:rPr>
                <w:sz w:val="20"/>
                <w:szCs w:val="20"/>
                <w:color w:val="auto"/>
              </w:rPr>
            </w:pPr>
            <w:r>
              <w:rPr>
                <w:rFonts w:ascii="Times New Roman" w:cs="Times New Roman" w:eastAsia="Times New Roman" w:hAnsi="Times New Roman"/>
                <w:sz w:val="5"/>
                <w:szCs w:val="5"/>
                <w:color w:val="231F20"/>
                <w:w w:val="78"/>
              </w:rPr>
              <w:t>$</w:t>
            </w:r>
          </w:p>
        </w:tc>
        <w:tc>
          <w:tcPr>
            <w:tcW w:w="840" w:type="dxa"/>
            <w:vAlign w:val="bottom"/>
            <w:tcBorders>
              <w:top w:val="single" w:sz="8" w:color="231F20"/>
            </w:tcBorders>
            <w:gridSpan w:val="2"/>
          </w:tcPr>
          <w:p>
            <w:pPr>
              <w:jc w:val="right"/>
              <w:ind w:right="20"/>
              <w:spacing w:after="0" w:line="214" w:lineRule="exact"/>
              <w:rPr>
                <w:sz w:val="20"/>
                <w:szCs w:val="20"/>
                <w:color w:val="auto"/>
              </w:rPr>
            </w:pPr>
            <w:r>
              <w:rPr>
                <w:rFonts w:ascii="Times New Roman" w:cs="Times New Roman" w:eastAsia="Times New Roman" w:hAnsi="Times New Roman"/>
                <w:sz w:val="19"/>
                <w:szCs w:val="19"/>
                <w:color w:val="231F20"/>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231F20"/>
            </w:tcBorders>
            <w:gridSpan w:val="2"/>
          </w:tcPr>
          <w:p>
            <w:pPr>
              <w:jc w:val="right"/>
              <w:ind w:right="94"/>
              <w:spacing w:after="0"/>
              <w:rPr>
                <w:sz w:val="20"/>
                <w:szCs w:val="20"/>
                <w:color w:val="auto"/>
              </w:rPr>
            </w:pPr>
            <w:r>
              <w:rPr>
                <w:rFonts w:ascii="Times New Roman" w:cs="Times New Roman" w:eastAsia="Times New Roman" w:hAnsi="Times New Roman"/>
                <w:sz w:val="11"/>
                <w:szCs w:val="11"/>
                <w:color w:val="231F20"/>
                <w:w w:val="71"/>
              </w:rPr>
              <w:t>$</w:t>
            </w:r>
          </w:p>
        </w:tc>
        <w:tc>
          <w:tcPr>
            <w:tcW w:w="820" w:type="dxa"/>
            <w:vAlign w:val="bottom"/>
            <w:tcBorders>
              <w:top w:val="single" w:sz="8" w:color="231F20"/>
            </w:tcBorders>
            <w:gridSpan w:val="2"/>
          </w:tcPr>
          <w:p>
            <w:pPr>
              <w:jc w:val="right"/>
              <w:ind w:right="20"/>
              <w:spacing w:after="0" w:line="214" w:lineRule="exact"/>
              <w:rPr>
                <w:sz w:val="20"/>
                <w:szCs w:val="20"/>
                <w:color w:val="auto"/>
              </w:rPr>
            </w:pPr>
            <w:r>
              <w:rPr>
                <w:rFonts w:ascii="Times New Roman" w:cs="Times New Roman" w:eastAsia="Times New Roman" w:hAnsi="Times New Roman"/>
                <w:sz w:val="19"/>
                <w:szCs w:val="19"/>
                <w:color w:val="231F20"/>
              </w:rPr>
              <w:t>313.7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9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41"/>
        </w:trPr>
        <w:tc>
          <w:tcPr>
            <w:tcW w:w="2900" w:type="dxa"/>
            <w:vAlign w:val="bottom"/>
          </w:tcPr>
          <w:p>
            <w:pPr>
              <w:spacing w:after="0"/>
              <w:rPr>
                <w:sz w:val="24"/>
                <w:szCs w:val="24"/>
                <w:color w:val="auto"/>
              </w:rPr>
            </w:pPr>
          </w:p>
        </w:tc>
        <w:tc>
          <w:tcPr>
            <w:tcW w:w="4540" w:type="dxa"/>
            <w:vAlign w:val="bottom"/>
            <w:gridSpan w:val="19"/>
          </w:tcPr>
          <w:p>
            <w:pPr>
              <w:ind w:left="80"/>
              <w:spacing w:after="0"/>
              <w:rPr>
                <w:sz w:val="20"/>
                <w:szCs w:val="20"/>
                <w:color w:val="auto"/>
              </w:rPr>
            </w:pPr>
            <w:r>
              <w:rPr>
                <w:rFonts w:ascii="Times New Roman" w:cs="Times New Roman" w:eastAsia="Times New Roman" w:hAnsi="Times New Roman"/>
                <w:sz w:val="16"/>
                <w:szCs w:val="16"/>
                <w:b w:val="1"/>
                <w:bCs w:val="1"/>
                <w:color w:val="231F20"/>
              </w:rPr>
              <w:t>Twelve Months Ended December 31, 2024 ($ millions)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3"/>
        </w:trPr>
        <w:tc>
          <w:tcPr>
            <w:tcW w:w="2900" w:type="dxa"/>
            <w:vAlign w:val="bottom"/>
            <w:tcBorders>
              <w:bottom w:val="single" w:sz="8" w:color="E6E7E8"/>
            </w:tcBorders>
          </w:tcPr>
          <w:p>
            <w:pPr>
              <w:spacing w:after="0"/>
              <w:rPr>
                <w:sz w:val="17"/>
                <w:szCs w:val="17"/>
                <w:color w:val="auto"/>
              </w:rPr>
            </w:pPr>
          </w:p>
        </w:tc>
        <w:tc>
          <w:tcPr>
            <w:tcW w:w="2040" w:type="dxa"/>
            <w:vAlign w:val="bottom"/>
            <w:tcBorders>
              <w:bottom w:val="single" w:sz="8" w:color="E6E7E8"/>
            </w:tcBorders>
          </w:tcPr>
          <w:p>
            <w:pPr>
              <w:spacing w:after="0"/>
              <w:rPr>
                <w:sz w:val="17"/>
                <w:szCs w:val="17"/>
                <w:color w:val="auto"/>
              </w:rPr>
            </w:pPr>
          </w:p>
        </w:tc>
        <w:tc>
          <w:tcPr>
            <w:tcW w:w="20" w:type="dxa"/>
            <w:vAlign w:val="bottom"/>
            <w:tcBorders>
              <w:bottom w:val="single" w:sz="8" w:color="E6E7E8"/>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231F20"/>
              </w:rPr>
              <w:t>Electric</w:t>
            </w:r>
          </w:p>
        </w:tc>
        <w:tc>
          <w:tcPr>
            <w:tcW w:w="220" w:type="dxa"/>
            <w:vAlign w:val="bottom"/>
            <w:tcBorders>
              <w:bottom w:val="single" w:sz="8" w:color="E6E7E8"/>
            </w:tcBorders>
            <w:gridSpan w:val="3"/>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820" w:type="dxa"/>
            <w:vAlign w:val="bottom"/>
            <w:tcBorders>
              <w:bottom w:val="single" w:sz="8" w:color="231F20"/>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231F20"/>
              </w:rPr>
              <w:t>Gas</w:t>
            </w:r>
          </w:p>
        </w:tc>
        <w:tc>
          <w:tcPr>
            <w:tcW w:w="200" w:type="dxa"/>
            <w:vAlign w:val="bottom"/>
            <w:tcBorders>
              <w:bottom w:val="single" w:sz="8" w:color="E6E7E8"/>
            </w:tcBorders>
            <w:gridSpan w:val="3"/>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820" w:type="dxa"/>
            <w:vAlign w:val="bottom"/>
            <w:tcBorders>
              <w:bottom w:val="single" w:sz="8" w:color="231F20"/>
            </w:tcBorders>
          </w:tcPr>
          <w:p>
            <w:pPr>
              <w:ind w:left="100"/>
              <w:spacing w:after="0"/>
              <w:rPr>
                <w:sz w:val="20"/>
                <w:szCs w:val="20"/>
                <w:color w:val="auto"/>
              </w:rPr>
            </w:pPr>
            <w:r>
              <w:rPr>
                <w:rFonts w:ascii="Times New Roman" w:cs="Times New Roman" w:eastAsia="Times New Roman" w:hAnsi="Times New Roman"/>
                <w:sz w:val="16"/>
                <w:szCs w:val="16"/>
                <w:b w:val="1"/>
                <w:bCs w:val="1"/>
                <w:color w:val="231F20"/>
              </w:rPr>
              <w:t>Other</w:t>
            </w:r>
          </w:p>
        </w:tc>
        <w:tc>
          <w:tcPr>
            <w:tcW w:w="20" w:type="dxa"/>
            <w:vAlign w:val="bottom"/>
          </w:tcPr>
          <w:p>
            <w:pPr>
              <w:spacing w:after="0"/>
              <w:rPr>
                <w:sz w:val="17"/>
                <w:szCs w:val="17"/>
                <w:color w:val="auto"/>
              </w:rPr>
            </w:pPr>
          </w:p>
        </w:tc>
        <w:tc>
          <w:tcPr>
            <w:tcW w:w="200" w:type="dxa"/>
            <w:vAlign w:val="bottom"/>
            <w:tcBorders>
              <w:bottom w:val="single" w:sz="8" w:color="E6E7E8"/>
            </w:tcBorders>
            <w:gridSpan w:val="3"/>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800" w:type="dxa"/>
            <w:vAlign w:val="bottom"/>
            <w:tcBorders>
              <w:bottom w:val="single" w:sz="8" w:color="231F20"/>
            </w:tcBorders>
          </w:tcPr>
          <w:p>
            <w:pPr>
              <w:jc w:val="right"/>
              <w:ind w:right="227"/>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20" w:type="dxa"/>
            <w:vAlign w:val="bottom"/>
          </w:tcPr>
          <w:p>
            <w:pPr>
              <w:spacing w:after="0"/>
              <w:rPr>
                <w:sz w:val="17"/>
                <w:szCs w:val="17"/>
                <w:color w:val="auto"/>
              </w:rPr>
            </w:pPr>
          </w:p>
        </w:tc>
        <w:tc>
          <w:tcPr>
            <w:tcW w:w="60" w:type="dxa"/>
            <w:vAlign w:val="bottom"/>
            <w:tcBorders>
              <w:bottom w:val="single" w:sz="8" w:color="E6E7E8"/>
            </w:tcBorders>
            <w:gridSpan w:val="2"/>
          </w:tcPr>
          <w:p>
            <w:pPr>
              <w:spacing w:after="0"/>
              <w:rPr>
                <w:sz w:val="17"/>
                <w:szCs w:val="17"/>
                <w:color w:val="auto"/>
              </w:rPr>
            </w:pPr>
          </w:p>
        </w:tc>
      </w:tr>
      <w:tr>
        <w:trPr>
          <w:trHeight w:val="214"/>
        </w:trPr>
        <w:tc>
          <w:tcPr>
            <w:tcW w:w="2900" w:type="dxa"/>
            <w:vAlign w:val="bottom"/>
            <w:shd w:val="clear" w:color="auto" w:fill="E6E7E8"/>
          </w:tcPr>
          <w:p>
            <w:pPr>
              <w:spacing w:after="0" w:line="214" w:lineRule="exact"/>
              <w:rPr>
                <w:sz w:val="20"/>
                <w:szCs w:val="20"/>
                <w:color w:val="auto"/>
              </w:rPr>
            </w:pPr>
            <w:r>
              <w:rPr>
                <w:rFonts w:ascii="Times New Roman" w:cs="Times New Roman" w:eastAsia="Times New Roman" w:hAnsi="Times New Roman"/>
                <w:sz w:val="19"/>
                <w:szCs w:val="19"/>
                <w:color w:val="231F20"/>
              </w:rPr>
              <w:t>Total Operating Revenue</w:t>
            </w:r>
          </w:p>
        </w:tc>
        <w:tc>
          <w:tcPr>
            <w:tcW w:w="2040" w:type="dxa"/>
            <w:vAlign w:val="bottom"/>
            <w:shd w:val="clear" w:color="auto" w:fill="E6E7E8"/>
          </w:tcPr>
          <w:p>
            <w:pPr>
              <w:spacing w:after="0"/>
              <w:rPr>
                <w:sz w:val="18"/>
                <w:szCs w:val="18"/>
                <w:color w:val="auto"/>
              </w:rPr>
            </w:pPr>
          </w:p>
        </w:tc>
        <w:tc>
          <w:tcPr>
            <w:tcW w:w="20" w:type="dxa"/>
            <w:vAlign w:val="bottom"/>
            <w:shd w:val="clear" w:color="auto" w:fill="E6E7E8"/>
          </w:tcPr>
          <w:p>
            <w:pPr>
              <w:spacing w:after="0"/>
              <w:rPr>
                <w:sz w:val="18"/>
                <w:szCs w:val="18"/>
                <w:color w:val="auto"/>
              </w:rPr>
            </w:pPr>
          </w:p>
        </w:tc>
        <w:tc>
          <w:tcPr>
            <w:tcW w:w="20" w:type="dxa"/>
            <w:vAlign w:val="bottom"/>
            <w:shd w:val="clear" w:color="auto" w:fill="E6E7E8"/>
          </w:tcPr>
          <w:p>
            <w:pPr>
              <w:spacing w:after="0"/>
              <w:rPr>
                <w:sz w:val="18"/>
                <w:szCs w:val="18"/>
                <w:color w:val="auto"/>
              </w:rPr>
            </w:pPr>
          </w:p>
        </w:tc>
        <w:tc>
          <w:tcPr>
            <w:tcW w:w="140" w:type="dxa"/>
            <w:vAlign w:val="bottom"/>
            <w:gridSpan w:val="2"/>
            <w:shd w:val="clear" w:color="auto" w:fill="E6E7E8"/>
          </w:tcPr>
          <w:p>
            <w:pPr>
              <w:jc w:val="right"/>
              <w:ind w:right="54"/>
              <w:spacing w:after="0"/>
              <w:rPr>
                <w:sz w:val="20"/>
                <w:szCs w:val="20"/>
                <w:color w:val="auto"/>
              </w:rPr>
            </w:pPr>
            <w:r>
              <w:rPr>
                <w:rFonts w:ascii="Times New Roman" w:cs="Times New Roman" w:eastAsia="Times New Roman" w:hAnsi="Times New Roman"/>
                <w:sz w:val="11"/>
                <w:szCs w:val="11"/>
                <w:color w:val="231F20"/>
                <w:w w:val="71"/>
              </w:rPr>
              <w:t>$</w:t>
            </w:r>
          </w:p>
        </w:tc>
        <w:tc>
          <w:tcPr>
            <w:tcW w:w="860" w:type="dxa"/>
            <w:vAlign w:val="bottom"/>
            <w:gridSpan w:val="2"/>
            <w:shd w:val="clear" w:color="auto" w:fill="E6E7E8"/>
          </w:tcPr>
          <w:p>
            <w:pPr>
              <w:jc w:val="right"/>
              <w:ind w:right="20"/>
              <w:spacing w:after="0" w:line="214" w:lineRule="exact"/>
              <w:rPr>
                <w:sz w:val="20"/>
                <w:szCs w:val="20"/>
                <w:color w:val="auto"/>
              </w:rPr>
            </w:pPr>
            <w:r>
              <w:rPr>
                <w:rFonts w:ascii="Times New Roman" w:cs="Times New Roman" w:eastAsia="Times New Roman" w:hAnsi="Times New Roman"/>
                <w:sz w:val="19"/>
                <w:szCs w:val="19"/>
                <w:color w:val="231F20"/>
              </w:rPr>
              <w:t>248.3</w:t>
            </w:r>
          </w:p>
        </w:tc>
        <w:tc>
          <w:tcPr>
            <w:tcW w:w="20" w:type="dxa"/>
            <w:vAlign w:val="bottom"/>
            <w:shd w:val="clear" w:color="auto" w:fill="E6E7E8"/>
          </w:tcPr>
          <w:p>
            <w:pPr>
              <w:spacing w:after="0"/>
              <w:rPr>
                <w:sz w:val="18"/>
                <w:szCs w:val="18"/>
                <w:color w:val="auto"/>
              </w:rPr>
            </w:pPr>
          </w:p>
        </w:tc>
        <w:tc>
          <w:tcPr>
            <w:tcW w:w="180" w:type="dxa"/>
            <w:vAlign w:val="bottom"/>
            <w:shd w:val="clear" w:color="auto" w:fill="E6E7E8"/>
          </w:tcPr>
          <w:p>
            <w:pPr>
              <w:spacing w:after="0"/>
              <w:rPr>
                <w:sz w:val="18"/>
                <w:szCs w:val="18"/>
                <w:color w:val="auto"/>
              </w:rPr>
            </w:pPr>
          </w:p>
        </w:tc>
        <w:tc>
          <w:tcPr>
            <w:tcW w:w="20" w:type="dxa"/>
            <w:vAlign w:val="bottom"/>
            <w:shd w:val="clear" w:color="auto" w:fill="E6E7E8"/>
          </w:tcPr>
          <w:p>
            <w:pPr>
              <w:spacing w:after="0"/>
              <w:rPr>
                <w:sz w:val="18"/>
                <w:szCs w:val="18"/>
                <w:color w:val="auto"/>
              </w:rPr>
            </w:pPr>
          </w:p>
        </w:tc>
        <w:tc>
          <w:tcPr>
            <w:tcW w:w="20" w:type="dxa"/>
            <w:vAlign w:val="bottom"/>
            <w:shd w:val="clear" w:color="auto" w:fill="E6E7E8"/>
          </w:tcPr>
          <w:p>
            <w:pPr>
              <w:spacing w:after="0"/>
              <w:rPr>
                <w:sz w:val="18"/>
                <w:szCs w:val="18"/>
                <w:color w:val="auto"/>
              </w:rPr>
            </w:pPr>
          </w:p>
        </w:tc>
        <w:tc>
          <w:tcPr>
            <w:tcW w:w="180" w:type="dxa"/>
            <w:vAlign w:val="bottom"/>
            <w:gridSpan w:val="2"/>
            <w:shd w:val="clear" w:color="auto" w:fill="E6E7E8"/>
          </w:tcPr>
          <w:p>
            <w:pPr>
              <w:jc w:val="right"/>
              <w:ind w:right="135"/>
              <w:spacing w:after="0"/>
              <w:rPr>
                <w:sz w:val="20"/>
                <w:szCs w:val="20"/>
                <w:color w:val="auto"/>
              </w:rPr>
            </w:pPr>
            <w:r>
              <w:rPr>
                <w:rFonts w:ascii="Times New Roman" w:cs="Times New Roman" w:eastAsia="Times New Roman" w:hAnsi="Times New Roman"/>
                <w:sz w:val="5"/>
                <w:szCs w:val="5"/>
                <w:color w:val="231F20"/>
                <w:w w:val="78"/>
              </w:rPr>
              <w:t>$</w:t>
            </w:r>
          </w:p>
        </w:tc>
        <w:tc>
          <w:tcPr>
            <w:tcW w:w="820" w:type="dxa"/>
            <w:vAlign w:val="bottom"/>
            <w:gridSpan w:val="2"/>
            <w:shd w:val="clear" w:color="auto" w:fill="E6E7E8"/>
          </w:tcPr>
          <w:p>
            <w:pPr>
              <w:jc w:val="right"/>
              <w:ind w:right="20"/>
              <w:spacing w:after="0" w:line="214" w:lineRule="exact"/>
              <w:rPr>
                <w:sz w:val="20"/>
                <w:szCs w:val="20"/>
                <w:color w:val="auto"/>
              </w:rPr>
            </w:pPr>
            <w:r>
              <w:rPr>
                <w:rFonts w:ascii="Times New Roman" w:cs="Times New Roman" w:eastAsia="Times New Roman" w:hAnsi="Times New Roman"/>
                <w:sz w:val="19"/>
                <w:szCs w:val="19"/>
                <w:color w:val="231F20"/>
              </w:rPr>
              <w:t>246.5</w:t>
            </w:r>
          </w:p>
        </w:tc>
        <w:tc>
          <w:tcPr>
            <w:tcW w:w="20" w:type="dxa"/>
            <w:vAlign w:val="bottom"/>
            <w:shd w:val="clear" w:color="auto" w:fill="E6E7E8"/>
          </w:tcPr>
          <w:p>
            <w:pPr>
              <w:spacing w:after="0"/>
              <w:rPr>
                <w:sz w:val="18"/>
                <w:szCs w:val="18"/>
                <w:color w:val="auto"/>
              </w:rPr>
            </w:pPr>
          </w:p>
        </w:tc>
        <w:tc>
          <w:tcPr>
            <w:tcW w:w="160" w:type="dxa"/>
            <w:vAlign w:val="bottom"/>
            <w:shd w:val="clear" w:color="auto" w:fill="E6E7E8"/>
          </w:tcPr>
          <w:p>
            <w:pPr>
              <w:spacing w:after="0"/>
              <w:rPr>
                <w:sz w:val="18"/>
                <w:szCs w:val="18"/>
                <w:color w:val="auto"/>
              </w:rPr>
            </w:pPr>
          </w:p>
        </w:tc>
        <w:tc>
          <w:tcPr>
            <w:tcW w:w="20" w:type="dxa"/>
            <w:vAlign w:val="bottom"/>
            <w:shd w:val="clear" w:color="auto" w:fill="E6E7E8"/>
          </w:tcPr>
          <w:p>
            <w:pPr>
              <w:spacing w:after="0"/>
              <w:rPr>
                <w:sz w:val="18"/>
                <w:szCs w:val="18"/>
                <w:color w:val="auto"/>
              </w:rPr>
            </w:pPr>
          </w:p>
        </w:tc>
        <w:tc>
          <w:tcPr>
            <w:tcW w:w="20" w:type="dxa"/>
            <w:vAlign w:val="bottom"/>
            <w:shd w:val="clear" w:color="auto" w:fill="E6E7E8"/>
          </w:tcPr>
          <w:p>
            <w:pPr>
              <w:spacing w:after="0"/>
              <w:rPr>
                <w:sz w:val="18"/>
                <w:szCs w:val="18"/>
                <w:color w:val="auto"/>
              </w:rPr>
            </w:pPr>
          </w:p>
        </w:tc>
        <w:tc>
          <w:tcPr>
            <w:tcW w:w="160" w:type="dxa"/>
            <w:vAlign w:val="bottom"/>
            <w:gridSpan w:val="2"/>
            <w:shd w:val="clear" w:color="auto" w:fill="E6E7E8"/>
          </w:tcPr>
          <w:p>
            <w:pPr>
              <w:jc w:val="right"/>
              <w:ind w:right="104"/>
              <w:spacing w:after="0"/>
              <w:rPr>
                <w:sz w:val="20"/>
                <w:szCs w:val="20"/>
                <w:color w:val="auto"/>
              </w:rPr>
            </w:pPr>
            <w:r>
              <w:rPr>
                <w:rFonts w:ascii="Times New Roman" w:cs="Times New Roman" w:eastAsia="Times New Roman" w:hAnsi="Times New Roman"/>
                <w:sz w:val="5"/>
                <w:szCs w:val="5"/>
                <w:color w:val="231F20"/>
                <w:w w:val="78"/>
              </w:rPr>
              <w:t>$</w:t>
            </w:r>
          </w:p>
        </w:tc>
        <w:tc>
          <w:tcPr>
            <w:tcW w:w="840" w:type="dxa"/>
            <w:vAlign w:val="bottom"/>
            <w:gridSpan w:val="2"/>
            <w:shd w:val="clear" w:color="auto" w:fill="E6E7E8"/>
          </w:tcPr>
          <w:p>
            <w:pPr>
              <w:jc w:val="right"/>
              <w:ind w:right="20"/>
              <w:spacing w:after="0" w:line="214" w:lineRule="exact"/>
              <w:rPr>
                <w:sz w:val="20"/>
                <w:szCs w:val="20"/>
                <w:color w:val="auto"/>
              </w:rPr>
            </w:pPr>
            <w:r>
              <w:rPr>
                <w:rFonts w:ascii="Times New Roman" w:cs="Times New Roman" w:eastAsia="Times New Roman" w:hAnsi="Times New Roman"/>
                <w:sz w:val="19"/>
                <w:szCs w:val="19"/>
                <w:color w:val="231F20"/>
              </w:rPr>
              <w:t>—</w:t>
            </w:r>
          </w:p>
        </w:tc>
        <w:tc>
          <w:tcPr>
            <w:tcW w:w="20" w:type="dxa"/>
            <w:vAlign w:val="bottom"/>
            <w:shd w:val="clear" w:color="auto" w:fill="E6E7E8"/>
          </w:tcPr>
          <w:p>
            <w:pPr>
              <w:spacing w:after="0"/>
              <w:rPr>
                <w:sz w:val="18"/>
                <w:szCs w:val="18"/>
                <w:color w:val="auto"/>
              </w:rPr>
            </w:pPr>
          </w:p>
        </w:tc>
        <w:tc>
          <w:tcPr>
            <w:tcW w:w="160" w:type="dxa"/>
            <w:vAlign w:val="bottom"/>
            <w:shd w:val="clear" w:color="auto" w:fill="E6E7E8"/>
          </w:tcPr>
          <w:p>
            <w:pPr>
              <w:spacing w:after="0"/>
              <w:rPr>
                <w:sz w:val="18"/>
                <w:szCs w:val="18"/>
                <w:color w:val="auto"/>
              </w:rPr>
            </w:pPr>
          </w:p>
        </w:tc>
        <w:tc>
          <w:tcPr>
            <w:tcW w:w="20" w:type="dxa"/>
            <w:vAlign w:val="bottom"/>
            <w:shd w:val="clear" w:color="auto" w:fill="E6E7E8"/>
          </w:tcPr>
          <w:p>
            <w:pPr>
              <w:spacing w:after="0"/>
              <w:rPr>
                <w:sz w:val="18"/>
                <w:szCs w:val="18"/>
                <w:color w:val="auto"/>
              </w:rPr>
            </w:pPr>
          </w:p>
        </w:tc>
        <w:tc>
          <w:tcPr>
            <w:tcW w:w="20" w:type="dxa"/>
            <w:vAlign w:val="bottom"/>
            <w:shd w:val="clear" w:color="auto" w:fill="E6E7E8"/>
          </w:tcPr>
          <w:p>
            <w:pPr>
              <w:spacing w:after="0"/>
              <w:rPr>
                <w:sz w:val="18"/>
                <w:szCs w:val="18"/>
                <w:color w:val="auto"/>
              </w:rPr>
            </w:pPr>
          </w:p>
        </w:tc>
        <w:tc>
          <w:tcPr>
            <w:tcW w:w="180" w:type="dxa"/>
            <w:vAlign w:val="bottom"/>
            <w:gridSpan w:val="2"/>
            <w:shd w:val="clear" w:color="auto" w:fill="E6E7E8"/>
          </w:tcPr>
          <w:p>
            <w:pPr>
              <w:jc w:val="right"/>
              <w:ind w:right="94"/>
              <w:spacing w:after="0"/>
              <w:rPr>
                <w:sz w:val="20"/>
                <w:szCs w:val="20"/>
                <w:color w:val="auto"/>
              </w:rPr>
            </w:pPr>
            <w:r>
              <w:rPr>
                <w:rFonts w:ascii="Times New Roman" w:cs="Times New Roman" w:eastAsia="Times New Roman" w:hAnsi="Times New Roman"/>
                <w:sz w:val="11"/>
                <w:szCs w:val="11"/>
                <w:color w:val="231F20"/>
                <w:w w:val="71"/>
              </w:rPr>
              <w:t>$</w:t>
            </w:r>
          </w:p>
        </w:tc>
        <w:tc>
          <w:tcPr>
            <w:tcW w:w="820" w:type="dxa"/>
            <w:vAlign w:val="bottom"/>
            <w:gridSpan w:val="2"/>
            <w:shd w:val="clear" w:color="auto" w:fill="E6E7E8"/>
          </w:tcPr>
          <w:p>
            <w:pPr>
              <w:jc w:val="right"/>
              <w:ind w:right="20"/>
              <w:spacing w:after="0" w:line="214" w:lineRule="exact"/>
              <w:rPr>
                <w:sz w:val="20"/>
                <w:szCs w:val="20"/>
                <w:color w:val="auto"/>
              </w:rPr>
            </w:pPr>
            <w:r>
              <w:rPr>
                <w:rFonts w:ascii="Times New Roman" w:cs="Times New Roman" w:eastAsia="Times New Roman" w:hAnsi="Times New Roman"/>
                <w:sz w:val="19"/>
                <w:szCs w:val="19"/>
                <w:color w:val="231F20"/>
              </w:rPr>
              <w:t>494.8</w:t>
            </w:r>
          </w:p>
        </w:tc>
        <w:tc>
          <w:tcPr>
            <w:tcW w:w="20" w:type="dxa"/>
            <w:vAlign w:val="bottom"/>
            <w:shd w:val="clear" w:color="auto" w:fill="E6E7E8"/>
          </w:tcPr>
          <w:p>
            <w:pPr>
              <w:spacing w:after="0"/>
              <w:rPr>
                <w:sz w:val="18"/>
                <w:szCs w:val="18"/>
                <w:color w:val="auto"/>
              </w:rPr>
            </w:pPr>
          </w:p>
        </w:tc>
        <w:tc>
          <w:tcPr>
            <w:tcW w:w="40" w:type="dxa"/>
            <w:vAlign w:val="bottom"/>
            <w:shd w:val="clear" w:color="auto" w:fill="E6E7E8"/>
          </w:tcPr>
          <w:p>
            <w:pPr>
              <w:spacing w:after="0"/>
              <w:rPr>
                <w:sz w:val="18"/>
                <w:szCs w:val="18"/>
                <w:color w:val="auto"/>
              </w:rPr>
            </w:pPr>
          </w:p>
        </w:tc>
      </w:tr>
      <w:tr>
        <w:trPr>
          <w:trHeight w:val="218"/>
        </w:trPr>
        <w:tc>
          <w:tcPr>
            <w:tcW w:w="2900" w:type="dxa"/>
            <w:vAlign w:val="bottom"/>
          </w:tcPr>
          <w:p>
            <w:pPr>
              <w:spacing w:after="0"/>
              <w:rPr>
                <w:sz w:val="20"/>
                <w:szCs w:val="20"/>
                <w:color w:val="auto"/>
              </w:rPr>
            </w:pPr>
            <w:r>
              <w:rPr>
                <w:rFonts w:ascii="Times New Roman" w:cs="Times New Roman" w:eastAsia="Times New Roman" w:hAnsi="Times New Roman"/>
                <w:sz w:val="19"/>
                <w:szCs w:val="19"/>
                <w:color w:val="231F20"/>
              </w:rPr>
              <w:t>Less: Cost of Sales</w:t>
            </w:r>
          </w:p>
        </w:tc>
        <w:tc>
          <w:tcPr>
            <w:tcW w:w="2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4"/>
          </w:tcPr>
          <w:p>
            <w:pPr>
              <w:jc w:val="right"/>
              <w:ind w:right="140"/>
              <w:spacing w:after="0"/>
              <w:rPr>
                <w:sz w:val="20"/>
                <w:szCs w:val="20"/>
                <w:color w:val="auto"/>
              </w:rPr>
            </w:pPr>
            <w:r>
              <w:rPr>
                <w:rFonts w:ascii="Times New Roman" w:cs="Times New Roman" w:eastAsia="Times New Roman" w:hAnsi="Times New Roman"/>
                <w:sz w:val="19"/>
                <w:szCs w:val="19"/>
                <w:color w:val="231F20"/>
              </w:rPr>
              <w:t>(141.0)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19"/>
                <w:szCs w:val="19"/>
                <w:color w:val="231F20"/>
              </w:rPr>
              <w:t>(79.6)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231F20"/>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9"/>
                <w:szCs w:val="19"/>
                <w:color w:val="231F20"/>
              </w:rPr>
              <w:t>(220.6)</w:t>
            </w:r>
          </w:p>
        </w:tc>
      </w:tr>
      <w:tr>
        <w:trPr>
          <w:trHeight w:val="218"/>
        </w:trPr>
        <w:tc>
          <w:tcPr>
            <w:tcW w:w="2900" w:type="dxa"/>
            <w:vAlign w:val="bottom"/>
            <w:shd w:val="clear" w:color="auto" w:fill="E6E7E8"/>
          </w:tcPr>
          <w:p>
            <w:pPr>
              <w:spacing w:after="0"/>
              <w:rPr>
                <w:sz w:val="20"/>
                <w:szCs w:val="20"/>
                <w:color w:val="auto"/>
              </w:rPr>
            </w:pPr>
            <w:r>
              <w:rPr>
                <w:rFonts w:ascii="Times New Roman" w:cs="Times New Roman" w:eastAsia="Times New Roman" w:hAnsi="Times New Roman"/>
                <w:sz w:val="19"/>
                <w:szCs w:val="19"/>
                <w:color w:val="231F20"/>
              </w:rPr>
              <w:t>Less: Depreciation and Amortization</w:t>
            </w:r>
          </w:p>
        </w:tc>
        <w:tc>
          <w:tcPr>
            <w:tcW w:w="204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1060" w:type="dxa"/>
            <w:vAlign w:val="bottom"/>
            <w:gridSpan w:val="4"/>
            <w:shd w:val="clear" w:color="auto" w:fill="E6E7E8"/>
          </w:tcPr>
          <w:p>
            <w:pPr>
              <w:jc w:val="right"/>
              <w:ind w:right="140"/>
              <w:spacing w:after="0"/>
              <w:rPr>
                <w:sz w:val="20"/>
                <w:szCs w:val="20"/>
                <w:color w:val="auto"/>
              </w:rPr>
            </w:pPr>
            <w:r>
              <w:rPr>
                <w:rFonts w:ascii="Times New Roman" w:cs="Times New Roman" w:eastAsia="Times New Roman" w:hAnsi="Times New Roman"/>
                <w:sz w:val="19"/>
                <w:szCs w:val="19"/>
                <w:color w:val="231F20"/>
              </w:rPr>
              <w:t>(29.3)</w:t>
            </w:r>
          </w:p>
        </w:tc>
        <w:tc>
          <w:tcPr>
            <w:tcW w:w="2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160" w:type="dxa"/>
            <w:vAlign w:val="bottom"/>
            <w:shd w:val="clear" w:color="auto" w:fill="E6E7E8"/>
          </w:tcPr>
          <w:p>
            <w:pPr>
              <w:spacing w:after="0"/>
              <w:rPr>
                <w:sz w:val="19"/>
                <w:szCs w:val="19"/>
                <w:color w:val="auto"/>
              </w:rPr>
            </w:pPr>
          </w:p>
        </w:tc>
        <w:tc>
          <w:tcPr>
            <w:tcW w:w="1000" w:type="dxa"/>
            <w:vAlign w:val="bottom"/>
            <w:gridSpan w:val="4"/>
            <w:shd w:val="clear" w:color="auto" w:fill="E6E7E8"/>
          </w:tcPr>
          <w:p>
            <w:pPr>
              <w:jc w:val="right"/>
              <w:ind w:right="140"/>
              <w:spacing w:after="0"/>
              <w:rPr>
                <w:sz w:val="20"/>
                <w:szCs w:val="20"/>
                <w:color w:val="auto"/>
              </w:rPr>
            </w:pPr>
            <w:r>
              <w:rPr>
                <w:rFonts w:ascii="Times New Roman" w:cs="Times New Roman" w:eastAsia="Times New Roman" w:hAnsi="Times New Roman"/>
                <w:sz w:val="19"/>
                <w:szCs w:val="19"/>
                <w:color w:val="231F20"/>
              </w:rPr>
              <w:t>(46.8)</w:t>
            </w:r>
          </w:p>
        </w:tc>
        <w:tc>
          <w:tcPr>
            <w:tcW w:w="2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140" w:type="dxa"/>
            <w:vAlign w:val="bottom"/>
            <w:shd w:val="clear" w:color="auto" w:fill="E6E7E8"/>
          </w:tcPr>
          <w:p>
            <w:pPr>
              <w:spacing w:after="0"/>
              <w:rPr>
                <w:sz w:val="19"/>
                <w:szCs w:val="19"/>
                <w:color w:val="auto"/>
              </w:rPr>
            </w:pPr>
          </w:p>
        </w:tc>
        <w:tc>
          <w:tcPr>
            <w:tcW w:w="1060" w:type="dxa"/>
            <w:vAlign w:val="bottom"/>
            <w:gridSpan w:val="6"/>
            <w:shd w:val="clear" w:color="auto" w:fill="E6E7E8"/>
          </w:tcPr>
          <w:p>
            <w:pPr>
              <w:jc w:val="right"/>
              <w:ind w:right="240"/>
              <w:spacing w:after="0"/>
              <w:rPr>
                <w:sz w:val="20"/>
                <w:szCs w:val="20"/>
                <w:color w:val="auto"/>
              </w:rPr>
            </w:pPr>
            <w:r>
              <w:rPr>
                <w:rFonts w:ascii="Times New Roman" w:cs="Times New Roman" w:eastAsia="Times New Roman" w:hAnsi="Times New Roman"/>
                <w:sz w:val="19"/>
                <w:szCs w:val="19"/>
                <w:color w:val="231F20"/>
              </w:rPr>
              <w:t>—</w:t>
            </w:r>
          </w:p>
        </w:tc>
        <w:tc>
          <w:tcPr>
            <w:tcW w:w="20" w:type="dxa"/>
            <w:vAlign w:val="bottom"/>
            <w:shd w:val="clear" w:color="auto" w:fill="E6E7E8"/>
          </w:tcPr>
          <w:p>
            <w:pPr>
              <w:spacing w:after="0"/>
              <w:rPr>
                <w:sz w:val="19"/>
                <w:szCs w:val="19"/>
                <w:color w:val="auto"/>
              </w:rPr>
            </w:pPr>
          </w:p>
        </w:tc>
        <w:tc>
          <w:tcPr>
            <w:tcW w:w="160" w:type="dxa"/>
            <w:vAlign w:val="bottom"/>
            <w:shd w:val="clear" w:color="auto" w:fill="E6E7E8"/>
          </w:tcPr>
          <w:p>
            <w:pPr>
              <w:spacing w:after="0"/>
              <w:rPr>
                <w:sz w:val="19"/>
                <w:szCs w:val="19"/>
                <w:color w:val="auto"/>
              </w:rPr>
            </w:pPr>
          </w:p>
        </w:tc>
        <w:tc>
          <w:tcPr>
            <w:tcW w:w="880" w:type="dxa"/>
            <w:vAlign w:val="bottom"/>
            <w:gridSpan w:val="4"/>
            <w:shd w:val="clear" w:color="auto" w:fill="E6E7E8"/>
          </w:tcPr>
          <w:p>
            <w:pPr>
              <w:jc w:val="right"/>
              <w:ind w:right="20"/>
              <w:spacing w:after="0"/>
              <w:rPr>
                <w:sz w:val="20"/>
                <w:szCs w:val="20"/>
                <w:color w:val="auto"/>
              </w:rPr>
            </w:pPr>
            <w:r>
              <w:rPr>
                <w:rFonts w:ascii="Times New Roman" w:cs="Times New Roman" w:eastAsia="Times New Roman" w:hAnsi="Times New Roman"/>
                <w:sz w:val="19"/>
                <w:szCs w:val="19"/>
                <w:color w:val="231F20"/>
              </w:rPr>
              <w:t>(76.1)</w:t>
            </w:r>
          </w:p>
        </w:tc>
      </w:tr>
      <w:tr>
        <w:trPr>
          <w:trHeight w:val="214"/>
        </w:trPr>
        <w:tc>
          <w:tcPr>
            <w:tcW w:w="2900" w:type="dxa"/>
            <w:vAlign w:val="bottom"/>
          </w:tcPr>
          <w:p>
            <w:pPr>
              <w:ind w:left="200"/>
              <w:spacing w:after="0" w:line="214" w:lineRule="exact"/>
              <w:rPr>
                <w:sz w:val="20"/>
                <w:szCs w:val="20"/>
                <w:color w:val="auto"/>
              </w:rPr>
            </w:pPr>
            <w:r>
              <w:rPr>
                <w:rFonts w:ascii="Times New Roman" w:cs="Times New Roman" w:eastAsia="Times New Roman" w:hAnsi="Times New Roman"/>
                <w:sz w:val="19"/>
                <w:szCs w:val="19"/>
                <w:color w:val="231F20"/>
              </w:rPr>
              <w:t>GAAP Gross Margin</w:t>
            </w: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231F20"/>
            </w:tcBorders>
          </w:tcPr>
          <w:p>
            <w:pPr>
              <w:spacing w:after="0"/>
              <w:rPr>
                <w:sz w:val="18"/>
                <w:szCs w:val="18"/>
                <w:color w:val="auto"/>
              </w:rPr>
            </w:pPr>
          </w:p>
        </w:tc>
        <w:tc>
          <w:tcPr>
            <w:tcW w:w="20" w:type="dxa"/>
            <w:vAlign w:val="bottom"/>
            <w:tcBorders>
              <w:top w:val="single" w:sz="8" w:color="231F20"/>
            </w:tcBorders>
          </w:tcPr>
          <w:p>
            <w:pPr>
              <w:spacing w:after="0"/>
              <w:rPr>
                <w:sz w:val="18"/>
                <w:szCs w:val="18"/>
                <w:color w:val="auto"/>
              </w:rPr>
            </w:pPr>
          </w:p>
        </w:tc>
        <w:tc>
          <w:tcPr>
            <w:tcW w:w="120" w:type="dxa"/>
            <w:vAlign w:val="bottom"/>
            <w:tcBorders>
              <w:top w:val="single" w:sz="8" w:color="231F20"/>
            </w:tcBorders>
          </w:tcPr>
          <w:p>
            <w:pPr>
              <w:spacing w:after="0"/>
              <w:rPr>
                <w:sz w:val="18"/>
                <w:szCs w:val="18"/>
                <w:color w:val="auto"/>
              </w:rPr>
            </w:pPr>
          </w:p>
        </w:tc>
        <w:tc>
          <w:tcPr>
            <w:tcW w:w="840" w:type="dxa"/>
            <w:vAlign w:val="bottom"/>
            <w:tcBorders>
              <w:top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78.0</w:t>
            </w:r>
          </w:p>
        </w:tc>
        <w:tc>
          <w:tcPr>
            <w:tcW w:w="20" w:type="dxa"/>
            <w:vAlign w:val="bottom"/>
            <w:tcBorders>
              <w:top w:val="single" w:sz="8" w:color="231F20"/>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231F20"/>
            </w:tcBorders>
          </w:tcPr>
          <w:p>
            <w:pPr>
              <w:spacing w:after="0"/>
              <w:rPr>
                <w:sz w:val="18"/>
                <w:szCs w:val="18"/>
                <w:color w:val="auto"/>
              </w:rPr>
            </w:pPr>
          </w:p>
        </w:tc>
        <w:tc>
          <w:tcPr>
            <w:tcW w:w="20" w:type="dxa"/>
            <w:vAlign w:val="bottom"/>
            <w:tcBorders>
              <w:top w:val="single" w:sz="8" w:color="231F20"/>
            </w:tcBorders>
          </w:tcPr>
          <w:p>
            <w:pPr>
              <w:spacing w:after="0"/>
              <w:rPr>
                <w:sz w:val="18"/>
                <w:szCs w:val="18"/>
                <w:color w:val="auto"/>
              </w:rPr>
            </w:pPr>
          </w:p>
        </w:tc>
        <w:tc>
          <w:tcPr>
            <w:tcW w:w="160" w:type="dxa"/>
            <w:vAlign w:val="bottom"/>
            <w:tcBorders>
              <w:top w:val="single" w:sz="8" w:color="231F20"/>
            </w:tcBorders>
          </w:tcPr>
          <w:p>
            <w:pPr>
              <w:spacing w:after="0"/>
              <w:rPr>
                <w:sz w:val="18"/>
                <w:szCs w:val="18"/>
                <w:color w:val="auto"/>
              </w:rPr>
            </w:pPr>
          </w:p>
        </w:tc>
        <w:tc>
          <w:tcPr>
            <w:tcW w:w="800" w:type="dxa"/>
            <w:vAlign w:val="bottom"/>
            <w:tcBorders>
              <w:top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120.1</w:t>
            </w:r>
          </w:p>
        </w:tc>
        <w:tc>
          <w:tcPr>
            <w:tcW w:w="20" w:type="dxa"/>
            <w:vAlign w:val="bottom"/>
            <w:tcBorders>
              <w:top w:val="single" w:sz="8" w:color="231F20"/>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231F20"/>
            </w:tcBorders>
          </w:tcPr>
          <w:p>
            <w:pPr>
              <w:spacing w:after="0"/>
              <w:rPr>
                <w:sz w:val="18"/>
                <w:szCs w:val="18"/>
                <w:color w:val="auto"/>
              </w:rPr>
            </w:pPr>
          </w:p>
        </w:tc>
        <w:tc>
          <w:tcPr>
            <w:tcW w:w="20" w:type="dxa"/>
            <w:vAlign w:val="bottom"/>
            <w:tcBorders>
              <w:top w:val="single" w:sz="8" w:color="231F20"/>
            </w:tcBorders>
          </w:tcPr>
          <w:p>
            <w:pPr>
              <w:spacing w:after="0"/>
              <w:rPr>
                <w:sz w:val="18"/>
                <w:szCs w:val="18"/>
                <w:color w:val="auto"/>
              </w:rPr>
            </w:pPr>
          </w:p>
        </w:tc>
        <w:tc>
          <w:tcPr>
            <w:tcW w:w="140" w:type="dxa"/>
            <w:vAlign w:val="bottom"/>
            <w:tcBorders>
              <w:top w:val="single" w:sz="8" w:color="231F20"/>
            </w:tcBorders>
          </w:tcPr>
          <w:p>
            <w:pPr>
              <w:spacing w:after="0"/>
              <w:rPr>
                <w:sz w:val="18"/>
                <w:szCs w:val="18"/>
                <w:color w:val="auto"/>
              </w:rPr>
            </w:pPr>
          </w:p>
        </w:tc>
        <w:tc>
          <w:tcPr>
            <w:tcW w:w="820" w:type="dxa"/>
            <w:vAlign w:val="bottom"/>
            <w:tcBorders>
              <w:top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w:t>
            </w:r>
          </w:p>
        </w:tc>
        <w:tc>
          <w:tcPr>
            <w:tcW w:w="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231F20"/>
            </w:tcBorders>
          </w:tcPr>
          <w:p>
            <w:pPr>
              <w:spacing w:after="0"/>
              <w:rPr>
                <w:sz w:val="18"/>
                <w:szCs w:val="18"/>
                <w:color w:val="auto"/>
              </w:rPr>
            </w:pPr>
          </w:p>
        </w:tc>
        <w:tc>
          <w:tcPr>
            <w:tcW w:w="20" w:type="dxa"/>
            <w:vAlign w:val="bottom"/>
            <w:tcBorders>
              <w:top w:val="single" w:sz="8" w:color="231F20"/>
            </w:tcBorders>
          </w:tcPr>
          <w:p>
            <w:pPr>
              <w:spacing w:after="0"/>
              <w:rPr>
                <w:sz w:val="18"/>
                <w:szCs w:val="18"/>
                <w:color w:val="auto"/>
              </w:rPr>
            </w:pPr>
          </w:p>
        </w:tc>
        <w:tc>
          <w:tcPr>
            <w:tcW w:w="160" w:type="dxa"/>
            <w:vAlign w:val="bottom"/>
            <w:tcBorders>
              <w:top w:val="single" w:sz="8" w:color="231F20"/>
            </w:tcBorders>
          </w:tcPr>
          <w:p>
            <w:pPr>
              <w:spacing w:after="0"/>
              <w:rPr>
                <w:sz w:val="18"/>
                <w:szCs w:val="18"/>
                <w:color w:val="auto"/>
              </w:rPr>
            </w:pPr>
          </w:p>
        </w:tc>
        <w:tc>
          <w:tcPr>
            <w:tcW w:w="800" w:type="dxa"/>
            <w:vAlign w:val="bottom"/>
            <w:tcBorders>
              <w:top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198.1</w:t>
            </w:r>
          </w:p>
        </w:tc>
        <w:tc>
          <w:tcPr>
            <w:tcW w:w="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2900" w:type="dxa"/>
            <w:vAlign w:val="bottom"/>
            <w:shd w:val="clear" w:color="auto" w:fill="E6E7E8"/>
          </w:tcPr>
          <w:p>
            <w:pPr>
              <w:spacing w:after="0"/>
              <w:rPr>
                <w:sz w:val="20"/>
                <w:szCs w:val="20"/>
                <w:color w:val="auto"/>
              </w:rPr>
            </w:pPr>
            <w:r>
              <w:rPr>
                <w:rFonts w:ascii="Times New Roman" w:cs="Times New Roman" w:eastAsia="Times New Roman" w:hAnsi="Times New Roman"/>
                <w:sz w:val="19"/>
                <w:szCs w:val="19"/>
                <w:color w:val="231F20"/>
              </w:rPr>
              <w:t>Depreciation and Amortization</w:t>
            </w:r>
          </w:p>
        </w:tc>
        <w:tc>
          <w:tcPr>
            <w:tcW w:w="204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120" w:type="dxa"/>
            <w:vAlign w:val="bottom"/>
            <w:shd w:val="clear" w:color="auto" w:fill="E6E7E8"/>
          </w:tcPr>
          <w:p>
            <w:pPr>
              <w:spacing w:after="0"/>
              <w:rPr>
                <w:sz w:val="20"/>
                <w:szCs w:val="20"/>
                <w:color w:val="auto"/>
              </w:rPr>
            </w:pPr>
          </w:p>
        </w:tc>
        <w:tc>
          <w:tcPr>
            <w:tcW w:w="1060" w:type="dxa"/>
            <w:vAlign w:val="bottom"/>
            <w:gridSpan w:val="4"/>
            <w:shd w:val="clear" w:color="auto" w:fill="E6E7E8"/>
          </w:tcPr>
          <w:p>
            <w:pPr>
              <w:jc w:val="right"/>
              <w:ind w:right="220"/>
              <w:spacing w:after="0"/>
              <w:rPr>
                <w:sz w:val="20"/>
                <w:szCs w:val="20"/>
                <w:color w:val="auto"/>
              </w:rPr>
            </w:pPr>
            <w:r>
              <w:rPr>
                <w:rFonts w:ascii="Times New Roman" w:cs="Times New Roman" w:eastAsia="Times New Roman" w:hAnsi="Times New Roman"/>
                <w:sz w:val="19"/>
                <w:szCs w:val="19"/>
                <w:color w:val="231F20"/>
              </w:rPr>
              <w:t>29.3</w:t>
            </w:r>
          </w:p>
        </w:tc>
        <w:tc>
          <w:tcPr>
            <w:tcW w:w="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160" w:type="dxa"/>
            <w:vAlign w:val="bottom"/>
            <w:shd w:val="clear" w:color="auto" w:fill="E6E7E8"/>
          </w:tcPr>
          <w:p>
            <w:pPr>
              <w:spacing w:after="0"/>
              <w:rPr>
                <w:sz w:val="20"/>
                <w:szCs w:val="20"/>
                <w:color w:val="auto"/>
              </w:rPr>
            </w:pPr>
          </w:p>
        </w:tc>
        <w:tc>
          <w:tcPr>
            <w:tcW w:w="1000" w:type="dxa"/>
            <w:vAlign w:val="bottom"/>
            <w:gridSpan w:val="4"/>
            <w:shd w:val="clear" w:color="auto" w:fill="E6E7E8"/>
          </w:tcPr>
          <w:p>
            <w:pPr>
              <w:jc w:val="right"/>
              <w:ind w:right="200"/>
              <w:spacing w:after="0"/>
              <w:rPr>
                <w:sz w:val="20"/>
                <w:szCs w:val="20"/>
                <w:color w:val="auto"/>
              </w:rPr>
            </w:pPr>
            <w:r>
              <w:rPr>
                <w:rFonts w:ascii="Times New Roman" w:cs="Times New Roman" w:eastAsia="Times New Roman" w:hAnsi="Times New Roman"/>
                <w:sz w:val="19"/>
                <w:szCs w:val="19"/>
                <w:color w:val="231F20"/>
              </w:rPr>
              <w:t>46.8</w:t>
            </w:r>
          </w:p>
        </w:tc>
        <w:tc>
          <w:tcPr>
            <w:tcW w:w="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140" w:type="dxa"/>
            <w:vAlign w:val="bottom"/>
            <w:shd w:val="clear" w:color="auto" w:fill="E6E7E8"/>
          </w:tcPr>
          <w:p>
            <w:pPr>
              <w:spacing w:after="0"/>
              <w:rPr>
                <w:sz w:val="20"/>
                <w:szCs w:val="20"/>
                <w:color w:val="auto"/>
              </w:rPr>
            </w:pPr>
          </w:p>
        </w:tc>
        <w:tc>
          <w:tcPr>
            <w:tcW w:w="1060" w:type="dxa"/>
            <w:vAlign w:val="bottom"/>
            <w:gridSpan w:val="6"/>
            <w:shd w:val="clear" w:color="auto" w:fill="E6E7E8"/>
          </w:tcPr>
          <w:p>
            <w:pPr>
              <w:jc w:val="right"/>
              <w:ind w:right="240"/>
              <w:spacing w:after="0"/>
              <w:rPr>
                <w:sz w:val="20"/>
                <w:szCs w:val="20"/>
                <w:color w:val="auto"/>
              </w:rPr>
            </w:pPr>
            <w:r>
              <w:rPr>
                <w:rFonts w:ascii="Times New Roman" w:cs="Times New Roman" w:eastAsia="Times New Roman" w:hAnsi="Times New Roman"/>
                <w:sz w:val="19"/>
                <w:szCs w:val="19"/>
                <w:color w:val="231F20"/>
              </w:rPr>
              <w:t>—</w:t>
            </w:r>
          </w:p>
        </w:tc>
        <w:tc>
          <w:tcPr>
            <w:tcW w:w="20" w:type="dxa"/>
            <w:vAlign w:val="bottom"/>
            <w:shd w:val="clear" w:color="auto" w:fill="E6E7E8"/>
          </w:tcPr>
          <w:p>
            <w:pPr>
              <w:spacing w:after="0"/>
              <w:rPr>
                <w:sz w:val="20"/>
                <w:szCs w:val="20"/>
                <w:color w:val="auto"/>
              </w:rPr>
            </w:pPr>
          </w:p>
        </w:tc>
        <w:tc>
          <w:tcPr>
            <w:tcW w:w="160" w:type="dxa"/>
            <w:vAlign w:val="bottom"/>
            <w:shd w:val="clear" w:color="auto" w:fill="E6E7E8"/>
          </w:tcPr>
          <w:p>
            <w:pPr>
              <w:spacing w:after="0"/>
              <w:rPr>
                <w:sz w:val="20"/>
                <w:szCs w:val="20"/>
                <w:color w:val="auto"/>
              </w:rPr>
            </w:pPr>
          </w:p>
        </w:tc>
        <w:tc>
          <w:tcPr>
            <w:tcW w:w="840" w:type="dxa"/>
            <w:vAlign w:val="bottom"/>
            <w:gridSpan w:val="3"/>
            <w:shd w:val="clear" w:color="auto" w:fill="E6E7E8"/>
          </w:tcPr>
          <w:p>
            <w:pPr>
              <w:jc w:val="right"/>
              <w:ind w:right="40"/>
              <w:spacing w:after="0"/>
              <w:rPr>
                <w:sz w:val="20"/>
                <w:szCs w:val="20"/>
                <w:color w:val="auto"/>
              </w:rPr>
            </w:pPr>
            <w:r>
              <w:rPr>
                <w:rFonts w:ascii="Times New Roman" w:cs="Times New Roman" w:eastAsia="Times New Roman" w:hAnsi="Times New Roman"/>
                <w:sz w:val="19"/>
                <w:szCs w:val="19"/>
                <w:color w:val="231F20"/>
              </w:rPr>
              <w:t>76.1</w:t>
            </w:r>
          </w:p>
        </w:tc>
        <w:tc>
          <w:tcPr>
            <w:tcW w:w="40" w:type="dxa"/>
            <w:vAlign w:val="bottom"/>
            <w:shd w:val="clear" w:color="auto" w:fill="E6E7E8"/>
          </w:tcPr>
          <w:p>
            <w:pPr>
              <w:spacing w:after="0"/>
              <w:rPr>
                <w:sz w:val="20"/>
                <w:szCs w:val="20"/>
                <w:color w:val="auto"/>
              </w:rPr>
            </w:pPr>
          </w:p>
        </w:tc>
      </w:tr>
      <w:tr>
        <w:trPr>
          <w:trHeight w:val="194"/>
        </w:trPr>
        <w:tc>
          <w:tcPr>
            <w:tcW w:w="2900" w:type="dxa"/>
            <w:vAlign w:val="bottom"/>
            <w:tcBorders>
              <w:top w:val="single" w:sz="8" w:color="E6E7E8"/>
            </w:tcBorders>
          </w:tcPr>
          <w:p>
            <w:pPr>
              <w:ind w:left="200"/>
              <w:spacing w:after="0" w:line="193" w:lineRule="exact"/>
              <w:rPr>
                <w:sz w:val="20"/>
                <w:szCs w:val="20"/>
                <w:color w:val="auto"/>
              </w:rPr>
            </w:pPr>
            <w:r>
              <w:rPr>
                <w:rFonts w:ascii="Times New Roman" w:cs="Times New Roman" w:eastAsia="Times New Roman" w:hAnsi="Times New Roman"/>
                <w:sz w:val="19"/>
                <w:szCs w:val="19"/>
                <w:color w:val="231F20"/>
              </w:rPr>
              <w:t>Adjusted Gross Margin</w:t>
            </w:r>
          </w:p>
        </w:tc>
        <w:tc>
          <w:tcPr>
            <w:tcW w:w="2040" w:type="dxa"/>
            <w:vAlign w:val="bottom"/>
            <w:tcBorders>
              <w:top w:val="single" w:sz="8" w:color="E6E7E8"/>
            </w:tcBorders>
          </w:tcPr>
          <w:p>
            <w:pPr>
              <w:spacing w:after="0"/>
              <w:rPr>
                <w:sz w:val="16"/>
                <w:szCs w:val="16"/>
                <w:color w:val="auto"/>
              </w:rPr>
            </w:pPr>
          </w:p>
        </w:tc>
        <w:tc>
          <w:tcPr>
            <w:tcW w:w="20" w:type="dxa"/>
            <w:vAlign w:val="bottom"/>
            <w:tcBorders>
              <w:top w:val="single" w:sz="8" w:color="E6E7E8"/>
              <w:bottom w:val="single" w:sz="8" w:color="231F20"/>
            </w:tcBorders>
          </w:tcPr>
          <w:p>
            <w:pPr>
              <w:spacing w:after="0"/>
              <w:rPr>
                <w:sz w:val="16"/>
                <w:szCs w:val="16"/>
                <w:color w:val="auto"/>
              </w:rPr>
            </w:pPr>
          </w:p>
        </w:tc>
        <w:tc>
          <w:tcPr>
            <w:tcW w:w="160" w:type="dxa"/>
            <w:vAlign w:val="bottom"/>
            <w:tcBorders>
              <w:top w:val="single" w:sz="8" w:color="231F20"/>
              <w:bottom w:val="single" w:sz="8" w:color="231F20"/>
            </w:tcBorders>
            <w:gridSpan w:val="3"/>
          </w:tcPr>
          <w:p>
            <w:pPr>
              <w:jc w:val="right"/>
              <w:ind w:right="54"/>
              <w:spacing w:after="0" w:line="194" w:lineRule="exact"/>
              <w:rPr>
                <w:sz w:val="20"/>
                <w:szCs w:val="20"/>
                <w:color w:val="auto"/>
              </w:rPr>
            </w:pPr>
            <w:r>
              <w:rPr>
                <w:rFonts w:ascii="Times New Roman" w:cs="Times New Roman" w:eastAsia="Times New Roman" w:hAnsi="Times New Roman"/>
                <w:sz w:val="17"/>
                <w:szCs w:val="17"/>
                <w:color w:val="231F20"/>
                <w:w w:val="70"/>
              </w:rPr>
              <w:t>$</w:t>
            </w:r>
          </w:p>
        </w:tc>
        <w:tc>
          <w:tcPr>
            <w:tcW w:w="840" w:type="dxa"/>
            <w:vAlign w:val="bottom"/>
            <w:tcBorders>
              <w:top w:val="single" w:sz="8" w:color="231F20"/>
              <w:bottom w:val="single" w:sz="8" w:color="231F20"/>
            </w:tcBorders>
          </w:tcPr>
          <w:p>
            <w:pPr>
              <w:jc w:val="right"/>
              <w:spacing w:after="0" w:line="193" w:lineRule="exact"/>
              <w:rPr>
                <w:sz w:val="20"/>
                <w:szCs w:val="20"/>
                <w:color w:val="auto"/>
              </w:rPr>
            </w:pPr>
            <w:r>
              <w:rPr>
                <w:rFonts w:ascii="Times New Roman" w:cs="Times New Roman" w:eastAsia="Times New Roman" w:hAnsi="Times New Roman"/>
                <w:sz w:val="19"/>
                <w:szCs w:val="19"/>
                <w:color w:val="231F20"/>
              </w:rPr>
              <w:t>107.3</w:t>
            </w:r>
          </w:p>
        </w:tc>
        <w:tc>
          <w:tcPr>
            <w:tcW w:w="20" w:type="dxa"/>
            <w:vAlign w:val="bottom"/>
            <w:tcBorders>
              <w:top w:val="single" w:sz="8" w:color="231F20"/>
            </w:tcBorders>
          </w:tcPr>
          <w:p>
            <w:pPr>
              <w:spacing w:after="0"/>
              <w:rPr>
                <w:sz w:val="16"/>
                <w:szCs w:val="16"/>
                <w:color w:val="auto"/>
              </w:rPr>
            </w:pPr>
          </w:p>
        </w:tc>
        <w:tc>
          <w:tcPr>
            <w:tcW w:w="20" w:type="dxa"/>
            <w:vAlign w:val="bottom"/>
            <w:tcBorders>
              <w:top w:val="single" w:sz="8" w:color="E6E7E8"/>
            </w:tcBorders>
          </w:tcPr>
          <w:p>
            <w:pPr>
              <w:spacing w:after="0"/>
              <w:rPr>
                <w:sz w:val="16"/>
                <w:szCs w:val="16"/>
                <w:color w:val="auto"/>
              </w:rPr>
            </w:pPr>
          </w:p>
        </w:tc>
        <w:tc>
          <w:tcPr>
            <w:tcW w:w="180" w:type="dxa"/>
            <w:vAlign w:val="bottom"/>
            <w:tcBorders>
              <w:top w:val="single" w:sz="8" w:color="E6E7E8"/>
            </w:tcBorders>
          </w:tcPr>
          <w:p>
            <w:pPr>
              <w:spacing w:after="0"/>
              <w:rPr>
                <w:sz w:val="16"/>
                <w:szCs w:val="16"/>
                <w:color w:val="auto"/>
              </w:rPr>
            </w:pPr>
          </w:p>
        </w:tc>
        <w:tc>
          <w:tcPr>
            <w:tcW w:w="20" w:type="dxa"/>
            <w:vAlign w:val="bottom"/>
            <w:tcBorders>
              <w:top w:val="single" w:sz="8" w:color="E6E7E8"/>
              <w:bottom w:val="single" w:sz="8" w:color="231F20"/>
            </w:tcBorders>
          </w:tcPr>
          <w:p>
            <w:pPr>
              <w:spacing w:after="0"/>
              <w:rPr>
                <w:sz w:val="16"/>
                <w:szCs w:val="16"/>
                <w:color w:val="auto"/>
              </w:rPr>
            </w:pPr>
          </w:p>
        </w:tc>
        <w:tc>
          <w:tcPr>
            <w:tcW w:w="20" w:type="dxa"/>
            <w:vAlign w:val="bottom"/>
            <w:tcBorders>
              <w:top w:val="single" w:sz="8" w:color="231F20"/>
              <w:bottom w:val="single" w:sz="8" w:color="231F20"/>
            </w:tcBorders>
          </w:tcPr>
          <w:p>
            <w:pPr>
              <w:spacing w:after="0"/>
              <w:rPr>
                <w:sz w:val="16"/>
                <w:szCs w:val="16"/>
                <w:color w:val="auto"/>
              </w:rPr>
            </w:pPr>
          </w:p>
        </w:tc>
        <w:tc>
          <w:tcPr>
            <w:tcW w:w="180" w:type="dxa"/>
            <w:vAlign w:val="bottom"/>
            <w:tcBorders>
              <w:top w:val="single" w:sz="8" w:color="231F20"/>
              <w:bottom w:val="single" w:sz="8" w:color="231F20"/>
            </w:tcBorders>
            <w:gridSpan w:val="2"/>
          </w:tcPr>
          <w:p>
            <w:pPr>
              <w:jc w:val="right"/>
              <w:ind w:right="135"/>
              <w:spacing w:after="0"/>
              <w:rPr>
                <w:sz w:val="20"/>
                <w:szCs w:val="20"/>
                <w:color w:val="auto"/>
              </w:rPr>
            </w:pPr>
            <w:r>
              <w:rPr>
                <w:rFonts w:ascii="Times New Roman" w:cs="Times New Roman" w:eastAsia="Times New Roman" w:hAnsi="Times New Roman"/>
                <w:sz w:val="5"/>
                <w:szCs w:val="5"/>
                <w:color w:val="231F20"/>
                <w:w w:val="78"/>
              </w:rPr>
              <w:t>$</w:t>
            </w:r>
          </w:p>
        </w:tc>
        <w:tc>
          <w:tcPr>
            <w:tcW w:w="800" w:type="dxa"/>
            <w:vAlign w:val="bottom"/>
            <w:tcBorders>
              <w:top w:val="single" w:sz="8" w:color="231F20"/>
              <w:bottom w:val="single" w:sz="8" w:color="231F20"/>
            </w:tcBorders>
          </w:tcPr>
          <w:p>
            <w:pPr>
              <w:jc w:val="right"/>
              <w:spacing w:after="0" w:line="193" w:lineRule="exact"/>
              <w:rPr>
                <w:sz w:val="20"/>
                <w:szCs w:val="20"/>
                <w:color w:val="auto"/>
              </w:rPr>
            </w:pPr>
            <w:r>
              <w:rPr>
                <w:rFonts w:ascii="Times New Roman" w:cs="Times New Roman" w:eastAsia="Times New Roman" w:hAnsi="Times New Roman"/>
                <w:sz w:val="19"/>
                <w:szCs w:val="19"/>
                <w:color w:val="231F20"/>
              </w:rPr>
              <w:t>166.9</w:t>
            </w:r>
          </w:p>
        </w:tc>
        <w:tc>
          <w:tcPr>
            <w:tcW w:w="20" w:type="dxa"/>
            <w:vAlign w:val="bottom"/>
            <w:tcBorders>
              <w:top w:val="single" w:sz="8" w:color="231F20"/>
            </w:tcBorders>
          </w:tcPr>
          <w:p>
            <w:pPr>
              <w:spacing w:after="0"/>
              <w:rPr>
                <w:sz w:val="16"/>
                <w:szCs w:val="16"/>
                <w:color w:val="auto"/>
              </w:rPr>
            </w:pPr>
          </w:p>
        </w:tc>
        <w:tc>
          <w:tcPr>
            <w:tcW w:w="20" w:type="dxa"/>
            <w:vAlign w:val="bottom"/>
            <w:tcBorders>
              <w:top w:val="single" w:sz="8" w:color="E6E7E8"/>
            </w:tcBorders>
          </w:tcPr>
          <w:p>
            <w:pPr>
              <w:spacing w:after="0"/>
              <w:rPr>
                <w:sz w:val="16"/>
                <w:szCs w:val="16"/>
                <w:color w:val="auto"/>
              </w:rPr>
            </w:pPr>
          </w:p>
        </w:tc>
        <w:tc>
          <w:tcPr>
            <w:tcW w:w="160" w:type="dxa"/>
            <w:vAlign w:val="bottom"/>
            <w:tcBorders>
              <w:top w:val="single" w:sz="8" w:color="E6E7E8"/>
            </w:tcBorders>
          </w:tcPr>
          <w:p>
            <w:pPr>
              <w:spacing w:after="0"/>
              <w:rPr>
                <w:sz w:val="16"/>
                <w:szCs w:val="16"/>
                <w:color w:val="auto"/>
              </w:rPr>
            </w:pPr>
          </w:p>
        </w:tc>
        <w:tc>
          <w:tcPr>
            <w:tcW w:w="20" w:type="dxa"/>
            <w:vAlign w:val="bottom"/>
            <w:tcBorders>
              <w:top w:val="single" w:sz="8" w:color="E6E7E8"/>
              <w:bottom w:val="single" w:sz="8" w:color="231F20"/>
            </w:tcBorders>
          </w:tcPr>
          <w:p>
            <w:pPr>
              <w:spacing w:after="0"/>
              <w:rPr>
                <w:sz w:val="16"/>
                <w:szCs w:val="16"/>
                <w:color w:val="auto"/>
              </w:rPr>
            </w:pPr>
          </w:p>
        </w:tc>
        <w:tc>
          <w:tcPr>
            <w:tcW w:w="20" w:type="dxa"/>
            <w:vAlign w:val="bottom"/>
            <w:tcBorders>
              <w:top w:val="single" w:sz="8" w:color="231F20"/>
              <w:bottom w:val="single" w:sz="8" w:color="231F20"/>
            </w:tcBorders>
          </w:tcPr>
          <w:p>
            <w:pPr>
              <w:spacing w:after="0"/>
              <w:rPr>
                <w:sz w:val="16"/>
                <w:szCs w:val="16"/>
                <w:color w:val="auto"/>
              </w:rPr>
            </w:pPr>
          </w:p>
        </w:tc>
        <w:tc>
          <w:tcPr>
            <w:tcW w:w="160" w:type="dxa"/>
            <w:vAlign w:val="bottom"/>
            <w:tcBorders>
              <w:top w:val="single" w:sz="8" w:color="231F20"/>
              <w:bottom w:val="single" w:sz="8" w:color="231F20"/>
            </w:tcBorders>
            <w:gridSpan w:val="2"/>
          </w:tcPr>
          <w:p>
            <w:pPr>
              <w:jc w:val="right"/>
              <w:ind w:right="104"/>
              <w:spacing w:after="0"/>
              <w:rPr>
                <w:sz w:val="20"/>
                <w:szCs w:val="20"/>
                <w:color w:val="auto"/>
              </w:rPr>
            </w:pPr>
            <w:r>
              <w:rPr>
                <w:rFonts w:ascii="Times New Roman" w:cs="Times New Roman" w:eastAsia="Times New Roman" w:hAnsi="Times New Roman"/>
                <w:sz w:val="5"/>
                <w:szCs w:val="5"/>
                <w:color w:val="231F20"/>
                <w:w w:val="78"/>
              </w:rPr>
              <w:t>$</w:t>
            </w:r>
          </w:p>
        </w:tc>
        <w:tc>
          <w:tcPr>
            <w:tcW w:w="820" w:type="dxa"/>
            <w:vAlign w:val="bottom"/>
            <w:tcBorders>
              <w:top w:val="single" w:sz="8" w:color="231F20"/>
              <w:bottom w:val="single" w:sz="8" w:color="231F20"/>
            </w:tcBorders>
          </w:tcPr>
          <w:p>
            <w:pPr>
              <w:jc w:val="right"/>
              <w:spacing w:after="0" w:line="193" w:lineRule="exact"/>
              <w:rPr>
                <w:sz w:val="20"/>
                <w:szCs w:val="20"/>
                <w:color w:val="auto"/>
              </w:rPr>
            </w:pPr>
            <w:r>
              <w:rPr>
                <w:rFonts w:ascii="Times New Roman" w:cs="Times New Roman" w:eastAsia="Times New Roman" w:hAnsi="Times New Roman"/>
                <w:sz w:val="19"/>
                <w:szCs w:val="19"/>
                <w:color w:val="231F20"/>
              </w:rPr>
              <w:t>—</w:t>
            </w:r>
          </w:p>
        </w:tc>
        <w:tc>
          <w:tcPr>
            <w:tcW w:w="40" w:type="dxa"/>
            <w:vAlign w:val="bottom"/>
            <w:tcBorders>
              <w:top w:val="single" w:sz="8" w:color="E6E7E8"/>
            </w:tcBorders>
            <w:gridSpan w:val="2"/>
          </w:tcPr>
          <w:p>
            <w:pPr>
              <w:spacing w:after="0"/>
              <w:rPr>
                <w:sz w:val="16"/>
                <w:szCs w:val="16"/>
                <w:color w:val="auto"/>
              </w:rPr>
            </w:pPr>
          </w:p>
        </w:tc>
        <w:tc>
          <w:tcPr>
            <w:tcW w:w="160" w:type="dxa"/>
            <w:vAlign w:val="bottom"/>
            <w:tcBorders>
              <w:top w:val="single" w:sz="8" w:color="E6E7E8"/>
            </w:tcBorders>
          </w:tcPr>
          <w:p>
            <w:pPr>
              <w:spacing w:after="0"/>
              <w:rPr>
                <w:sz w:val="16"/>
                <w:szCs w:val="16"/>
                <w:color w:val="auto"/>
              </w:rPr>
            </w:pPr>
          </w:p>
        </w:tc>
        <w:tc>
          <w:tcPr>
            <w:tcW w:w="20" w:type="dxa"/>
            <w:vAlign w:val="bottom"/>
            <w:tcBorders>
              <w:top w:val="single" w:sz="8" w:color="E6E7E8"/>
              <w:bottom w:val="single" w:sz="8" w:color="231F20"/>
            </w:tcBorders>
          </w:tcPr>
          <w:p>
            <w:pPr>
              <w:spacing w:after="0"/>
              <w:rPr>
                <w:sz w:val="16"/>
                <w:szCs w:val="16"/>
                <w:color w:val="auto"/>
              </w:rPr>
            </w:pPr>
          </w:p>
        </w:tc>
        <w:tc>
          <w:tcPr>
            <w:tcW w:w="20" w:type="dxa"/>
            <w:vAlign w:val="bottom"/>
            <w:tcBorders>
              <w:top w:val="single" w:sz="8" w:color="231F20"/>
              <w:bottom w:val="single" w:sz="8" w:color="231F20"/>
            </w:tcBorders>
          </w:tcPr>
          <w:p>
            <w:pPr>
              <w:spacing w:after="0"/>
              <w:rPr>
                <w:sz w:val="16"/>
                <w:szCs w:val="16"/>
                <w:color w:val="auto"/>
              </w:rPr>
            </w:pPr>
          </w:p>
        </w:tc>
        <w:tc>
          <w:tcPr>
            <w:tcW w:w="180" w:type="dxa"/>
            <w:vAlign w:val="bottom"/>
            <w:tcBorders>
              <w:top w:val="single" w:sz="8" w:color="231F20"/>
              <w:bottom w:val="single" w:sz="8" w:color="231F20"/>
            </w:tcBorders>
            <w:gridSpan w:val="2"/>
          </w:tcPr>
          <w:p>
            <w:pPr>
              <w:jc w:val="right"/>
              <w:ind w:right="94"/>
              <w:spacing w:after="0"/>
              <w:rPr>
                <w:sz w:val="20"/>
                <w:szCs w:val="20"/>
                <w:color w:val="auto"/>
              </w:rPr>
            </w:pPr>
            <w:r>
              <w:rPr>
                <w:rFonts w:ascii="Times New Roman" w:cs="Times New Roman" w:eastAsia="Times New Roman" w:hAnsi="Times New Roman"/>
                <w:sz w:val="11"/>
                <w:szCs w:val="11"/>
                <w:color w:val="231F20"/>
                <w:w w:val="71"/>
              </w:rPr>
              <w:t>$</w:t>
            </w:r>
          </w:p>
        </w:tc>
        <w:tc>
          <w:tcPr>
            <w:tcW w:w="800" w:type="dxa"/>
            <w:vAlign w:val="bottom"/>
            <w:tcBorders>
              <w:top w:val="single" w:sz="8" w:color="231F20"/>
              <w:bottom w:val="single" w:sz="8" w:color="231F20"/>
            </w:tcBorders>
          </w:tcPr>
          <w:p>
            <w:pPr>
              <w:jc w:val="right"/>
              <w:spacing w:after="0" w:line="193" w:lineRule="exact"/>
              <w:rPr>
                <w:sz w:val="20"/>
                <w:szCs w:val="20"/>
                <w:color w:val="auto"/>
              </w:rPr>
            </w:pPr>
            <w:r>
              <w:rPr>
                <w:rFonts w:ascii="Times New Roman" w:cs="Times New Roman" w:eastAsia="Times New Roman" w:hAnsi="Times New Roman"/>
                <w:sz w:val="19"/>
                <w:szCs w:val="19"/>
                <w:color w:val="231F20"/>
              </w:rPr>
              <w:t>274.2</w:t>
            </w:r>
          </w:p>
        </w:tc>
        <w:tc>
          <w:tcPr>
            <w:tcW w:w="40" w:type="dxa"/>
            <w:vAlign w:val="bottom"/>
            <w:tcBorders>
              <w:top w:val="single" w:sz="8" w:color="E6E7E8"/>
            </w:tcBorders>
            <w:gridSpan w:val="2"/>
          </w:tcPr>
          <w:p>
            <w:pPr>
              <w:spacing w:after="0"/>
              <w:rPr>
                <w:sz w:val="16"/>
                <w:szCs w:val="16"/>
                <w:color w:val="auto"/>
              </w:rPr>
            </w:pPr>
          </w:p>
        </w:tc>
        <w:tc>
          <w:tcPr>
            <w:tcW w:w="40" w:type="dxa"/>
            <w:vAlign w:val="bottom"/>
            <w:tcBorders>
              <w:top w:val="single" w:sz="8" w:color="E6E7E8"/>
            </w:tcBorders>
          </w:tcPr>
          <w:p>
            <w:pPr>
              <w:spacing w:after="0"/>
              <w:rPr>
                <w:sz w:val="16"/>
                <w:szCs w:val="16"/>
                <w:color w:val="auto"/>
              </w:rPr>
            </w:pPr>
          </w:p>
        </w:tc>
      </w:tr>
      <w:tr>
        <w:trPr>
          <w:trHeight w:val="20"/>
        </w:trPr>
        <w:tc>
          <w:tcPr>
            <w:tcW w:w="29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41"/>
        </w:trPr>
        <w:tc>
          <w:tcPr>
            <w:tcW w:w="2900" w:type="dxa"/>
            <w:vAlign w:val="bottom"/>
          </w:tcPr>
          <w:p>
            <w:pPr>
              <w:spacing w:after="0"/>
              <w:rPr>
                <w:sz w:val="24"/>
                <w:szCs w:val="24"/>
                <w:color w:val="auto"/>
              </w:rPr>
            </w:pPr>
          </w:p>
        </w:tc>
        <w:tc>
          <w:tcPr>
            <w:tcW w:w="4540" w:type="dxa"/>
            <w:vAlign w:val="bottom"/>
            <w:gridSpan w:val="19"/>
          </w:tcPr>
          <w:p>
            <w:pPr>
              <w:ind w:left="80"/>
              <w:spacing w:after="0"/>
              <w:rPr>
                <w:sz w:val="20"/>
                <w:szCs w:val="20"/>
                <w:color w:val="auto"/>
              </w:rPr>
            </w:pPr>
            <w:r>
              <w:rPr>
                <w:rFonts w:ascii="Times New Roman" w:cs="Times New Roman" w:eastAsia="Times New Roman" w:hAnsi="Times New Roman"/>
                <w:sz w:val="16"/>
                <w:szCs w:val="16"/>
                <w:b w:val="1"/>
                <w:bCs w:val="1"/>
                <w:color w:val="231F20"/>
              </w:rPr>
              <w:t>Twelve Months Ended December 31, 2023 ($ millions)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3"/>
        </w:trPr>
        <w:tc>
          <w:tcPr>
            <w:tcW w:w="29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231F20"/>
              </w:rPr>
              <w:t>Electric</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6"/>
          </w:tcPr>
          <w:p>
            <w:pPr>
              <w:ind w:left="140"/>
              <w:spacing w:after="0"/>
              <w:rPr>
                <w:sz w:val="20"/>
                <w:szCs w:val="20"/>
                <w:color w:val="auto"/>
              </w:rPr>
            </w:pPr>
            <w:r>
              <w:rPr>
                <w:rFonts w:ascii="Times New Roman" w:cs="Times New Roman" w:eastAsia="Times New Roman" w:hAnsi="Times New Roman"/>
                <w:sz w:val="16"/>
                <w:szCs w:val="16"/>
                <w:b w:val="1"/>
                <w:bCs w:val="1"/>
                <w:color w:val="231F20"/>
              </w:rPr>
              <w:t>Gas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231F20"/>
              </w:rPr>
              <w:t>Other</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4"/>
          </w:tcPr>
          <w:p>
            <w:pPr>
              <w:jc w:val="right"/>
              <w:ind w:right="400"/>
              <w:spacing w:after="0"/>
              <w:rPr>
                <w:sz w:val="20"/>
                <w:szCs w:val="20"/>
                <w:color w:val="auto"/>
              </w:rPr>
            </w:pPr>
            <w:r>
              <w:rPr>
                <w:rFonts w:ascii="Times New Roman" w:cs="Times New Roman" w:eastAsia="Times New Roman" w:hAnsi="Times New Roman"/>
                <w:sz w:val="16"/>
                <w:szCs w:val="16"/>
                <w:b w:val="1"/>
                <w:bCs w:val="1"/>
                <w:color w:val="231F20"/>
              </w:rPr>
              <w:t>Total</w:t>
            </w:r>
          </w:p>
        </w:tc>
      </w:tr>
      <w:tr>
        <w:trPr>
          <w:trHeight w:val="214"/>
        </w:trPr>
        <w:tc>
          <w:tcPr>
            <w:tcW w:w="2900" w:type="dxa"/>
            <w:vAlign w:val="bottom"/>
            <w:tcBorders>
              <w:top w:val="single" w:sz="8" w:color="E6E7E8"/>
            </w:tcBorders>
            <w:shd w:val="clear" w:color="auto" w:fill="E6E7E8"/>
          </w:tcPr>
          <w:p>
            <w:pPr>
              <w:spacing w:after="0" w:line="214" w:lineRule="exact"/>
              <w:rPr>
                <w:sz w:val="20"/>
                <w:szCs w:val="20"/>
                <w:color w:val="auto"/>
              </w:rPr>
            </w:pPr>
            <w:r>
              <w:rPr>
                <w:rFonts w:ascii="Times New Roman" w:cs="Times New Roman" w:eastAsia="Times New Roman" w:hAnsi="Times New Roman"/>
                <w:sz w:val="19"/>
                <w:szCs w:val="19"/>
                <w:color w:val="231F20"/>
              </w:rPr>
              <w:t>Total Operating Revenue</w:t>
            </w:r>
          </w:p>
        </w:tc>
        <w:tc>
          <w:tcPr>
            <w:tcW w:w="2040" w:type="dxa"/>
            <w:vAlign w:val="bottom"/>
            <w:tcBorders>
              <w:top w:val="single" w:sz="8" w:color="E6E7E8"/>
            </w:tcBorders>
            <w:shd w:val="clear" w:color="auto" w:fill="E6E7E8"/>
          </w:tcPr>
          <w:p>
            <w:pPr>
              <w:spacing w:after="0"/>
              <w:rPr>
                <w:sz w:val="18"/>
                <w:szCs w:val="18"/>
                <w:color w:val="auto"/>
              </w:rPr>
            </w:pPr>
          </w:p>
        </w:tc>
        <w:tc>
          <w:tcPr>
            <w:tcW w:w="20" w:type="dxa"/>
            <w:vAlign w:val="bottom"/>
            <w:tcBorders>
              <w:top w:val="single" w:sz="8" w:color="E6E7E8"/>
            </w:tcBorders>
            <w:shd w:val="clear" w:color="auto" w:fill="E6E7E8"/>
          </w:tcPr>
          <w:p>
            <w:pPr>
              <w:spacing w:after="0"/>
              <w:rPr>
                <w:sz w:val="18"/>
                <w:szCs w:val="18"/>
                <w:color w:val="auto"/>
              </w:rPr>
            </w:pPr>
          </w:p>
        </w:tc>
        <w:tc>
          <w:tcPr>
            <w:tcW w:w="20" w:type="dxa"/>
            <w:vAlign w:val="bottom"/>
            <w:tcBorders>
              <w:top w:val="single" w:sz="8" w:color="E6E7E8"/>
            </w:tcBorders>
            <w:shd w:val="clear" w:color="auto" w:fill="E6E7E8"/>
          </w:tcPr>
          <w:p>
            <w:pPr>
              <w:spacing w:after="0"/>
              <w:rPr>
                <w:sz w:val="18"/>
                <w:szCs w:val="18"/>
                <w:color w:val="auto"/>
              </w:rPr>
            </w:pPr>
          </w:p>
        </w:tc>
        <w:tc>
          <w:tcPr>
            <w:tcW w:w="20" w:type="dxa"/>
            <w:vAlign w:val="bottom"/>
            <w:tcBorders>
              <w:top w:val="single" w:sz="8" w:color="E6E7E8"/>
            </w:tcBorders>
            <w:shd w:val="clear" w:color="auto" w:fill="E6E7E8"/>
          </w:tcPr>
          <w:p>
            <w:pPr>
              <w:spacing w:after="0"/>
              <w:rPr>
                <w:sz w:val="18"/>
                <w:szCs w:val="18"/>
                <w:color w:val="auto"/>
              </w:rPr>
            </w:pPr>
          </w:p>
        </w:tc>
        <w:tc>
          <w:tcPr>
            <w:tcW w:w="120" w:type="dxa"/>
            <w:vAlign w:val="bottom"/>
            <w:tcBorders>
              <w:top w:val="single" w:sz="8" w:color="231F20"/>
            </w:tcBorders>
            <w:shd w:val="clear" w:color="auto" w:fill="E6E7E8"/>
          </w:tcPr>
          <w:p>
            <w:pPr>
              <w:jc w:val="right"/>
              <w:ind w:right="54"/>
              <w:spacing w:after="0"/>
              <w:rPr>
                <w:sz w:val="20"/>
                <w:szCs w:val="20"/>
                <w:color w:val="auto"/>
              </w:rPr>
            </w:pPr>
            <w:r>
              <w:rPr>
                <w:rFonts w:ascii="Times New Roman" w:cs="Times New Roman" w:eastAsia="Times New Roman" w:hAnsi="Times New Roman"/>
                <w:sz w:val="5"/>
                <w:szCs w:val="5"/>
                <w:color w:val="231F20"/>
                <w:w w:val="78"/>
              </w:rPr>
              <w:t>$</w:t>
            </w:r>
          </w:p>
        </w:tc>
        <w:tc>
          <w:tcPr>
            <w:tcW w:w="880" w:type="dxa"/>
            <w:vAlign w:val="bottom"/>
            <w:tcBorders>
              <w:top w:val="single" w:sz="8" w:color="231F20"/>
            </w:tcBorders>
            <w:gridSpan w:val="3"/>
            <w:shd w:val="clear" w:color="auto" w:fill="E6E7E8"/>
          </w:tcPr>
          <w:p>
            <w:pPr>
              <w:jc w:val="right"/>
              <w:ind w:right="40"/>
              <w:spacing w:after="0" w:line="214" w:lineRule="exact"/>
              <w:rPr>
                <w:sz w:val="20"/>
                <w:szCs w:val="20"/>
                <w:color w:val="auto"/>
              </w:rPr>
            </w:pPr>
            <w:r>
              <w:rPr>
                <w:rFonts w:ascii="Times New Roman" w:cs="Times New Roman" w:eastAsia="Times New Roman" w:hAnsi="Times New Roman"/>
                <w:sz w:val="19"/>
                <w:szCs w:val="19"/>
                <w:color w:val="231F20"/>
              </w:rPr>
              <w:t>306.5</w:t>
            </w:r>
          </w:p>
        </w:tc>
        <w:tc>
          <w:tcPr>
            <w:tcW w:w="180" w:type="dxa"/>
            <w:vAlign w:val="bottom"/>
            <w:tcBorders>
              <w:top w:val="single" w:sz="8" w:color="E6E7E8"/>
            </w:tcBorders>
            <w:shd w:val="clear" w:color="auto" w:fill="E6E7E8"/>
          </w:tcPr>
          <w:p>
            <w:pPr>
              <w:spacing w:after="0"/>
              <w:rPr>
                <w:sz w:val="18"/>
                <w:szCs w:val="18"/>
                <w:color w:val="auto"/>
              </w:rPr>
            </w:pPr>
          </w:p>
        </w:tc>
        <w:tc>
          <w:tcPr>
            <w:tcW w:w="20" w:type="dxa"/>
            <w:vAlign w:val="bottom"/>
            <w:tcBorders>
              <w:top w:val="single" w:sz="8" w:color="E6E7E8"/>
            </w:tcBorders>
            <w:shd w:val="clear" w:color="auto" w:fill="E6E7E8"/>
          </w:tcPr>
          <w:p>
            <w:pPr>
              <w:spacing w:after="0"/>
              <w:rPr>
                <w:sz w:val="18"/>
                <w:szCs w:val="18"/>
                <w:color w:val="auto"/>
              </w:rPr>
            </w:pPr>
          </w:p>
        </w:tc>
        <w:tc>
          <w:tcPr>
            <w:tcW w:w="20" w:type="dxa"/>
            <w:vAlign w:val="bottom"/>
            <w:tcBorders>
              <w:top w:val="single" w:sz="8" w:color="E6E7E8"/>
            </w:tcBorders>
            <w:shd w:val="clear" w:color="auto" w:fill="E6E7E8"/>
          </w:tcPr>
          <w:p>
            <w:pPr>
              <w:spacing w:after="0"/>
              <w:rPr>
                <w:sz w:val="18"/>
                <w:szCs w:val="18"/>
                <w:color w:val="auto"/>
              </w:rPr>
            </w:pPr>
          </w:p>
        </w:tc>
        <w:tc>
          <w:tcPr>
            <w:tcW w:w="20" w:type="dxa"/>
            <w:vAlign w:val="bottom"/>
            <w:tcBorders>
              <w:top w:val="single" w:sz="8" w:color="E6E7E8"/>
            </w:tcBorders>
            <w:shd w:val="clear" w:color="auto" w:fill="E6E7E8"/>
          </w:tcPr>
          <w:p>
            <w:pPr>
              <w:spacing w:after="0"/>
              <w:rPr>
                <w:sz w:val="18"/>
                <w:szCs w:val="18"/>
                <w:color w:val="auto"/>
              </w:rPr>
            </w:pPr>
          </w:p>
        </w:tc>
        <w:tc>
          <w:tcPr>
            <w:tcW w:w="160" w:type="dxa"/>
            <w:vAlign w:val="bottom"/>
            <w:tcBorders>
              <w:top w:val="single" w:sz="8" w:color="231F20"/>
            </w:tcBorders>
            <w:shd w:val="clear" w:color="auto" w:fill="E6E7E8"/>
          </w:tcPr>
          <w:p>
            <w:pPr>
              <w:jc w:val="right"/>
              <w:ind w:right="135"/>
              <w:spacing w:after="0"/>
              <w:rPr>
                <w:sz w:val="20"/>
                <w:szCs w:val="20"/>
                <w:color w:val="auto"/>
              </w:rPr>
            </w:pPr>
            <w:r>
              <w:rPr>
                <w:rFonts w:ascii="Times New Roman" w:cs="Times New Roman" w:eastAsia="Times New Roman" w:hAnsi="Times New Roman"/>
                <w:sz w:val="1"/>
                <w:szCs w:val="1"/>
                <w:color w:val="231F20"/>
                <w:w w:val="4294967286"/>
              </w:rPr>
              <w:t>$</w:t>
            </w:r>
          </w:p>
        </w:tc>
        <w:tc>
          <w:tcPr>
            <w:tcW w:w="840" w:type="dxa"/>
            <w:vAlign w:val="bottom"/>
            <w:tcBorders>
              <w:top w:val="single" w:sz="8" w:color="231F20"/>
            </w:tcBorders>
            <w:gridSpan w:val="3"/>
            <w:shd w:val="clear" w:color="auto" w:fill="E6E7E8"/>
          </w:tcPr>
          <w:p>
            <w:pPr>
              <w:jc w:val="right"/>
              <w:ind w:right="40"/>
              <w:spacing w:after="0" w:line="214" w:lineRule="exact"/>
              <w:rPr>
                <w:sz w:val="20"/>
                <w:szCs w:val="20"/>
                <w:color w:val="auto"/>
              </w:rPr>
            </w:pPr>
            <w:r>
              <w:rPr>
                <w:rFonts w:ascii="Times New Roman" w:cs="Times New Roman" w:eastAsia="Times New Roman" w:hAnsi="Times New Roman"/>
                <w:sz w:val="19"/>
                <w:szCs w:val="19"/>
                <w:color w:val="231F20"/>
              </w:rPr>
              <w:t>250.6</w:t>
            </w:r>
          </w:p>
        </w:tc>
        <w:tc>
          <w:tcPr>
            <w:tcW w:w="160" w:type="dxa"/>
            <w:vAlign w:val="bottom"/>
            <w:tcBorders>
              <w:top w:val="single" w:sz="8" w:color="E6E7E8"/>
            </w:tcBorders>
            <w:shd w:val="clear" w:color="auto" w:fill="E6E7E8"/>
          </w:tcPr>
          <w:p>
            <w:pPr>
              <w:spacing w:after="0"/>
              <w:rPr>
                <w:sz w:val="18"/>
                <w:szCs w:val="18"/>
                <w:color w:val="auto"/>
              </w:rPr>
            </w:pPr>
          </w:p>
        </w:tc>
        <w:tc>
          <w:tcPr>
            <w:tcW w:w="20" w:type="dxa"/>
            <w:vAlign w:val="bottom"/>
            <w:tcBorders>
              <w:top w:val="single" w:sz="8" w:color="E6E7E8"/>
            </w:tcBorders>
            <w:shd w:val="clear" w:color="auto" w:fill="E6E7E8"/>
          </w:tcPr>
          <w:p>
            <w:pPr>
              <w:spacing w:after="0"/>
              <w:rPr>
                <w:sz w:val="18"/>
                <w:szCs w:val="18"/>
                <w:color w:val="auto"/>
              </w:rPr>
            </w:pPr>
          </w:p>
        </w:tc>
        <w:tc>
          <w:tcPr>
            <w:tcW w:w="20" w:type="dxa"/>
            <w:vAlign w:val="bottom"/>
            <w:tcBorders>
              <w:top w:val="single" w:sz="8" w:color="E6E7E8"/>
            </w:tcBorders>
            <w:shd w:val="clear" w:color="auto" w:fill="E6E7E8"/>
          </w:tcPr>
          <w:p>
            <w:pPr>
              <w:spacing w:after="0"/>
              <w:rPr>
                <w:sz w:val="18"/>
                <w:szCs w:val="18"/>
                <w:color w:val="auto"/>
              </w:rPr>
            </w:pPr>
          </w:p>
        </w:tc>
        <w:tc>
          <w:tcPr>
            <w:tcW w:w="20" w:type="dxa"/>
            <w:vAlign w:val="bottom"/>
            <w:tcBorders>
              <w:top w:val="single" w:sz="8" w:color="E6E7E8"/>
            </w:tcBorders>
            <w:shd w:val="clear" w:color="auto" w:fill="E6E7E8"/>
          </w:tcPr>
          <w:p>
            <w:pPr>
              <w:spacing w:after="0"/>
              <w:rPr>
                <w:sz w:val="18"/>
                <w:szCs w:val="18"/>
                <w:color w:val="auto"/>
              </w:rPr>
            </w:pPr>
          </w:p>
        </w:tc>
        <w:tc>
          <w:tcPr>
            <w:tcW w:w="140" w:type="dxa"/>
            <w:vAlign w:val="bottom"/>
            <w:tcBorders>
              <w:top w:val="single" w:sz="8" w:color="231F20"/>
            </w:tcBorders>
            <w:shd w:val="clear" w:color="auto" w:fill="E6E7E8"/>
          </w:tcPr>
          <w:p>
            <w:pPr>
              <w:jc w:val="right"/>
              <w:ind w:right="84"/>
              <w:spacing w:after="0"/>
              <w:rPr>
                <w:sz w:val="20"/>
                <w:szCs w:val="20"/>
                <w:color w:val="auto"/>
              </w:rPr>
            </w:pPr>
            <w:r>
              <w:rPr>
                <w:rFonts w:ascii="Times New Roman" w:cs="Times New Roman" w:eastAsia="Times New Roman" w:hAnsi="Times New Roman"/>
                <w:sz w:val="5"/>
                <w:szCs w:val="5"/>
                <w:color w:val="231F20"/>
                <w:w w:val="78"/>
              </w:rPr>
              <w:t>$</w:t>
            </w:r>
          </w:p>
        </w:tc>
        <w:tc>
          <w:tcPr>
            <w:tcW w:w="860" w:type="dxa"/>
            <w:vAlign w:val="bottom"/>
            <w:tcBorders>
              <w:top w:val="single" w:sz="8" w:color="231F20"/>
            </w:tcBorders>
            <w:gridSpan w:val="3"/>
            <w:shd w:val="clear" w:color="auto" w:fill="E6E7E8"/>
          </w:tcPr>
          <w:p>
            <w:pPr>
              <w:jc w:val="right"/>
              <w:ind w:right="40"/>
              <w:spacing w:after="0" w:line="214" w:lineRule="exact"/>
              <w:rPr>
                <w:sz w:val="20"/>
                <w:szCs w:val="20"/>
                <w:color w:val="auto"/>
              </w:rPr>
            </w:pPr>
            <w:r>
              <w:rPr>
                <w:rFonts w:ascii="Times New Roman" w:cs="Times New Roman" w:eastAsia="Times New Roman" w:hAnsi="Times New Roman"/>
                <w:sz w:val="19"/>
                <w:szCs w:val="19"/>
                <w:color w:val="231F20"/>
              </w:rPr>
              <w:t>—</w:t>
            </w:r>
          </w:p>
        </w:tc>
        <w:tc>
          <w:tcPr>
            <w:tcW w:w="160" w:type="dxa"/>
            <w:vAlign w:val="bottom"/>
            <w:tcBorders>
              <w:top w:val="single" w:sz="8" w:color="E6E7E8"/>
            </w:tcBorders>
            <w:shd w:val="clear" w:color="auto" w:fill="E6E7E8"/>
          </w:tcPr>
          <w:p>
            <w:pPr>
              <w:spacing w:after="0"/>
              <w:rPr>
                <w:sz w:val="18"/>
                <w:szCs w:val="18"/>
                <w:color w:val="auto"/>
              </w:rPr>
            </w:pPr>
          </w:p>
        </w:tc>
        <w:tc>
          <w:tcPr>
            <w:tcW w:w="20" w:type="dxa"/>
            <w:vAlign w:val="bottom"/>
            <w:tcBorders>
              <w:top w:val="single" w:sz="8" w:color="E6E7E8"/>
            </w:tcBorders>
            <w:shd w:val="clear" w:color="auto" w:fill="E6E7E8"/>
          </w:tcPr>
          <w:p>
            <w:pPr>
              <w:spacing w:after="0"/>
              <w:rPr>
                <w:sz w:val="18"/>
                <w:szCs w:val="18"/>
                <w:color w:val="auto"/>
              </w:rPr>
            </w:pPr>
          </w:p>
        </w:tc>
        <w:tc>
          <w:tcPr>
            <w:tcW w:w="20" w:type="dxa"/>
            <w:vAlign w:val="bottom"/>
            <w:tcBorders>
              <w:top w:val="single" w:sz="8" w:color="E6E7E8"/>
            </w:tcBorders>
            <w:shd w:val="clear" w:color="auto" w:fill="E6E7E8"/>
          </w:tcPr>
          <w:p>
            <w:pPr>
              <w:spacing w:after="0"/>
              <w:rPr>
                <w:sz w:val="18"/>
                <w:szCs w:val="18"/>
                <w:color w:val="auto"/>
              </w:rPr>
            </w:pPr>
          </w:p>
        </w:tc>
        <w:tc>
          <w:tcPr>
            <w:tcW w:w="20" w:type="dxa"/>
            <w:vAlign w:val="bottom"/>
            <w:tcBorders>
              <w:top w:val="single" w:sz="8" w:color="E6E7E8"/>
            </w:tcBorders>
            <w:shd w:val="clear" w:color="auto" w:fill="E6E7E8"/>
          </w:tcPr>
          <w:p>
            <w:pPr>
              <w:spacing w:after="0"/>
              <w:rPr>
                <w:sz w:val="18"/>
                <w:szCs w:val="18"/>
                <w:color w:val="auto"/>
              </w:rPr>
            </w:pPr>
          </w:p>
        </w:tc>
        <w:tc>
          <w:tcPr>
            <w:tcW w:w="160" w:type="dxa"/>
            <w:vAlign w:val="bottom"/>
            <w:tcBorders>
              <w:top w:val="single" w:sz="8" w:color="231F20"/>
            </w:tcBorders>
            <w:shd w:val="clear" w:color="auto" w:fill="E6E7E8"/>
          </w:tcPr>
          <w:p>
            <w:pPr>
              <w:jc w:val="right"/>
              <w:ind w:right="94"/>
              <w:spacing w:after="0"/>
              <w:rPr>
                <w:sz w:val="20"/>
                <w:szCs w:val="20"/>
                <w:color w:val="auto"/>
              </w:rPr>
            </w:pPr>
            <w:r>
              <w:rPr>
                <w:rFonts w:ascii="Times New Roman" w:cs="Times New Roman" w:eastAsia="Times New Roman" w:hAnsi="Times New Roman"/>
                <w:sz w:val="5"/>
                <w:szCs w:val="5"/>
                <w:color w:val="231F20"/>
                <w:w w:val="78"/>
              </w:rPr>
              <w:t>$</w:t>
            </w:r>
          </w:p>
        </w:tc>
        <w:tc>
          <w:tcPr>
            <w:tcW w:w="840" w:type="dxa"/>
            <w:vAlign w:val="bottom"/>
            <w:tcBorders>
              <w:top w:val="single" w:sz="8" w:color="231F20"/>
            </w:tcBorders>
            <w:gridSpan w:val="3"/>
            <w:shd w:val="clear" w:color="auto" w:fill="E6E7E8"/>
          </w:tcPr>
          <w:p>
            <w:pPr>
              <w:jc w:val="right"/>
              <w:ind w:right="40"/>
              <w:spacing w:after="0" w:line="214" w:lineRule="exact"/>
              <w:rPr>
                <w:sz w:val="20"/>
                <w:szCs w:val="20"/>
                <w:color w:val="auto"/>
              </w:rPr>
            </w:pPr>
            <w:r>
              <w:rPr>
                <w:rFonts w:ascii="Times New Roman" w:cs="Times New Roman" w:eastAsia="Times New Roman" w:hAnsi="Times New Roman"/>
                <w:sz w:val="19"/>
                <w:szCs w:val="19"/>
                <w:color w:val="231F20"/>
              </w:rPr>
              <w:t>557.1</w:t>
            </w:r>
          </w:p>
        </w:tc>
        <w:tc>
          <w:tcPr>
            <w:tcW w:w="40" w:type="dxa"/>
            <w:vAlign w:val="bottom"/>
            <w:tcBorders>
              <w:top w:val="single" w:sz="8" w:color="E6E7E8"/>
            </w:tcBorders>
            <w:shd w:val="clear" w:color="auto" w:fill="E6E7E8"/>
          </w:tcPr>
          <w:p>
            <w:pPr>
              <w:spacing w:after="0"/>
              <w:rPr>
                <w:sz w:val="18"/>
                <w:szCs w:val="18"/>
                <w:color w:val="auto"/>
              </w:rPr>
            </w:pPr>
          </w:p>
        </w:tc>
      </w:tr>
      <w:tr>
        <w:trPr>
          <w:trHeight w:val="218"/>
        </w:trPr>
        <w:tc>
          <w:tcPr>
            <w:tcW w:w="2900" w:type="dxa"/>
            <w:vAlign w:val="bottom"/>
          </w:tcPr>
          <w:p>
            <w:pPr>
              <w:spacing w:after="0"/>
              <w:rPr>
                <w:sz w:val="20"/>
                <w:szCs w:val="20"/>
                <w:color w:val="auto"/>
              </w:rPr>
            </w:pPr>
            <w:r>
              <w:rPr>
                <w:rFonts w:ascii="Times New Roman" w:cs="Times New Roman" w:eastAsia="Times New Roman" w:hAnsi="Times New Roman"/>
                <w:sz w:val="19"/>
                <w:szCs w:val="19"/>
                <w:color w:val="231F20"/>
              </w:rPr>
              <w:t>Less: Cost of Sales</w:t>
            </w:r>
          </w:p>
        </w:tc>
        <w:tc>
          <w:tcPr>
            <w:tcW w:w="2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4"/>
          </w:tcPr>
          <w:p>
            <w:pPr>
              <w:jc w:val="right"/>
              <w:ind w:right="140"/>
              <w:spacing w:after="0"/>
              <w:rPr>
                <w:sz w:val="20"/>
                <w:szCs w:val="20"/>
                <w:color w:val="auto"/>
              </w:rPr>
            </w:pPr>
            <w:r>
              <w:rPr>
                <w:rFonts w:ascii="Times New Roman" w:cs="Times New Roman" w:eastAsia="Times New Roman" w:hAnsi="Times New Roman"/>
                <w:sz w:val="19"/>
                <w:szCs w:val="19"/>
                <w:color w:val="231F20"/>
              </w:rPr>
              <w:t>(202.4)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19"/>
                <w:szCs w:val="19"/>
                <w:color w:val="231F20"/>
              </w:rPr>
              <w:t>(96.1)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9"/>
                <w:szCs w:val="19"/>
                <w:color w:val="231F20"/>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9"/>
                <w:szCs w:val="19"/>
                <w:color w:val="231F20"/>
              </w:rPr>
              <w:t>(298.5)</w:t>
            </w:r>
          </w:p>
        </w:tc>
      </w:tr>
      <w:tr>
        <w:trPr>
          <w:trHeight w:val="238"/>
        </w:trPr>
        <w:tc>
          <w:tcPr>
            <w:tcW w:w="2900" w:type="dxa"/>
            <w:vAlign w:val="bottom"/>
            <w:shd w:val="clear" w:color="auto" w:fill="E6E7E8"/>
          </w:tcPr>
          <w:p>
            <w:pPr>
              <w:spacing w:after="0"/>
              <w:rPr>
                <w:sz w:val="20"/>
                <w:szCs w:val="20"/>
                <w:color w:val="auto"/>
              </w:rPr>
            </w:pPr>
            <w:r>
              <w:rPr>
                <w:rFonts w:ascii="Times New Roman" w:cs="Times New Roman" w:eastAsia="Times New Roman" w:hAnsi="Times New Roman"/>
                <w:sz w:val="19"/>
                <w:szCs w:val="19"/>
                <w:color w:val="231F20"/>
              </w:rPr>
              <w:t>Less: Depreciation and Amortization</w:t>
            </w:r>
          </w:p>
        </w:tc>
        <w:tc>
          <w:tcPr>
            <w:tcW w:w="204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120" w:type="dxa"/>
            <w:vAlign w:val="bottom"/>
            <w:shd w:val="clear" w:color="auto" w:fill="E6E7E8"/>
          </w:tcPr>
          <w:p>
            <w:pPr>
              <w:spacing w:after="0"/>
              <w:rPr>
                <w:sz w:val="20"/>
                <w:szCs w:val="20"/>
                <w:color w:val="auto"/>
              </w:rPr>
            </w:pPr>
          </w:p>
        </w:tc>
        <w:tc>
          <w:tcPr>
            <w:tcW w:w="1060" w:type="dxa"/>
            <w:vAlign w:val="bottom"/>
            <w:gridSpan w:val="4"/>
            <w:shd w:val="clear" w:color="auto" w:fill="E6E7E8"/>
          </w:tcPr>
          <w:p>
            <w:pPr>
              <w:jc w:val="right"/>
              <w:ind w:right="140"/>
              <w:spacing w:after="0"/>
              <w:rPr>
                <w:sz w:val="20"/>
                <w:szCs w:val="20"/>
                <w:color w:val="auto"/>
              </w:rPr>
            </w:pPr>
            <w:r>
              <w:rPr>
                <w:rFonts w:ascii="Times New Roman" w:cs="Times New Roman" w:eastAsia="Times New Roman" w:hAnsi="Times New Roman"/>
                <w:sz w:val="19"/>
                <w:szCs w:val="19"/>
                <w:color w:val="231F20"/>
              </w:rPr>
              <w:t>(26.0)</w:t>
            </w:r>
          </w:p>
        </w:tc>
        <w:tc>
          <w:tcPr>
            <w:tcW w:w="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160" w:type="dxa"/>
            <w:vAlign w:val="bottom"/>
            <w:shd w:val="clear" w:color="auto" w:fill="E6E7E8"/>
          </w:tcPr>
          <w:p>
            <w:pPr>
              <w:spacing w:after="0"/>
              <w:rPr>
                <w:sz w:val="20"/>
                <w:szCs w:val="20"/>
                <w:color w:val="auto"/>
              </w:rPr>
            </w:pPr>
          </w:p>
        </w:tc>
        <w:tc>
          <w:tcPr>
            <w:tcW w:w="1000" w:type="dxa"/>
            <w:vAlign w:val="bottom"/>
            <w:gridSpan w:val="4"/>
            <w:shd w:val="clear" w:color="auto" w:fill="E6E7E8"/>
          </w:tcPr>
          <w:p>
            <w:pPr>
              <w:jc w:val="right"/>
              <w:ind w:right="140"/>
              <w:spacing w:after="0"/>
              <w:rPr>
                <w:sz w:val="20"/>
                <w:szCs w:val="20"/>
                <w:color w:val="auto"/>
              </w:rPr>
            </w:pPr>
            <w:r>
              <w:rPr>
                <w:rFonts w:ascii="Times New Roman" w:cs="Times New Roman" w:eastAsia="Times New Roman" w:hAnsi="Times New Roman"/>
                <w:sz w:val="19"/>
                <w:szCs w:val="19"/>
                <w:color w:val="231F20"/>
              </w:rPr>
              <w:t>(40.4)</w:t>
            </w:r>
          </w:p>
        </w:tc>
        <w:tc>
          <w:tcPr>
            <w:tcW w:w="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140" w:type="dxa"/>
            <w:vAlign w:val="bottom"/>
            <w:shd w:val="clear" w:color="auto" w:fill="E6E7E8"/>
          </w:tcPr>
          <w:p>
            <w:pPr>
              <w:spacing w:after="0"/>
              <w:rPr>
                <w:sz w:val="20"/>
                <w:szCs w:val="20"/>
                <w:color w:val="auto"/>
              </w:rPr>
            </w:pPr>
          </w:p>
        </w:tc>
        <w:tc>
          <w:tcPr>
            <w:tcW w:w="1020" w:type="dxa"/>
            <w:vAlign w:val="bottom"/>
            <w:gridSpan w:val="4"/>
            <w:shd w:val="clear" w:color="auto" w:fill="E6E7E8"/>
          </w:tcPr>
          <w:p>
            <w:pPr>
              <w:jc w:val="right"/>
              <w:ind w:right="140"/>
              <w:spacing w:after="0"/>
              <w:rPr>
                <w:sz w:val="20"/>
                <w:szCs w:val="20"/>
                <w:color w:val="auto"/>
              </w:rPr>
            </w:pPr>
            <w:r>
              <w:rPr>
                <w:rFonts w:ascii="Times New Roman" w:cs="Times New Roman" w:eastAsia="Times New Roman" w:hAnsi="Times New Roman"/>
                <w:sz w:val="19"/>
                <w:szCs w:val="19"/>
                <w:color w:val="231F20"/>
              </w:rPr>
              <w:t>(1.0)</w:t>
            </w:r>
          </w:p>
        </w:tc>
        <w:tc>
          <w:tcPr>
            <w:tcW w:w="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160" w:type="dxa"/>
            <w:vAlign w:val="bottom"/>
            <w:shd w:val="clear" w:color="auto" w:fill="E6E7E8"/>
          </w:tcPr>
          <w:p>
            <w:pPr>
              <w:spacing w:after="0"/>
              <w:rPr>
                <w:sz w:val="20"/>
                <w:szCs w:val="20"/>
                <w:color w:val="auto"/>
              </w:rPr>
            </w:pPr>
          </w:p>
        </w:tc>
        <w:tc>
          <w:tcPr>
            <w:tcW w:w="880" w:type="dxa"/>
            <w:vAlign w:val="bottom"/>
            <w:gridSpan w:val="4"/>
            <w:shd w:val="clear" w:color="auto" w:fill="E6E7E8"/>
          </w:tcPr>
          <w:p>
            <w:pPr>
              <w:jc w:val="right"/>
              <w:ind w:right="20"/>
              <w:spacing w:after="0"/>
              <w:rPr>
                <w:sz w:val="20"/>
                <w:szCs w:val="20"/>
                <w:color w:val="auto"/>
              </w:rPr>
            </w:pPr>
            <w:r>
              <w:rPr>
                <w:rFonts w:ascii="Times New Roman" w:cs="Times New Roman" w:eastAsia="Times New Roman" w:hAnsi="Times New Roman"/>
                <w:sz w:val="19"/>
                <w:szCs w:val="19"/>
                <w:color w:val="231F20"/>
              </w:rPr>
              <w:t>(67.4)</w:t>
            </w:r>
          </w:p>
        </w:tc>
      </w:tr>
      <w:tr>
        <w:trPr>
          <w:trHeight w:val="194"/>
        </w:trPr>
        <w:tc>
          <w:tcPr>
            <w:tcW w:w="2900" w:type="dxa"/>
            <w:vAlign w:val="bottom"/>
            <w:tcBorders>
              <w:top w:val="single" w:sz="8" w:color="E6E7E8"/>
            </w:tcBorders>
          </w:tcPr>
          <w:p>
            <w:pPr>
              <w:ind w:left="200"/>
              <w:spacing w:after="0" w:line="193" w:lineRule="exact"/>
              <w:rPr>
                <w:sz w:val="20"/>
                <w:szCs w:val="20"/>
                <w:color w:val="auto"/>
              </w:rPr>
            </w:pPr>
            <w:r>
              <w:rPr>
                <w:rFonts w:ascii="Times New Roman" w:cs="Times New Roman" w:eastAsia="Times New Roman" w:hAnsi="Times New Roman"/>
                <w:sz w:val="19"/>
                <w:szCs w:val="19"/>
                <w:color w:val="231F20"/>
              </w:rPr>
              <w:t>GAAP Gross Margin</w:t>
            </w:r>
          </w:p>
        </w:tc>
        <w:tc>
          <w:tcPr>
            <w:tcW w:w="2040" w:type="dxa"/>
            <w:vAlign w:val="bottom"/>
            <w:tcBorders>
              <w:top w:val="single" w:sz="8" w:color="E6E7E8"/>
            </w:tcBorders>
          </w:tcPr>
          <w:p>
            <w:pPr>
              <w:spacing w:after="0"/>
              <w:rPr>
                <w:sz w:val="16"/>
                <w:szCs w:val="16"/>
                <w:color w:val="auto"/>
              </w:rPr>
            </w:pPr>
          </w:p>
        </w:tc>
        <w:tc>
          <w:tcPr>
            <w:tcW w:w="20" w:type="dxa"/>
            <w:vAlign w:val="bottom"/>
            <w:tcBorders>
              <w:top w:val="single" w:sz="8" w:color="E6E7E8"/>
            </w:tcBorders>
          </w:tcPr>
          <w:p>
            <w:pPr>
              <w:spacing w:after="0"/>
              <w:rPr>
                <w:sz w:val="16"/>
                <w:szCs w:val="16"/>
                <w:color w:val="auto"/>
              </w:rPr>
            </w:pPr>
          </w:p>
        </w:tc>
        <w:tc>
          <w:tcPr>
            <w:tcW w:w="20" w:type="dxa"/>
            <w:vAlign w:val="bottom"/>
            <w:tcBorders>
              <w:top w:val="single" w:sz="8" w:color="E6E7E8"/>
            </w:tcBorders>
          </w:tcPr>
          <w:p>
            <w:pPr>
              <w:spacing w:after="0"/>
              <w:rPr>
                <w:sz w:val="16"/>
                <w:szCs w:val="16"/>
                <w:color w:val="auto"/>
              </w:rPr>
            </w:pPr>
          </w:p>
        </w:tc>
        <w:tc>
          <w:tcPr>
            <w:tcW w:w="20" w:type="dxa"/>
            <w:vAlign w:val="bottom"/>
            <w:tcBorders>
              <w:top w:val="single" w:sz="8" w:color="E6E7E8"/>
            </w:tcBorders>
          </w:tcPr>
          <w:p>
            <w:pPr>
              <w:spacing w:after="0"/>
              <w:rPr>
                <w:sz w:val="16"/>
                <w:szCs w:val="16"/>
                <w:color w:val="auto"/>
              </w:rPr>
            </w:pPr>
          </w:p>
        </w:tc>
        <w:tc>
          <w:tcPr>
            <w:tcW w:w="120" w:type="dxa"/>
            <w:vAlign w:val="bottom"/>
            <w:tcBorders>
              <w:top w:val="single" w:sz="8" w:color="231F20"/>
            </w:tcBorders>
          </w:tcPr>
          <w:p>
            <w:pPr>
              <w:spacing w:after="0"/>
              <w:rPr>
                <w:sz w:val="16"/>
                <w:szCs w:val="16"/>
                <w:color w:val="auto"/>
              </w:rPr>
            </w:pPr>
          </w:p>
        </w:tc>
        <w:tc>
          <w:tcPr>
            <w:tcW w:w="860" w:type="dxa"/>
            <w:vAlign w:val="bottom"/>
            <w:tcBorders>
              <w:top w:val="single" w:sz="8" w:color="231F20"/>
            </w:tcBorders>
            <w:gridSpan w:val="2"/>
          </w:tcPr>
          <w:p>
            <w:pPr>
              <w:jc w:val="right"/>
              <w:ind w:right="20"/>
              <w:spacing w:after="0" w:line="193" w:lineRule="exact"/>
              <w:rPr>
                <w:sz w:val="20"/>
                <w:szCs w:val="20"/>
                <w:color w:val="auto"/>
              </w:rPr>
            </w:pPr>
            <w:r>
              <w:rPr>
                <w:rFonts w:ascii="Times New Roman" w:cs="Times New Roman" w:eastAsia="Times New Roman" w:hAnsi="Times New Roman"/>
                <w:sz w:val="19"/>
                <w:szCs w:val="19"/>
                <w:color w:val="231F20"/>
              </w:rPr>
              <w:t>78.1</w:t>
            </w:r>
          </w:p>
        </w:tc>
        <w:tc>
          <w:tcPr>
            <w:tcW w:w="20" w:type="dxa"/>
            <w:vAlign w:val="bottom"/>
            <w:tcBorders>
              <w:top w:val="single" w:sz="8" w:color="231F20"/>
            </w:tcBorders>
          </w:tcPr>
          <w:p>
            <w:pPr>
              <w:spacing w:after="0"/>
              <w:rPr>
                <w:sz w:val="16"/>
                <w:szCs w:val="16"/>
                <w:color w:val="auto"/>
              </w:rPr>
            </w:pPr>
          </w:p>
        </w:tc>
        <w:tc>
          <w:tcPr>
            <w:tcW w:w="180" w:type="dxa"/>
            <w:vAlign w:val="bottom"/>
            <w:tcBorders>
              <w:top w:val="single" w:sz="8" w:color="E6E7E8"/>
            </w:tcBorders>
          </w:tcPr>
          <w:p>
            <w:pPr>
              <w:spacing w:after="0"/>
              <w:rPr>
                <w:sz w:val="16"/>
                <w:szCs w:val="16"/>
                <w:color w:val="auto"/>
              </w:rPr>
            </w:pPr>
          </w:p>
        </w:tc>
        <w:tc>
          <w:tcPr>
            <w:tcW w:w="20" w:type="dxa"/>
            <w:vAlign w:val="bottom"/>
            <w:tcBorders>
              <w:top w:val="single" w:sz="8" w:color="E6E7E8"/>
            </w:tcBorders>
          </w:tcPr>
          <w:p>
            <w:pPr>
              <w:spacing w:after="0"/>
              <w:rPr>
                <w:sz w:val="16"/>
                <w:szCs w:val="16"/>
                <w:color w:val="auto"/>
              </w:rPr>
            </w:pPr>
          </w:p>
        </w:tc>
        <w:tc>
          <w:tcPr>
            <w:tcW w:w="20" w:type="dxa"/>
            <w:vAlign w:val="bottom"/>
            <w:tcBorders>
              <w:top w:val="single" w:sz="8" w:color="E6E7E8"/>
            </w:tcBorders>
          </w:tcPr>
          <w:p>
            <w:pPr>
              <w:spacing w:after="0"/>
              <w:rPr>
                <w:sz w:val="16"/>
                <w:szCs w:val="16"/>
                <w:color w:val="auto"/>
              </w:rPr>
            </w:pPr>
          </w:p>
        </w:tc>
        <w:tc>
          <w:tcPr>
            <w:tcW w:w="20" w:type="dxa"/>
            <w:vAlign w:val="bottom"/>
            <w:tcBorders>
              <w:top w:val="single" w:sz="8" w:color="E6E7E8"/>
            </w:tcBorders>
          </w:tcPr>
          <w:p>
            <w:pPr>
              <w:spacing w:after="0"/>
              <w:rPr>
                <w:sz w:val="16"/>
                <w:szCs w:val="16"/>
                <w:color w:val="auto"/>
              </w:rPr>
            </w:pPr>
          </w:p>
        </w:tc>
        <w:tc>
          <w:tcPr>
            <w:tcW w:w="160" w:type="dxa"/>
            <w:vAlign w:val="bottom"/>
            <w:tcBorders>
              <w:top w:val="single" w:sz="8" w:color="231F20"/>
            </w:tcBorders>
          </w:tcPr>
          <w:p>
            <w:pPr>
              <w:spacing w:after="0"/>
              <w:rPr>
                <w:sz w:val="16"/>
                <w:szCs w:val="16"/>
                <w:color w:val="auto"/>
              </w:rPr>
            </w:pPr>
          </w:p>
        </w:tc>
        <w:tc>
          <w:tcPr>
            <w:tcW w:w="820" w:type="dxa"/>
            <w:vAlign w:val="bottom"/>
            <w:tcBorders>
              <w:top w:val="single" w:sz="8" w:color="231F20"/>
            </w:tcBorders>
            <w:gridSpan w:val="2"/>
          </w:tcPr>
          <w:p>
            <w:pPr>
              <w:jc w:val="right"/>
              <w:ind w:right="20"/>
              <w:spacing w:after="0" w:line="193" w:lineRule="exact"/>
              <w:rPr>
                <w:sz w:val="20"/>
                <w:szCs w:val="20"/>
                <w:color w:val="auto"/>
              </w:rPr>
            </w:pPr>
            <w:r>
              <w:rPr>
                <w:rFonts w:ascii="Times New Roman" w:cs="Times New Roman" w:eastAsia="Times New Roman" w:hAnsi="Times New Roman"/>
                <w:sz w:val="19"/>
                <w:szCs w:val="19"/>
                <w:color w:val="231F20"/>
              </w:rPr>
              <w:t>114.1</w:t>
            </w:r>
          </w:p>
        </w:tc>
        <w:tc>
          <w:tcPr>
            <w:tcW w:w="20" w:type="dxa"/>
            <w:vAlign w:val="bottom"/>
            <w:tcBorders>
              <w:top w:val="single" w:sz="8" w:color="231F20"/>
            </w:tcBorders>
          </w:tcPr>
          <w:p>
            <w:pPr>
              <w:spacing w:after="0"/>
              <w:rPr>
                <w:sz w:val="16"/>
                <w:szCs w:val="16"/>
                <w:color w:val="auto"/>
              </w:rPr>
            </w:pPr>
          </w:p>
        </w:tc>
        <w:tc>
          <w:tcPr>
            <w:tcW w:w="160" w:type="dxa"/>
            <w:vAlign w:val="bottom"/>
            <w:tcBorders>
              <w:top w:val="single" w:sz="8" w:color="E6E7E8"/>
            </w:tcBorders>
          </w:tcPr>
          <w:p>
            <w:pPr>
              <w:spacing w:after="0"/>
              <w:rPr>
                <w:sz w:val="16"/>
                <w:szCs w:val="16"/>
                <w:color w:val="auto"/>
              </w:rPr>
            </w:pPr>
          </w:p>
        </w:tc>
        <w:tc>
          <w:tcPr>
            <w:tcW w:w="20" w:type="dxa"/>
            <w:vAlign w:val="bottom"/>
            <w:tcBorders>
              <w:top w:val="single" w:sz="8" w:color="E6E7E8"/>
            </w:tcBorders>
          </w:tcPr>
          <w:p>
            <w:pPr>
              <w:spacing w:after="0"/>
              <w:rPr>
                <w:sz w:val="16"/>
                <w:szCs w:val="16"/>
                <w:color w:val="auto"/>
              </w:rPr>
            </w:pPr>
          </w:p>
        </w:tc>
        <w:tc>
          <w:tcPr>
            <w:tcW w:w="20" w:type="dxa"/>
            <w:vAlign w:val="bottom"/>
            <w:tcBorders>
              <w:top w:val="single" w:sz="8" w:color="E6E7E8"/>
            </w:tcBorders>
          </w:tcPr>
          <w:p>
            <w:pPr>
              <w:spacing w:after="0"/>
              <w:rPr>
                <w:sz w:val="16"/>
                <w:szCs w:val="16"/>
                <w:color w:val="auto"/>
              </w:rPr>
            </w:pPr>
          </w:p>
        </w:tc>
        <w:tc>
          <w:tcPr>
            <w:tcW w:w="20" w:type="dxa"/>
            <w:vAlign w:val="bottom"/>
            <w:tcBorders>
              <w:top w:val="single" w:sz="8" w:color="E6E7E8"/>
            </w:tcBorders>
          </w:tcPr>
          <w:p>
            <w:pPr>
              <w:spacing w:after="0"/>
              <w:rPr>
                <w:sz w:val="16"/>
                <w:szCs w:val="16"/>
                <w:color w:val="auto"/>
              </w:rPr>
            </w:pPr>
          </w:p>
        </w:tc>
        <w:tc>
          <w:tcPr>
            <w:tcW w:w="140" w:type="dxa"/>
            <w:vAlign w:val="bottom"/>
            <w:tcBorders>
              <w:top w:val="single" w:sz="8" w:color="231F20"/>
            </w:tcBorders>
          </w:tcPr>
          <w:p>
            <w:pPr>
              <w:spacing w:after="0"/>
              <w:rPr>
                <w:sz w:val="16"/>
                <w:szCs w:val="16"/>
                <w:color w:val="auto"/>
              </w:rPr>
            </w:pPr>
          </w:p>
        </w:tc>
        <w:tc>
          <w:tcPr>
            <w:tcW w:w="860" w:type="dxa"/>
            <w:vAlign w:val="bottom"/>
            <w:tcBorders>
              <w:top w:val="single" w:sz="8" w:color="231F20"/>
            </w:tcBorders>
            <w:gridSpan w:val="3"/>
          </w:tcPr>
          <w:p>
            <w:pPr>
              <w:jc w:val="right"/>
              <w:ind w:right="40"/>
              <w:spacing w:after="0" w:line="193" w:lineRule="exact"/>
              <w:rPr>
                <w:sz w:val="20"/>
                <w:szCs w:val="20"/>
                <w:color w:val="auto"/>
              </w:rPr>
            </w:pPr>
            <w:r>
              <w:rPr>
                <w:rFonts w:ascii="Times New Roman" w:cs="Times New Roman" w:eastAsia="Times New Roman" w:hAnsi="Times New Roman"/>
                <w:sz w:val="19"/>
                <w:szCs w:val="19"/>
                <w:color w:val="231F20"/>
              </w:rPr>
              <w:t>(1.0)</w:t>
            </w:r>
          </w:p>
        </w:tc>
        <w:tc>
          <w:tcPr>
            <w:tcW w:w="160" w:type="dxa"/>
            <w:vAlign w:val="bottom"/>
            <w:tcBorders>
              <w:top w:val="single" w:sz="8" w:color="E6E7E8"/>
            </w:tcBorders>
          </w:tcPr>
          <w:p>
            <w:pPr>
              <w:spacing w:after="0"/>
              <w:rPr>
                <w:sz w:val="16"/>
                <w:szCs w:val="16"/>
                <w:color w:val="auto"/>
              </w:rPr>
            </w:pPr>
          </w:p>
        </w:tc>
        <w:tc>
          <w:tcPr>
            <w:tcW w:w="20" w:type="dxa"/>
            <w:vAlign w:val="bottom"/>
            <w:tcBorders>
              <w:top w:val="single" w:sz="8" w:color="E6E7E8"/>
            </w:tcBorders>
          </w:tcPr>
          <w:p>
            <w:pPr>
              <w:spacing w:after="0"/>
              <w:rPr>
                <w:sz w:val="16"/>
                <w:szCs w:val="16"/>
                <w:color w:val="auto"/>
              </w:rPr>
            </w:pPr>
          </w:p>
        </w:tc>
        <w:tc>
          <w:tcPr>
            <w:tcW w:w="20" w:type="dxa"/>
            <w:vAlign w:val="bottom"/>
            <w:tcBorders>
              <w:top w:val="single" w:sz="8" w:color="E6E7E8"/>
            </w:tcBorders>
          </w:tcPr>
          <w:p>
            <w:pPr>
              <w:spacing w:after="0"/>
              <w:rPr>
                <w:sz w:val="16"/>
                <w:szCs w:val="16"/>
                <w:color w:val="auto"/>
              </w:rPr>
            </w:pPr>
          </w:p>
        </w:tc>
        <w:tc>
          <w:tcPr>
            <w:tcW w:w="20" w:type="dxa"/>
            <w:vAlign w:val="bottom"/>
            <w:tcBorders>
              <w:top w:val="single" w:sz="8" w:color="E6E7E8"/>
            </w:tcBorders>
          </w:tcPr>
          <w:p>
            <w:pPr>
              <w:spacing w:after="0"/>
              <w:rPr>
                <w:sz w:val="16"/>
                <w:szCs w:val="16"/>
                <w:color w:val="auto"/>
              </w:rPr>
            </w:pPr>
          </w:p>
        </w:tc>
        <w:tc>
          <w:tcPr>
            <w:tcW w:w="160" w:type="dxa"/>
            <w:vAlign w:val="bottom"/>
            <w:tcBorders>
              <w:top w:val="single" w:sz="8" w:color="231F20"/>
            </w:tcBorders>
          </w:tcPr>
          <w:p>
            <w:pPr>
              <w:spacing w:after="0"/>
              <w:rPr>
                <w:sz w:val="16"/>
                <w:szCs w:val="16"/>
                <w:color w:val="auto"/>
              </w:rPr>
            </w:pPr>
          </w:p>
        </w:tc>
        <w:tc>
          <w:tcPr>
            <w:tcW w:w="840" w:type="dxa"/>
            <w:vAlign w:val="bottom"/>
            <w:tcBorders>
              <w:top w:val="single" w:sz="8" w:color="231F20"/>
            </w:tcBorders>
            <w:gridSpan w:val="3"/>
          </w:tcPr>
          <w:p>
            <w:pPr>
              <w:jc w:val="right"/>
              <w:ind w:right="40"/>
              <w:spacing w:after="0" w:line="193" w:lineRule="exact"/>
              <w:rPr>
                <w:sz w:val="20"/>
                <w:szCs w:val="20"/>
                <w:color w:val="auto"/>
              </w:rPr>
            </w:pPr>
            <w:r>
              <w:rPr>
                <w:rFonts w:ascii="Times New Roman" w:cs="Times New Roman" w:eastAsia="Times New Roman" w:hAnsi="Times New Roman"/>
                <w:sz w:val="19"/>
                <w:szCs w:val="19"/>
                <w:color w:val="231F20"/>
              </w:rPr>
              <w:t>191.2</w:t>
            </w:r>
          </w:p>
        </w:tc>
        <w:tc>
          <w:tcPr>
            <w:tcW w:w="40" w:type="dxa"/>
            <w:vAlign w:val="bottom"/>
            <w:tcBorders>
              <w:top w:val="single" w:sz="8" w:color="E6E7E8"/>
            </w:tcBorders>
          </w:tcPr>
          <w:p>
            <w:pPr>
              <w:spacing w:after="0"/>
              <w:rPr>
                <w:sz w:val="16"/>
                <w:szCs w:val="16"/>
                <w:color w:val="auto"/>
              </w:rPr>
            </w:pPr>
          </w:p>
        </w:tc>
      </w:tr>
      <w:tr>
        <w:trPr>
          <w:trHeight w:val="238"/>
        </w:trPr>
        <w:tc>
          <w:tcPr>
            <w:tcW w:w="2900" w:type="dxa"/>
            <w:vAlign w:val="bottom"/>
            <w:shd w:val="clear" w:color="auto" w:fill="E6E7E8"/>
          </w:tcPr>
          <w:p>
            <w:pPr>
              <w:spacing w:after="0"/>
              <w:rPr>
                <w:sz w:val="20"/>
                <w:szCs w:val="20"/>
                <w:color w:val="auto"/>
              </w:rPr>
            </w:pPr>
            <w:r>
              <w:rPr>
                <w:rFonts w:ascii="Times New Roman" w:cs="Times New Roman" w:eastAsia="Times New Roman" w:hAnsi="Times New Roman"/>
                <w:sz w:val="19"/>
                <w:szCs w:val="19"/>
                <w:color w:val="231F20"/>
              </w:rPr>
              <w:t>Depreciation and Amortization</w:t>
            </w:r>
          </w:p>
        </w:tc>
        <w:tc>
          <w:tcPr>
            <w:tcW w:w="204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120" w:type="dxa"/>
            <w:vAlign w:val="bottom"/>
            <w:shd w:val="clear" w:color="auto" w:fill="E6E7E8"/>
          </w:tcPr>
          <w:p>
            <w:pPr>
              <w:spacing w:after="0"/>
              <w:rPr>
                <w:sz w:val="20"/>
                <w:szCs w:val="20"/>
                <w:color w:val="auto"/>
              </w:rPr>
            </w:pPr>
          </w:p>
        </w:tc>
        <w:tc>
          <w:tcPr>
            <w:tcW w:w="1060" w:type="dxa"/>
            <w:vAlign w:val="bottom"/>
            <w:gridSpan w:val="4"/>
            <w:shd w:val="clear" w:color="auto" w:fill="E6E7E8"/>
          </w:tcPr>
          <w:p>
            <w:pPr>
              <w:jc w:val="right"/>
              <w:ind w:right="220"/>
              <w:spacing w:after="0"/>
              <w:rPr>
                <w:sz w:val="20"/>
                <w:szCs w:val="20"/>
                <w:color w:val="auto"/>
              </w:rPr>
            </w:pPr>
            <w:r>
              <w:rPr>
                <w:rFonts w:ascii="Times New Roman" w:cs="Times New Roman" w:eastAsia="Times New Roman" w:hAnsi="Times New Roman"/>
                <w:sz w:val="19"/>
                <w:szCs w:val="19"/>
                <w:color w:val="231F20"/>
              </w:rPr>
              <w:t>26.0</w:t>
            </w:r>
          </w:p>
        </w:tc>
        <w:tc>
          <w:tcPr>
            <w:tcW w:w="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160" w:type="dxa"/>
            <w:vAlign w:val="bottom"/>
            <w:shd w:val="clear" w:color="auto" w:fill="E6E7E8"/>
          </w:tcPr>
          <w:p>
            <w:pPr>
              <w:spacing w:after="0"/>
              <w:rPr>
                <w:sz w:val="20"/>
                <w:szCs w:val="20"/>
                <w:color w:val="auto"/>
              </w:rPr>
            </w:pPr>
          </w:p>
        </w:tc>
        <w:tc>
          <w:tcPr>
            <w:tcW w:w="1000" w:type="dxa"/>
            <w:vAlign w:val="bottom"/>
            <w:gridSpan w:val="4"/>
            <w:shd w:val="clear" w:color="auto" w:fill="E6E7E8"/>
          </w:tcPr>
          <w:p>
            <w:pPr>
              <w:jc w:val="right"/>
              <w:ind w:right="200"/>
              <w:spacing w:after="0"/>
              <w:rPr>
                <w:sz w:val="20"/>
                <w:szCs w:val="20"/>
                <w:color w:val="auto"/>
              </w:rPr>
            </w:pPr>
            <w:r>
              <w:rPr>
                <w:rFonts w:ascii="Times New Roman" w:cs="Times New Roman" w:eastAsia="Times New Roman" w:hAnsi="Times New Roman"/>
                <w:sz w:val="19"/>
                <w:szCs w:val="19"/>
                <w:color w:val="231F20"/>
              </w:rPr>
              <w:t>40.4</w:t>
            </w:r>
          </w:p>
        </w:tc>
        <w:tc>
          <w:tcPr>
            <w:tcW w:w="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140" w:type="dxa"/>
            <w:vAlign w:val="bottom"/>
            <w:shd w:val="clear" w:color="auto" w:fill="E6E7E8"/>
          </w:tcPr>
          <w:p>
            <w:pPr>
              <w:spacing w:after="0"/>
              <w:rPr>
                <w:sz w:val="20"/>
                <w:szCs w:val="20"/>
                <w:color w:val="auto"/>
              </w:rPr>
            </w:pPr>
          </w:p>
        </w:tc>
        <w:tc>
          <w:tcPr>
            <w:tcW w:w="1020" w:type="dxa"/>
            <w:vAlign w:val="bottom"/>
            <w:gridSpan w:val="4"/>
            <w:shd w:val="clear" w:color="auto" w:fill="E6E7E8"/>
          </w:tcPr>
          <w:p>
            <w:pPr>
              <w:jc w:val="right"/>
              <w:ind w:right="200"/>
              <w:spacing w:after="0"/>
              <w:rPr>
                <w:sz w:val="20"/>
                <w:szCs w:val="20"/>
                <w:color w:val="auto"/>
              </w:rPr>
            </w:pPr>
            <w:r>
              <w:rPr>
                <w:rFonts w:ascii="Times New Roman" w:cs="Times New Roman" w:eastAsia="Times New Roman" w:hAnsi="Times New Roman"/>
                <w:sz w:val="19"/>
                <w:szCs w:val="19"/>
                <w:color w:val="231F20"/>
              </w:rPr>
              <w:t>1.0</w:t>
            </w:r>
          </w:p>
        </w:tc>
        <w:tc>
          <w:tcPr>
            <w:tcW w:w="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160" w:type="dxa"/>
            <w:vAlign w:val="bottom"/>
            <w:shd w:val="clear" w:color="auto" w:fill="E6E7E8"/>
          </w:tcPr>
          <w:p>
            <w:pPr>
              <w:spacing w:after="0"/>
              <w:rPr>
                <w:sz w:val="20"/>
                <w:szCs w:val="20"/>
                <w:color w:val="auto"/>
              </w:rPr>
            </w:pPr>
          </w:p>
        </w:tc>
        <w:tc>
          <w:tcPr>
            <w:tcW w:w="880" w:type="dxa"/>
            <w:vAlign w:val="bottom"/>
            <w:gridSpan w:val="4"/>
            <w:shd w:val="clear" w:color="auto" w:fill="E6E7E8"/>
          </w:tcPr>
          <w:p>
            <w:pPr>
              <w:jc w:val="right"/>
              <w:ind w:right="80"/>
              <w:spacing w:after="0"/>
              <w:rPr>
                <w:sz w:val="20"/>
                <w:szCs w:val="20"/>
                <w:color w:val="auto"/>
              </w:rPr>
            </w:pPr>
            <w:r>
              <w:rPr>
                <w:rFonts w:ascii="Times New Roman" w:cs="Times New Roman" w:eastAsia="Times New Roman" w:hAnsi="Times New Roman"/>
                <w:sz w:val="19"/>
                <w:szCs w:val="19"/>
                <w:color w:val="231F20"/>
              </w:rPr>
              <w:t>67.4</w:t>
            </w:r>
          </w:p>
        </w:tc>
      </w:tr>
      <w:tr>
        <w:trPr>
          <w:trHeight w:val="193"/>
        </w:trPr>
        <w:tc>
          <w:tcPr>
            <w:tcW w:w="2900" w:type="dxa"/>
            <w:vAlign w:val="bottom"/>
            <w:tcBorders>
              <w:top w:val="single" w:sz="8" w:color="E6E7E8"/>
            </w:tcBorders>
          </w:tcPr>
          <w:p>
            <w:pPr>
              <w:ind w:left="200"/>
              <w:spacing w:after="0" w:line="193" w:lineRule="exact"/>
              <w:rPr>
                <w:sz w:val="20"/>
                <w:szCs w:val="20"/>
                <w:color w:val="auto"/>
              </w:rPr>
            </w:pPr>
            <w:r>
              <w:rPr>
                <w:rFonts w:ascii="Times New Roman" w:cs="Times New Roman" w:eastAsia="Times New Roman" w:hAnsi="Times New Roman"/>
                <w:sz w:val="19"/>
                <w:szCs w:val="19"/>
                <w:color w:val="231F20"/>
              </w:rPr>
              <w:t>Adjusted Gross Margin</w:t>
            </w:r>
          </w:p>
        </w:tc>
        <w:tc>
          <w:tcPr>
            <w:tcW w:w="2040" w:type="dxa"/>
            <w:vAlign w:val="bottom"/>
            <w:tcBorders>
              <w:top w:val="single" w:sz="8" w:color="E6E7E8"/>
            </w:tcBorders>
          </w:tcPr>
          <w:p>
            <w:pPr>
              <w:spacing w:after="0"/>
              <w:rPr>
                <w:sz w:val="16"/>
                <w:szCs w:val="16"/>
                <w:color w:val="auto"/>
              </w:rPr>
            </w:pPr>
          </w:p>
        </w:tc>
        <w:tc>
          <w:tcPr>
            <w:tcW w:w="40" w:type="dxa"/>
            <w:vAlign w:val="bottom"/>
            <w:tcBorders>
              <w:top w:val="single" w:sz="8" w:color="E6E7E8"/>
            </w:tcBorders>
            <w:gridSpan w:val="2"/>
          </w:tcPr>
          <w:p>
            <w:pPr>
              <w:spacing w:after="0"/>
              <w:rPr>
                <w:sz w:val="16"/>
                <w:szCs w:val="16"/>
                <w:color w:val="auto"/>
              </w:rPr>
            </w:pPr>
          </w:p>
        </w:tc>
        <w:tc>
          <w:tcPr>
            <w:tcW w:w="20" w:type="dxa"/>
            <w:vAlign w:val="bottom"/>
            <w:tcBorders>
              <w:top w:val="single" w:sz="8" w:color="E6E7E8"/>
            </w:tcBorders>
          </w:tcPr>
          <w:p>
            <w:pPr>
              <w:spacing w:after="0"/>
              <w:rPr>
                <w:sz w:val="16"/>
                <w:szCs w:val="16"/>
                <w:color w:val="auto"/>
              </w:rPr>
            </w:pPr>
          </w:p>
        </w:tc>
        <w:tc>
          <w:tcPr>
            <w:tcW w:w="120" w:type="dxa"/>
            <w:vAlign w:val="bottom"/>
            <w:tcBorders>
              <w:top w:val="single" w:sz="8" w:color="231F20"/>
              <w:bottom w:val="single" w:sz="8" w:color="231F20"/>
            </w:tcBorders>
          </w:tcPr>
          <w:p>
            <w:pPr>
              <w:jc w:val="right"/>
              <w:ind w:right="54"/>
              <w:spacing w:after="0"/>
              <w:rPr>
                <w:sz w:val="20"/>
                <w:szCs w:val="20"/>
                <w:color w:val="auto"/>
              </w:rPr>
            </w:pPr>
            <w:r>
              <w:rPr>
                <w:rFonts w:ascii="Times New Roman" w:cs="Times New Roman" w:eastAsia="Times New Roman" w:hAnsi="Times New Roman"/>
                <w:sz w:val="5"/>
                <w:szCs w:val="5"/>
                <w:color w:val="231F20"/>
                <w:w w:val="78"/>
              </w:rPr>
              <w:t>$</w:t>
            </w:r>
          </w:p>
        </w:tc>
        <w:tc>
          <w:tcPr>
            <w:tcW w:w="860" w:type="dxa"/>
            <w:vAlign w:val="bottom"/>
            <w:tcBorders>
              <w:top w:val="single" w:sz="8" w:color="231F20"/>
              <w:bottom w:val="single" w:sz="8" w:color="231F20"/>
            </w:tcBorders>
            <w:gridSpan w:val="2"/>
          </w:tcPr>
          <w:p>
            <w:pPr>
              <w:jc w:val="right"/>
              <w:ind w:right="20"/>
              <w:spacing w:after="0" w:line="193" w:lineRule="exact"/>
              <w:rPr>
                <w:sz w:val="20"/>
                <w:szCs w:val="20"/>
                <w:color w:val="auto"/>
              </w:rPr>
            </w:pPr>
            <w:r>
              <w:rPr>
                <w:rFonts w:ascii="Times New Roman" w:cs="Times New Roman" w:eastAsia="Times New Roman" w:hAnsi="Times New Roman"/>
                <w:sz w:val="19"/>
                <w:szCs w:val="19"/>
                <w:color w:val="231F20"/>
              </w:rPr>
              <w:t>104.1</w:t>
            </w:r>
          </w:p>
        </w:tc>
        <w:tc>
          <w:tcPr>
            <w:tcW w:w="20" w:type="dxa"/>
            <w:vAlign w:val="bottom"/>
            <w:tcBorders>
              <w:top w:val="single" w:sz="8" w:color="231F20"/>
              <w:bottom w:val="single" w:sz="8" w:color="231F20"/>
            </w:tcBorders>
          </w:tcPr>
          <w:p>
            <w:pPr>
              <w:spacing w:after="0"/>
              <w:rPr>
                <w:sz w:val="16"/>
                <w:szCs w:val="16"/>
                <w:color w:val="auto"/>
              </w:rPr>
            </w:pPr>
          </w:p>
        </w:tc>
        <w:tc>
          <w:tcPr>
            <w:tcW w:w="180" w:type="dxa"/>
            <w:vAlign w:val="bottom"/>
            <w:tcBorders>
              <w:top w:val="single" w:sz="8" w:color="E6E7E8"/>
            </w:tcBorders>
          </w:tcPr>
          <w:p>
            <w:pPr>
              <w:spacing w:after="0"/>
              <w:rPr>
                <w:sz w:val="16"/>
                <w:szCs w:val="16"/>
                <w:color w:val="auto"/>
              </w:rPr>
            </w:pPr>
          </w:p>
        </w:tc>
        <w:tc>
          <w:tcPr>
            <w:tcW w:w="20" w:type="dxa"/>
            <w:vAlign w:val="bottom"/>
            <w:tcBorders>
              <w:top w:val="single" w:sz="8" w:color="E6E7E8"/>
            </w:tcBorders>
          </w:tcPr>
          <w:p>
            <w:pPr>
              <w:spacing w:after="0"/>
              <w:rPr>
                <w:sz w:val="16"/>
                <w:szCs w:val="16"/>
                <w:color w:val="auto"/>
              </w:rPr>
            </w:pPr>
          </w:p>
        </w:tc>
        <w:tc>
          <w:tcPr>
            <w:tcW w:w="20" w:type="dxa"/>
            <w:vAlign w:val="bottom"/>
            <w:tcBorders>
              <w:top w:val="single" w:sz="8" w:color="E6E7E8"/>
            </w:tcBorders>
          </w:tcPr>
          <w:p>
            <w:pPr>
              <w:spacing w:after="0"/>
              <w:rPr>
                <w:sz w:val="16"/>
                <w:szCs w:val="16"/>
                <w:color w:val="auto"/>
              </w:rPr>
            </w:pPr>
          </w:p>
        </w:tc>
        <w:tc>
          <w:tcPr>
            <w:tcW w:w="20" w:type="dxa"/>
            <w:vAlign w:val="bottom"/>
            <w:tcBorders>
              <w:top w:val="single" w:sz="8" w:color="E6E7E8"/>
            </w:tcBorders>
          </w:tcPr>
          <w:p>
            <w:pPr>
              <w:spacing w:after="0"/>
              <w:rPr>
                <w:sz w:val="16"/>
                <w:szCs w:val="16"/>
                <w:color w:val="auto"/>
              </w:rPr>
            </w:pPr>
          </w:p>
        </w:tc>
        <w:tc>
          <w:tcPr>
            <w:tcW w:w="160" w:type="dxa"/>
            <w:vAlign w:val="bottom"/>
            <w:tcBorders>
              <w:top w:val="single" w:sz="8" w:color="231F20"/>
              <w:bottom w:val="single" w:sz="8" w:color="231F20"/>
            </w:tcBorders>
          </w:tcPr>
          <w:p>
            <w:pPr>
              <w:jc w:val="right"/>
              <w:ind w:right="135"/>
              <w:spacing w:after="0"/>
              <w:rPr>
                <w:sz w:val="20"/>
                <w:szCs w:val="20"/>
                <w:color w:val="auto"/>
              </w:rPr>
            </w:pPr>
            <w:r>
              <w:rPr>
                <w:rFonts w:ascii="Times New Roman" w:cs="Times New Roman" w:eastAsia="Times New Roman" w:hAnsi="Times New Roman"/>
                <w:sz w:val="1"/>
                <w:szCs w:val="1"/>
                <w:color w:val="231F20"/>
                <w:w w:val="4294967286"/>
              </w:rPr>
              <w:t>$</w:t>
            </w:r>
          </w:p>
        </w:tc>
        <w:tc>
          <w:tcPr>
            <w:tcW w:w="820" w:type="dxa"/>
            <w:vAlign w:val="bottom"/>
            <w:tcBorders>
              <w:top w:val="single" w:sz="8" w:color="231F20"/>
              <w:bottom w:val="single" w:sz="8" w:color="231F20"/>
            </w:tcBorders>
            <w:gridSpan w:val="2"/>
          </w:tcPr>
          <w:p>
            <w:pPr>
              <w:jc w:val="right"/>
              <w:ind w:right="20"/>
              <w:spacing w:after="0" w:line="193" w:lineRule="exact"/>
              <w:rPr>
                <w:sz w:val="20"/>
                <w:szCs w:val="20"/>
                <w:color w:val="auto"/>
              </w:rPr>
            </w:pPr>
            <w:r>
              <w:rPr>
                <w:rFonts w:ascii="Times New Roman" w:cs="Times New Roman" w:eastAsia="Times New Roman" w:hAnsi="Times New Roman"/>
                <w:sz w:val="19"/>
                <w:szCs w:val="19"/>
                <w:color w:val="231F20"/>
              </w:rPr>
              <w:t>154.5</w:t>
            </w:r>
          </w:p>
        </w:tc>
        <w:tc>
          <w:tcPr>
            <w:tcW w:w="20" w:type="dxa"/>
            <w:vAlign w:val="bottom"/>
            <w:tcBorders>
              <w:top w:val="single" w:sz="8" w:color="231F20"/>
              <w:bottom w:val="single" w:sz="8" w:color="231F20"/>
            </w:tcBorders>
          </w:tcPr>
          <w:p>
            <w:pPr>
              <w:spacing w:after="0"/>
              <w:rPr>
                <w:sz w:val="16"/>
                <w:szCs w:val="16"/>
                <w:color w:val="auto"/>
              </w:rPr>
            </w:pPr>
          </w:p>
        </w:tc>
        <w:tc>
          <w:tcPr>
            <w:tcW w:w="160" w:type="dxa"/>
            <w:vAlign w:val="bottom"/>
            <w:tcBorders>
              <w:top w:val="single" w:sz="8" w:color="E6E7E8"/>
            </w:tcBorders>
          </w:tcPr>
          <w:p>
            <w:pPr>
              <w:spacing w:after="0"/>
              <w:rPr>
                <w:sz w:val="16"/>
                <w:szCs w:val="16"/>
                <w:color w:val="auto"/>
              </w:rPr>
            </w:pPr>
          </w:p>
        </w:tc>
        <w:tc>
          <w:tcPr>
            <w:tcW w:w="20" w:type="dxa"/>
            <w:vAlign w:val="bottom"/>
            <w:tcBorders>
              <w:top w:val="single" w:sz="8" w:color="E6E7E8"/>
            </w:tcBorders>
          </w:tcPr>
          <w:p>
            <w:pPr>
              <w:spacing w:after="0"/>
              <w:rPr>
                <w:sz w:val="16"/>
                <w:szCs w:val="16"/>
                <w:color w:val="auto"/>
              </w:rPr>
            </w:pPr>
          </w:p>
        </w:tc>
        <w:tc>
          <w:tcPr>
            <w:tcW w:w="20" w:type="dxa"/>
            <w:vAlign w:val="bottom"/>
            <w:tcBorders>
              <w:top w:val="single" w:sz="8" w:color="E6E7E8"/>
            </w:tcBorders>
          </w:tcPr>
          <w:p>
            <w:pPr>
              <w:spacing w:after="0"/>
              <w:rPr>
                <w:sz w:val="16"/>
                <w:szCs w:val="16"/>
                <w:color w:val="auto"/>
              </w:rPr>
            </w:pPr>
          </w:p>
        </w:tc>
        <w:tc>
          <w:tcPr>
            <w:tcW w:w="20" w:type="dxa"/>
            <w:vAlign w:val="bottom"/>
            <w:tcBorders>
              <w:top w:val="single" w:sz="8" w:color="E6E7E8"/>
            </w:tcBorders>
          </w:tcPr>
          <w:p>
            <w:pPr>
              <w:spacing w:after="0"/>
              <w:rPr>
                <w:sz w:val="16"/>
                <w:szCs w:val="16"/>
                <w:color w:val="auto"/>
              </w:rPr>
            </w:pPr>
          </w:p>
        </w:tc>
        <w:tc>
          <w:tcPr>
            <w:tcW w:w="140" w:type="dxa"/>
            <w:vAlign w:val="bottom"/>
            <w:tcBorders>
              <w:top w:val="single" w:sz="8" w:color="231F20"/>
              <w:bottom w:val="single" w:sz="8" w:color="231F20"/>
            </w:tcBorders>
          </w:tcPr>
          <w:p>
            <w:pPr>
              <w:jc w:val="right"/>
              <w:ind w:right="104"/>
              <w:spacing w:after="0"/>
              <w:rPr>
                <w:sz w:val="20"/>
                <w:szCs w:val="20"/>
                <w:color w:val="auto"/>
              </w:rPr>
            </w:pPr>
            <w:r>
              <w:rPr>
                <w:rFonts w:ascii="Times New Roman" w:cs="Times New Roman" w:eastAsia="Times New Roman" w:hAnsi="Times New Roman"/>
                <w:sz w:val="1"/>
                <w:szCs w:val="1"/>
                <w:color w:val="231F20"/>
                <w:w w:val="4294967286"/>
              </w:rPr>
              <w:t>$</w:t>
            </w:r>
          </w:p>
        </w:tc>
        <w:tc>
          <w:tcPr>
            <w:tcW w:w="860" w:type="dxa"/>
            <w:vAlign w:val="bottom"/>
            <w:tcBorders>
              <w:top w:val="single" w:sz="8" w:color="231F20"/>
              <w:bottom w:val="single" w:sz="8" w:color="231F20"/>
            </w:tcBorders>
            <w:gridSpan w:val="3"/>
          </w:tcPr>
          <w:p>
            <w:pPr>
              <w:jc w:val="right"/>
              <w:ind w:right="40"/>
              <w:spacing w:after="0" w:line="193" w:lineRule="exact"/>
              <w:rPr>
                <w:sz w:val="20"/>
                <w:szCs w:val="20"/>
                <w:color w:val="auto"/>
              </w:rPr>
            </w:pPr>
            <w:r>
              <w:rPr>
                <w:rFonts w:ascii="Times New Roman" w:cs="Times New Roman" w:eastAsia="Times New Roman" w:hAnsi="Times New Roman"/>
                <w:sz w:val="19"/>
                <w:szCs w:val="19"/>
                <w:color w:val="231F20"/>
              </w:rPr>
              <w:t>—</w:t>
            </w:r>
          </w:p>
        </w:tc>
        <w:tc>
          <w:tcPr>
            <w:tcW w:w="160" w:type="dxa"/>
            <w:vAlign w:val="bottom"/>
            <w:tcBorders>
              <w:top w:val="single" w:sz="8" w:color="E6E7E8"/>
            </w:tcBorders>
          </w:tcPr>
          <w:p>
            <w:pPr>
              <w:spacing w:after="0"/>
              <w:rPr>
                <w:sz w:val="16"/>
                <w:szCs w:val="16"/>
                <w:color w:val="auto"/>
              </w:rPr>
            </w:pPr>
          </w:p>
        </w:tc>
        <w:tc>
          <w:tcPr>
            <w:tcW w:w="40" w:type="dxa"/>
            <w:vAlign w:val="bottom"/>
            <w:tcBorders>
              <w:top w:val="single" w:sz="8" w:color="E6E7E8"/>
            </w:tcBorders>
            <w:gridSpan w:val="2"/>
          </w:tcPr>
          <w:p>
            <w:pPr>
              <w:spacing w:after="0"/>
              <w:rPr>
                <w:sz w:val="16"/>
                <w:szCs w:val="16"/>
                <w:color w:val="auto"/>
              </w:rPr>
            </w:pPr>
          </w:p>
        </w:tc>
        <w:tc>
          <w:tcPr>
            <w:tcW w:w="20" w:type="dxa"/>
            <w:vAlign w:val="bottom"/>
            <w:tcBorders>
              <w:top w:val="single" w:sz="8" w:color="E6E7E8"/>
            </w:tcBorders>
          </w:tcPr>
          <w:p>
            <w:pPr>
              <w:spacing w:after="0"/>
              <w:rPr>
                <w:sz w:val="16"/>
                <w:szCs w:val="16"/>
                <w:color w:val="auto"/>
              </w:rPr>
            </w:pPr>
          </w:p>
        </w:tc>
        <w:tc>
          <w:tcPr>
            <w:tcW w:w="160" w:type="dxa"/>
            <w:vAlign w:val="bottom"/>
            <w:tcBorders>
              <w:top w:val="single" w:sz="8" w:color="231F20"/>
              <w:bottom w:val="single" w:sz="8" w:color="231F20"/>
            </w:tcBorders>
          </w:tcPr>
          <w:p>
            <w:pPr>
              <w:jc w:val="right"/>
              <w:ind w:right="94"/>
              <w:spacing w:after="0"/>
              <w:rPr>
                <w:sz w:val="20"/>
                <w:szCs w:val="20"/>
                <w:color w:val="auto"/>
              </w:rPr>
            </w:pPr>
            <w:r>
              <w:rPr>
                <w:rFonts w:ascii="Times New Roman" w:cs="Times New Roman" w:eastAsia="Times New Roman" w:hAnsi="Times New Roman"/>
                <w:sz w:val="5"/>
                <w:szCs w:val="5"/>
                <w:color w:val="231F20"/>
                <w:w w:val="78"/>
              </w:rPr>
              <w:t>$</w:t>
            </w:r>
          </w:p>
        </w:tc>
        <w:tc>
          <w:tcPr>
            <w:tcW w:w="840" w:type="dxa"/>
            <w:vAlign w:val="bottom"/>
            <w:tcBorders>
              <w:top w:val="single" w:sz="8" w:color="231F20"/>
              <w:bottom w:val="single" w:sz="8" w:color="231F20"/>
            </w:tcBorders>
            <w:gridSpan w:val="3"/>
          </w:tcPr>
          <w:p>
            <w:pPr>
              <w:jc w:val="right"/>
              <w:ind w:right="40"/>
              <w:spacing w:after="0" w:line="193" w:lineRule="exact"/>
              <w:rPr>
                <w:sz w:val="20"/>
                <w:szCs w:val="20"/>
                <w:color w:val="auto"/>
              </w:rPr>
            </w:pPr>
            <w:r>
              <w:rPr>
                <w:rFonts w:ascii="Times New Roman" w:cs="Times New Roman" w:eastAsia="Times New Roman" w:hAnsi="Times New Roman"/>
                <w:sz w:val="19"/>
                <w:szCs w:val="19"/>
                <w:color w:val="231F20"/>
              </w:rPr>
              <w:t>258.6</w:t>
            </w:r>
          </w:p>
        </w:tc>
        <w:tc>
          <w:tcPr>
            <w:tcW w:w="40" w:type="dxa"/>
            <w:vAlign w:val="bottom"/>
            <w:tcBorders>
              <w:top w:val="single" w:sz="8" w:color="E6E7E8"/>
            </w:tcBorders>
          </w:tcPr>
          <w:p>
            <w:pPr>
              <w:spacing w:after="0"/>
              <w:rPr>
                <w:sz w:val="16"/>
                <w:szCs w:val="16"/>
                <w:color w:val="auto"/>
              </w:rPr>
            </w:pPr>
          </w:p>
        </w:tc>
      </w:tr>
      <w:tr>
        <w:trPr>
          <w:trHeight w:val="20"/>
        </w:trPr>
        <w:tc>
          <w:tcPr>
            <w:tcW w:w="29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-3645535</wp:posOffset>
            </wp:positionV>
            <wp:extent cx="6158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8">
                      <a:extLst>
                        <a:ext uri="{28A0092B-C50C-407E-A947-70E740481C1C}"/>
                      </a:extLst>
                    </a:blip>
                    <a:srcRect/>
                    <a:stretch>
                      <a:fillRect/>
                    </a:stretch>
                  </pic:blipFill>
                  <pic:spPr bwMode="auto">
                    <a:xfrm>
                      <a:off x="0" y="0"/>
                      <a:ext cx="6158865" cy="38100"/>
                    </a:xfrm>
                    <a:prstGeom prst="rect">
                      <a:avLst/>
                    </a:prstGeom>
                    <a:noFill/>
                  </pic:spPr>
                </pic:pic>
              </a:graphicData>
            </a:graphic>
          </wp:anchor>
        </w:drawing>
        <w:drawing>
          <wp:anchor simplePos="0" relativeHeight="251657728" behindDoc="1" locked="0" layoutInCell="0" allowOverlap="1">
            <wp:simplePos x="0" y="0"/>
            <wp:positionH relativeFrom="column">
              <wp:posOffset>323850</wp:posOffset>
            </wp:positionH>
            <wp:positionV relativeFrom="paragraph">
              <wp:posOffset>-2337435</wp:posOffset>
            </wp:positionV>
            <wp:extent cx="6158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9">
                      <a:extLst>
                        <a:ext uri="{28A0092B-C50C-407E-A947-70E740481C1C}"/>
                      </a:extLst>
                    </a:blip>
                    <a:srcRect/>
                    <a:stretch>
                      <a:fillRect/>
                    </a:stretch>
                  </pic:blipFill>
                  <pic:spPr bwMode="auto">
                    <a:xfrm>
                      <a:off x="0" y="0"/>
                      <a:ext cx="6158865" cy="38100"/>
                    </a:xfrm>
                    <a:prstGeom prst="rect">
                      <a:avLst/>
                    </a:prstGeom>
                    <a:noFill/>
                  </pic:spPr>
                </pic:pic>
              </a:graphicData>
            </a:graphic>
          </wp:anchor>
        </w:drawing>
        <w:drawing>
          <wp:anchor simplePos="0" relativeHeight="251657728" behindDoc="1" locked="0" layoutInCell="0" allowOverlap="1">
            <wp:simplePos x="0" y="0"/>
            <wp:positionH relativeFrom="column">
              <wp:posOffset>323850</wp:posOffset>
            </wp:positionH>
            <wp:positionV relativeFrom="paragraph">
              <wp:posOffset>-1029970</wp:posOffset>
            </wp:positionV>
            <wp:extent cx="6158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0">
                      <a:extLst>
                        <a:ext uri="{28A0092B-C50C-407E-A947-70E740481C1C}"/>
                      </a:extLst>
                    </a:blip>
                    <a:srcRect/>
                    <a:stretch>
                      <a:fillRect/>
                    </a:stretch>
                  </pic:blipFill>
                  <pic:spPr bwMode="auto">
                    <a:xfrm>
                      <a:off x="0" y="0"/>
                      <a:ext cx="6158865" cy="38100"/>
                    </a:xfrm>
                    <a:prstGeom prst="rect">
                      <a:avLst/>
                    </a:prstGeom>
                    <a:noFill/>
                  </pic:spPr>
                </pic:pic>
              </a:graphicData>
            </a:graphic>
          </wp:anchor>
        </w:drawing>
      </w:r>
    </w:p>
    <w:p>
      <w:pPr>
        <w:spacing w:after="0" w:line="235" w:lineRule="exact"/>
        <w:rPr>
          <w:sz w:val="20"/>
          <w:szCs w:val="20"/>
          <w:color w:val="auto"/>
        </w:rPr>
      </w:pPr>
    </w:p>
    <w:p>
      <w:pPr>
        <w:ind w:right="360" w:firstLine="612"/>
        <w:spacing w:after="0" w:line="259" w:lineRule="auto"/>
        <w:rPr>
          <w:sz w:val="20"/>
          <w:szCs w:val="20"/>
          <w:color w:val="auto"/>
        </w:rPr>
      </w:pPr>
      <w:r>
        <w:rPr>
          <w:rFonts w:ascii="Times New Roman" w:cs="Times New Roman" w:eastAsia="Times New Roman" w:hAnsi="Times New Roman"/>
          <w:sz w:val="21"/>
          <w:szCs w:val="21"/>
          <w:color w:val="231F20"/>
        </w:rPr>
        <w:t>Electric GAAP Gross Margin was $82.7 million in 2025, an increase of $4.7 million compared to 2024. The increase was driven by higher rates and customer growth of $7.3 million, partially offset by higher depreciation and amortization expense of $2.6 million.</w:t>
      </w:r>
    </w:p>
    <w:p>
      <w:pPr>
        <w:spacing w:after="0" w:line="219" w:lineRule="exact"/>
        <w:rPr>
          <w:sz w:val="20"/>
          <w:szCs w:val="20"/>
          <w:color w:val="auto"/>
        </w:rPr>
      </w:pPr>
    </w:p>
    <w:p>
      <w:pPr>
        <w:ind w:firstLine="612"/>
        <w:spacing w:after="0" w:line="259" w:lineRule="auto"/>
        <w:rPr>
          <w:sz w:val="20"/>
          <w:szCs w:val="20"/>
          <w:color w:val="auto"/>
        </w:rPr>
      </w:pPr>
      <w:r>
        <w:rPr>
          <w:rFonts w:ascii="Times New Roman" w:cs="Times New Roman" w:eastAsia="Times New Roman" w:hAnsi="Times New Roman"/>
          <w:sz w:val="21"/>
          <w:szCs w:val="21"/>
          <w:color w:val="231F20"/>
        </w:rPr>
        <w:t>Electric GAAP Gross Margin was $78.0 million in 2024, a decrease of $ 0.1 million compared to 2023. The decrease was driven by higher depreciation and amortization expense of $3.3 million, largely offset by higher rates and customer growth of $3.2 million.</w:t>
      </w:r>
    </w:p>
    <w:p>
      <w:pPr>
        <w:spacing w:after="0" w:line="183" w:lineRule="exact"/>
        <w:rPr>
          <w:sz w:val="20"/>
          <w:szCs w:val="20"/>
          <w:color w:val="auto"/>
        </w:rPr>
      </w:pPr>
    </w:p>
    <w:p>
      <w:pPr>
        <w:ind w:right="100" w:firstLine="612"/>
        <w:spacing w:after="0" w:line="253" w:lineRule="auto"/>
        <w:rPr>
          <w:sz w:val="20"/>
          <w:szCs w:val="20"/>
          <w:color w:val="auto"/>
        </w:rPr>
      </w:pPr>
      <w:r>
        <w:rPr>
          <w:rFonts w:ascii="Times New Roman" w:cs="Times New Roman" w:eastAsia="Times New Roman" w:hAnsi="Times New Roman"/>
          <w:sz w:val="21"/>
          <w:szCs w:val="21"/>
          <w:color w:val="231F20"/>
        </w:rPr>
        <w:t>Gas GAAP Gross Margin was $142.3 million in 2025, an increase of $22.2 million compared to 2024. The increase was driven primarily by higher rates and customer growth of $ 32.2 million, partially offset by higher depreciation and amortization of $10.0 million. The increases attributable to Bangor and Maine Natural for gas operating revenue, cost of gas sales and depreciation and amortization for 2025 were $36.2 million, $19.6 million and $3.3 million, respectively.</w:t>
      </w:r>
    </w:p>
    <w:p>
      <w:pPr>
        <w:spacing w:after="0" w:line="188" w:lineRule="exact"/>
        <w:rPr>
          <w:sz w:val="20"/>
          <w:szCs w:val="20"/>
          <w:color w:val="auto"/>
        </w:rPr>
      </w:pPr>
    </w:p>
    <w:p>
      <w:pPr>
        <w:ind w:right="40" w:firstLine="612"/>
        <w:spacing w:after="0" w:line="259" w:lineRule="auto"/>
        <w:rPr>
          <w:sz w:val="20"/>
          <w:szCs w:val="20"/>
          <w:color w:val="auto"/>
        </w:rPr>
      </w:pPr>
      <w:r>
        <w:rPr>
          <w:rFonts w:ascii="Times New Roman" w:cs="Times New Roman" w:eastAsia="Times New Roman" w:hAnsi="Times New Roman"/>
          <w:sz w:val="21"/>
          <w:szCs w:val="21"/>
          <w:color w:val="231F20"/>
        </w:rPr>
        <w:t>Gas GAAP Gross Margin was $120.1 million in 2024, an increase of $6.0 million compared to 2023. The increase was driven primarily by higher rates, and customer growth, of $12.4 million, partially offset by higher depreciation and amortization of $6.4 million.</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Net Income and EPS Overview</w:t>
      </w:r>
    </w:p>
    <w:p>
      <w:pPr>
        <w:spacing w:after="0" w:line="142"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21"/>
          <w:szCs w:val="21"/>
          <w:b w:val="1"/>
          <w:bCs w:val="1"/>
          <w:i w:val="1"/>
          <w:iCs w:val="1"/>
          <w:color w:val="231F20"/>
        </w:rPr>
        <w:t>2025 Compared to 2024—</w:t>
      </w:r>
      <w:r>
        <w:rPr>
          <w:rFonts w:ascii="Times New Roman" w:cs="Times New Roman" w:eastAsia="Times New Roman" w:hAnsi="Times New Roman"/>
          <w:sz w:val="21"/>
          <w:szCs w:val="21"/>
          <w:color w:val="231F20"/>
        </w:rPr>
        <w:t>The Company’s GAAP Net Income was $50.2 million, or $2.97 in Earnings Per Share (EPS),</w:t>
      </w:r>
      <w:r>
        <w:rPr>
          <w:rFonts w:ascii="Times New Roman" w:cs="Times New Roman" w:eastAsia="Times New Roman" w:hAnsi="Times New Roman"/>
          <w:sz w:val="21"/>
          <w:szCs w:val="21"/>
          <w:b w:val="1"/>
          <w:bCs w:val="1"/>
          <w:i w:val="1"/>
          <w:iCs w:val="1"/>
          <w:color w:val="231F20"/>
        </w:rPr>
        <w:t xml:space="preserve"> </w:t>
      </w:r>
      <w:r>
        <w:rPr>
          <w:rFonts w:ascii="Times New Roman" w:cs="Times New Roman" w:eastAsia="Times New Roman" w:hAnsi="Times New Roman"/>
          <w:sz w:val="21"/>
          <w:szCs w:val="21"/>
          <w:color w:val="231F20"/>
        </w:rPr>
        <w:t>for the year ended December 31, 2025, an increase of $3.1 million in Net Income, or $0.04 in EPS, compared to 2024. The Company’s Adjusted Net Income (a non-GAAP financial measure) was $53.3 million, or $3.16 in EPS for the year ended December 31, 2025, an increase of $5.5 million, or $0.19 in EPS, compared to 2024. The Company’s earnings in 2025 reflect higher rates and customer growth.</w:t>
      </w:r>
    </w:p>
    <w:p>
      <w:pPr>
        <w:spacing w:after="0" w:line="195" w:lineRule="exact"/>
        <w:rPr>
          <w:sz w:val="20"/>
          <w:szCs w:val="20"/>
          <w:color w:val="auto"/>
        </w:rPr>
      </w:pPr>
    </w:p>
    <w:p>
      <w:pPr>
        <w:ind w:right="620" w:firstLine="612"/>
        <w:spacing w:after="0" w:line="279" w:lineRule="auto"/>
        <w:rPr>
          <w:sz w:val="20"/>
          <w:szCs w:val="20"/>
          <w:color w:val="auto"/>
        </w:rPr>
      </w:pPr>
      <w:r>
        <w:rPr>
          <w:rFonts w:ascii="Times New Roman" w:cs="Times New Roman" w:eastAsia="Times New Roman" w:hAnsi="Times New Roman"/>
          <w:sz w:val="21"/>
          <w:szCs w:val="21"/>
          <w:color w:val="231F20"/>
        </w:rPr>
        <w:t>Electric Adjusted Gross Margin (a non-GAAP financial measure) was $114.6 million in 2025, an increase of $7.3 million compared with 2024. The increase was driven by higher rates and customer growth.</w:t>
      </w:r>
    </w:p>
    <w:p>
      <w:pPr>
        <w:sectPr>
          <w:pgSz w:w="12240" w:h="15840" w:orient="portrait"/>
          <w:cols w:equalWidth="0" w:num="1">
            <w:col w:w="10800"/>
          </w:cols>
          <w:pgMar w:left="720" w:top="928" w:right="720" w:bottom="188" w:gutter="0" w:footer="0" w:header="0"/>
        </w:sect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25</w:t>
      </w:r>
    </w:p>
    <w:p>
      <w:pPr>
        <w:sectPr>
          <w:pgSz w:w="12240" w:h="15840" w:orient="portrait"/>
          <w:cols w:equalWidth="0" w:num="1">
            <w:col w:w="10800"/>
          </w:cols>
          <w:pgMar w:left="720" w:top="928" w:right="720" w:bottom="188" w:gutter="0" w:footer="0" w:header="0"/>
          <w:type w:val="continuous"/>
        </w:sectPr>
      </w:pPr>
    </w:p>
    <w:bookmarkStart w:id="45" w:name="page46"/>
    <w:bookmarkEnd w:id="45"/>
    <w:p>
      <w:pPr>
        <w:ind w:right="200" w:firstLine="612"/>
        <w:spacing w:after="0" w:line="259" w:lineRule="auto"/>
        <w:rPr>
          <w:sz w:val="20"/>
          <w:szCs w:val="20"/>
          <w:color w:val="auto"/>
        </w:rPr>
      </w:pPr>
      <w:r>
        <w:rPr>
          <w:rFonts w:ascii="Times New Roman" w:cs="Times New Roman" w:eastAsia="Times New Roman" w:hAnsi="Times New Roman"/>
          <w:sz w:val="21"/>
          <w:szCs w:val="21"/>
          <w:color w:val="231F20"/>
        </w:rPr>
        <w:t>Gas Adjusted Gross Margin (a non-GAAP financial measure) was $199.1 million in 2025, an increase of $32.2 million compared to 2024. The increase was driven primarily by higher rates, and customer growth. Gas Adjusted Gross Margin included $16.6 million related to Bangor and Maine Natural in 2025.</w:t>
      </w:r>
    </w:p>
    <w:p>
      <w:pPr>
        <w:spacing w:after="0" w:line="183" w:lineRule="exact"/>
        <w:rPr>
          <w:sz w:val="20"/>
          <w:szCs w:val="20"/>
          <w:color w:val="auto"/>
        </w:rPr>
      </w:pPr>
    </w:p>
    <w:p>
      <w:pPr>
        <w:ind w:firstLine="612"/>
        <w:spacing w:after="0" w:line="259" w:lineRule="auto"/>
        <w:rPr>
          <w:sz w:val="20"/>
          <w:szCs w:val="20"/>
          <w:color w:val="auto"/>
        </w:rPr>
      </w:pPr>
      <w:r>
        <w:rPr>
          <w:rFonts w:ascii="Times New Roman" w:cs="Times New Roman" w:eastAsia="Times New Roman" w:hAnsi="Times New Roman"/>
          <w:sz w:val="21"/>
          <w:szCs w:val="21"/>
          <w:color w:val="231F20"/>
        </w:rPr>
        <w:t>Operation and Maintenance (O&amp;M) expenses increased $14.9 million in 2025 compared to 2024, reflecting higher utility operating costs of $6.1 million, higher labor and other costs of $5.5 million and higher acquisition costs of $3.3 million. O&amp;M expenses included $4.2 million of utility operating costs for Bangor and Maine Natural in 2025.</w:t>
      </w:r>
    </w:p>
    <w:p>
      <w:pPr>
        <w:spacing w:after="0" w:line="183" w:lineRule="exact"/>
        <w:rPr>
          <w:sz w:val="20"/>
          <w:szCs w:val="20"/>
          <w:color w:val="auto"/>
        </w:rPr>
      </w:pPr>
    </w:p>
    <w:p>
      <w:pPr>
        <w:ind w:right="20" w:firstLine="612"/>
        <w:spacing w:after="0" w:line="253" w:lineRule="auto"/>
        <w:rPr>
          <w:sz w:val="20"/>
          <w:szCs w:val="20"/>
          <w:color w:val="auto"/>
        </w:rPr>
      </w:pPr>
      <w:r>
        <w:rPr>
          <w:rFonts w:ascii="Times New Roman" w:cs="Times New Roman" w:eastAsia="Times New Roman" w:hAnsi="Times New Roman"/>
          <w:sz w:val="21"/>
          <w:szCs w:val="21"/>
          <w:color w:val="231F20"/>
        </w:rPr>
        <w:t>Depreciation and Amortization expense increased $12.6 million in 2025 compared to 2024, reflecting higher depreciation rates from recent base rate cases, additional depreciation associated with higher levels of utility plant in service and higher amortization of other deferred costs. Depreciation and Amortization expense included $3.3 million related to Bangor and Maine Natural in 2025.</w:t>
      </w:r>
    </w:p>
    <w:p>
      <w:pPr>
        <w:spacing w:after="0" w:line="188" w:lineRule="exact"/>
        <w:rPr>
          <w:sz w:val="20"/>
          <w:szCs w:val="20"/>
          <w:color w:val="auto"/>
        </w:rPr>
      </w:pPr>
    </w:p>
    <w:p>
      <w:pPr>
        <w:ind w:right="40" w:firstLine="612"/>
        <w:spacing w:after="0" w:line="279" w:lineRule="auto"/>
        <w:rPr>
          <w:sz w:val="20"/>
          <w:szCs w:val="20"/>
          <w:color w:val="auto"/>
        </w:rPr>
      </w:pPr>
      <w:r>
        <w:rPr>
          <w:rFonts w:ascii="Times New Roman" w:cs="Times New Roman" w:eastAsia="Times New Roman" w:hAnsi="Times New Roman"/>
          <w:sz w:val="21"/>
          <w:szCs w:val="21"/>
          <w:color w:val="231F20"/>
        </w:rPr>
        <w:t>Taxes Other Than Income Taxes increased $ 1.4 million in 2025 compared to 2024, reflecting higher local property taxes on higher utility plant in service associated with the Company’s completed acquisitions of Bangor and Maine Natural.</w:t>
      </w:r>
    </w:p>
    <w:p>
      <w:pPr>
        <w:spacing w:after="0" w:line="162" w:lineRule="exact"/>
        <w:rPr>
          <w:sz w:val="20"/>
          <w:szCs w:val="20"/>
          <w:color w:val="auto"/>
        </w:rPr>
      </w:pPr>
    </w:p>
    <w:p>
      <w:pPr>
        <w:ind w:right="100" w:firstLine="612"/>
        <w:spacing w:after="0" w:line="259" w:lineRule="auto"/>
        <w:rPr>
          <w:sz w:val="20"/>
          <w:szCs w:val="20"/>
          <w:color w:val="auto"/>
        </w:rPr>
      </w:pPr>
      <w:r>
        <w:rPr>
          <w:rFonts w:ascii="Times New Roman" w:cs="Times New Roman" w:eastAsia="Times New Roman" w:hAnsi="Times New Roman"/>
          <w:sz w:val="21"/>
          <w:szCs w:val="21"/>
          <w:color w:val="231F20"/>
        </w:rPr>
        <w:t>Interest Expense, Net increased $7.4 million in 2025 compared to 2024 primarily reflecting higher interest on higher levels of debt from the acquisitions of Bangor and Maine Natural and lower interest income on regulatory assets and allowance for funds used during construction.</w:t>
      </w:r>
    </w:p>
    <w:p>
      <w:pPr>
        <w:spacing w:after="0" w:line="1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231F20"/>
        </w:rPr>
        <w:t>Other Expense (Income), Net decreased $1.2 million in 2025 compared to 2024, reflecting lower retirement benefit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231F20"/>
        </w:rPr>
        <w:t>costs.</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231F20"/>
        </w:rPr>
        <w:t>Federal and State Income Taxes increased $1.3 million in 2025 compared to 2024, reflecting higher pre-tax earnings in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231F20"/>
        </w:rPr>
        <w:t>2025.</w:t>
      </w:r>
    </w:p>
    <w:p>
      <w:pPr>
        <w:spacing w:after="0" w:line="210" w:lineRule="exact"/>
        <w:rPr>
          <w:sz w:val="20"/>
          <w:szCs w:val="20"/>
          <w:color w:val="auto"/>
        </w:rPr>
      </w:pPr>
    </w:p>
    <w:p>
      <w:pPr>
        <w:ind w:right="200" w:firstLine="612"/>
        <w:spacing w:after="0" w:line="249" w:lineRule="auto"/>
        <w:rPr>
          <w:sz w:val="20"/>
          <w:szCs w:val="20"/>
          <w:color w:val="auto"/>
        </w:rPr>
      </w:pPr>
      <w:r>
        <w:rPr>
          <w:rFonts w:ascii="Times New Roman" w:cs="Times New Roman" w:eastAsia="Times New Roman" w:hAnsi="Times New Roman"/>
          <w:sz w:val="21"/>
          <w:szCs w:val="21"/>
          <w:color w:val="231F20"/>
        </w:rPr>
        <w:t>In 2025, Unitil’s annual common dividend was $1.80 per share, representing an unbroken record of quarterly dividend payments since trading began in Unitil’s common stock. At a January 2026 meeting of the Unitil Corporation Board of Directors (the “Board”), the Board declared a quarterly dividend on the Company’s common stock of $0.475 per share, an increase of $0.025 per share on a quarterly basis, resulting in an increase in the effective annualized dividend rate to $1.90 per share from $1.80 per share.</w:t>
      </w:r>
    </w:p>
    <w:p>
      <w:pPr>
        <w:spacing w:after="0" w:line="195" w:lineRule="exact"/>
        <w:rPr>
          <w:sz w:val="20"/>
          <w:szCs w:val="20"/>
          <w:color w:val="auto"/>
        </w:rPr>
      </w:pPr>
    </w:p>
    <w:p>
      <w:pPr>
        <w:ind w:right="40" w:firstLine="612"/>
        <w:spacing w:after="0" w:line="249" w:lineRule="auto"/>
        <w:rPr>
          <w:sz w:val="20"/>
          <w:szCs w:val="20"/>
          <w:color w:val="auto"/>
        </w:rPr>
      </w:pPr>
      <w:r>
        <w:rPr>
          <w:rFonts w:ascii="Times New Roman" w:cs="Times New Roman" w:eastAsia="Times New Roman" w:hAnsi="Times New Roman"/>
          <w:sz w:val="21"/>
          <w:szCs w:val="21"/>
          <w:b w:val="1"/>
          <w:bCs w:val="1"/>
          <w:i w:val="1"/>
          <w:iCs w:val="1"/>
          <w:color w:val="231F20"/>
        </w:rPr>
        <w:t>2024 Compared to 2023—</w:t>
      </w:r>
      <w:r>
        <w:rPr>
          <w:rFonts w:ascii="Times New Roman" w:cs="Times New Roman" w:eastAsia="Times New Roman" w:hAnsi="Times New Roman"/>
          <w:sz w:val="21"/>
          <w:szCs w:val="21"/>
          <w:color w:val="231F20"/>
        </w:rPr>
        <w:t>The Company’s GAAP Net Income was $47.1 million, or $2.93 in EPS, for the year ended</w:t>
      </w:r>
      <w:r>
        <w:rPr>
          <w:rFonts w:ascii="Times New Roman" w:cs="Times New Roman" w:eastAsia="Times New Roman" w:hAnsi="Times New Roman"/>
          <w:sz w:val="21"/>
          <w:szCs w:val="21"/>
          <w:b w:val="1"/>
          <w:bCs w:val="1"/>
          <w:i w:val="1"/>
          <w:iCs w:val="1"/>
          <w:color w:val="231F20"/>
        </w:rPr>
        <w:t xml:space="preserve"> </w:t>
      </w:r>
      <w:r>
        <w:rPr>
          <w:rFonts w:ascii="Times New Roman" w:cs="Times New Roman" w:eastAsia="Times New Roman" w:hAnsi="Times New Roman"/>
          <w:sz w:val="21"/>
          <w:szCs w:val="21"/>
          <w:color w:val="231F20"/>
        </w:rPr>
        <w:t>December 31, 2024, an increase of $1.9 million in Net Income, or $ 0.11 in EPS, compared to 2023. The Company’s Adjusted Net Income (a non-GAAP financial measure) was $47.8 million, or $2.97 in EPS, for the year ended December 31, 2024, an increase of $2.6 million, or $0.15 in EPS, compared to 2023. The Company’s earnings in 2024 reflect higher rates and customer growth.</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Electric Revenues, Adjusted Gross Margin and Sales</w:t>
      </w:r>
    </w:p>
    <w:p>
      <w:pPr>
        <w:spacing w:after="0" w:line="257" w:lineRule="exact"/>
        <w:rPr>
          <w:sz w:val="20"/>
          <w:szCs w:val="20"/>
          <w:color w:val="auto"/>
        </w:rPr>
      </w:pPr>
    </w:p>
    <w:p>
      <w:pPr>
        <w:jc w:val="both"/>
        <w:ind w:right="180" w:firstLine="619"/>
        <w:spacing w:after="0" w:line="259" w:lineRule="auto"/>
        <w:rPr>
          <w:sz w:val="20"/>
          <w:szCs w:val="20"/>
          <w:color w:val="auto"/>
        </w:rPr>
      </w:pPr>
      <w:r>
        <w:rPr>
          <w:rFonts w:ascii="Times New Roman" w:cs="Times New Roman" w:eastAsia="Times New Roman" w:hAnsi="Times New Roman"/>
          <w:sz w:val="21"/>
          <w:szCs w:val="21"/>
          <w:b w:val="1"/>
          <w:bCs w:val="1"/>
          <w:i w:val="1"/>
          <w:iCs w:val="1"/>
          <w:color w:val="231F20"/>
        </w:rPr>
        <w:t>Electric Operating Revenues and Electric Adjusted Gross Margin (a non-GAAP financial measure)</w:t>
      </w:r>
      <w:r>
        <w:rPr>
          <w:rFonts w:ascii="Times New Roman" w:cs="Times New Roman" w:eastAsia="Times New Roman" w:hAnsi="Times New Roman"/>
          <w:sz w:val="21"/>
          <w:szCs w:val="21"/>
          <w:color w:val="231F20"/>
        </w:rPr>
        <w:t>—The following</w:t>
      </w:r>
      <w:r>
        <w:rPr>
          <w:rFonts w:ascii="Times New Roman" w:cs="Times New Roman" w:eastAsia="Times New Roman" w:hAnsi="Times New Roman"/>
          <w:sz w:val="21"/>
          <w:szCs w:val="21"/>
          <w:b w:val="1"/>
          <w:bCs w:val="1"/>
          <w:i w:val="1"/>
          <w:iCs w:val="1"/>
          <w:color w:val="231F20"/>
        </w:rPr>
        <w:t xml:space="preserve"> </w:t>
      </w:r>
      <w:r>
        <w:rPr>
          <w:rFonts w:ascii="Times New Roman" w:cs="Times New Roman" w:eastAsia="Times New Roman" w:hAnsi="Times New Roman"/>
          <w:sz w:val="21"/>
          <w:szCs w:val="21"/>
          <w:color w:val="231F20"/>
        </w:rPr>
        <w:t>table details Total Electric Operating Revenue and Electric Adjusted Gross Margin for the last three years by major customer class:</w:t>
      </w:r>
    </w:p>
    <w:p>
      <w:pPr>
        <w:spacing w:after="0" w:line="220" w:lineRule="exact"/>
        <w:rPr>
          <w:sz w:val="20"/>
          <w:szCs w:val="20"/>
          <w:color w:val="auto"/>
        </w:rPr>
      </w:pPr>
    </w:p>
    <w:tbl>
      <w:tblPr>
        <w:tblLayout w:type="fixed"/>
        <w:tblInd w:w="540" w:type="dxa"/>
        <w:tblCellMar>
          <w:top w:w="0" w:type="dxa"/>
          <w:left w:w="0" w:type="dxa"/>
          <w:bottom w:w="0" w:type="dxa"/>
          <w:right w:w="0" w:type="dxa"/>
        </w:tblCellMar>
      </w:tblPr>
      <w:tr>
        <w:trPr>
          <w:trHeight w:val="221"/>
        </w:trPr>
        <w:tc>
          <w:tcPr>
            <w:tcW w:w="33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Electric Operating Revenues and Electric</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3"/>
          </w:tcPr>
          <w:p>
            <w:pPr>
              <w:jc w:val="right"/>
              <w:ind w:right="25"/>
              <w:spacing w:after="0"/>
              <w:rPr>
                <w:sz w:val="20"/>
                <w:szCs w:val="20"/>
                <w:color w:val="auto"/>
              </w:rPr>
            </w:pPr>
            <w:r>
              <w:rPr>
                <w:rFonts w:ascii="Times New Roman" w:cs="Times New Roman" w:eastAsia="Times New Roman" w:hAnsi="Times New Roman"/>
                <w:sz w:val="16"/>
                <w:szCs w:val="16"/>
                <w:b w:val="1"/>
                <w:bCs w:val="1"/>
                <w:color w:val="231F20"/>
              </w:rPr>
              <w:t>Change</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Adjusted Gross Margin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4"/>
          </w:tcPr>
          <w:p>
            <w:pPr>
              <w:jc w:val="right"/>
              <w:ind w:right="660"/>
              <w:spacing w:after="0"/>
              <w:rPr>
                <w:sz w:val="20"/>
                <w:szCs w:val="20"/>
                <w:color w:val="auto"/>
              </w:rPr>
            </w:pPr>
            <w:r>
              <w:rPr>
                <w:rFonts w:ascii="Times New Roman" w:cs="Times New Roman" w:eastAsia="Times New Roman" w:hAnsi="Times New Roman"/>
                <w:sz w:val="16"/>
                <w:szCs w:val="16"/>
                <w:b w:val="1"/>
                <w:bCs w:val="1"/>
                <w:color w:val="231F20"/>
              </w:rPr>
              <w:t>2025 vs. 2024</w:t>
            </w:r>
          </w:p>
        </w:tc>
        <w:tc>
          <w:tcPr>
            <w:tcW w:w="200" w:type="dxa"/>
            <w:vAlign w:val="bottom"/>
          </w:tcPr>
          <w:p>
            <w:pPr>
              <w:spacing w:after="0"/>
              <w:rPr>
                <w:sz w:val="17"/>
                <w:szCs w:val="17"/>
                <w:color w:val="auto"/>
              </w:rPr>
            </w:pPr>
          </w:p>
        </w:tc>
        <w:tc>
          <w:tcPr>
            <w:tcW w:w="158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231F20"/>
              </w:rPr>
              <w:t>2024 vs. 2023</w:t>
            </w:r>
          </w:p>
        </w:tc>
        <w:tc>
          <w:tcPr>
            <w:tcW w:w="0" w:type="dxa"/>
            <w:vAlign w:val="bottom"/>
          </w:tcPr>
          <w:p>
            <w:pPr>
              <w:spacing w:after="0"/>
              <w:rPr>
                <w:sz w:val="1"/>
                <w:szCs w:val="1"/>
                <w:color w:val="auto"/>
              </w:rPr>
            </w:pPr>
          </w:p>
        </w:tc>
      </w:tr>
      <w:tr>
        <w:trPr>
          <w:trHeight w:val="179"/>
        </w:trPr>
        <w:tc>
          <w:tcPr>
            <w:tcW w:w="3300" w:type="dxa"/>
            <w:vAlign w:val="bottom"/>
            <w:tcBorders>
              <w:bottom w:val="single" w:sz="8" w:color="231F20"/>
            </w:tcBorders>
          </w:tcPr>
          <w:p>
            <w:pPr>
              <w:spacing w:after="0" w:line="179" w:lineRule="exact"/>
              <w:rPr>
                <w:sz w:val="20"/>
                <w:szCs w:val="20"/>
                <w:color w:val="auto"/>
              </w:rPr>
            </w:pPr>
            <w:r>
              <w:rPr>
                <w:rFonts w:ascii="Times New Roman" w:cs="Times New Roman" w:eastAsia="Times New Roman" w:hAnsi="Times New Roman"/>
                <w:sz w:val="16"/>
                <w:szCs w:val="16"/>
                <w:b w:val="1"/>
                <w:bCs w:val="1"/>
                <w:color w:val="231F20"/>
              </w:rPr>
              <w:t>(millions)</w:t>
            </w:r>
          </w:p>
        </w:tc>
        <w:tc>
          <w:tcPr>
            <w:tcW w:w="100" w:type="dxa"/>
            <w:vAlign w:val="bottom"/>
            <w:tcBorders>
              <w:bottom w:val="single" w:sz="8" w:color="E6E7E8"/>
            </w:tcBorders>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560" w:type="dxa"/>
            <w:vAlign w:val="bottom"/>
            <w:tcBorders>
              <w:bottom w:val="single" w:sz="8" w:color="231F20"/>
            </w:tcBorders>
          </w:tcPr>
          <w:p>
            <w:pPr>
              <w:jc w:val="right"/>
              <w:ind w:right="88"/>
              <w:spacing w:after="0" w:line="179" w:lineRule="exact"/>
              <w:rPr>
                <w:sz w:val="20"/>
                <w:szCs w:val="20"/>
                <w:color w:val="auto"/>
              </w:rPr>
            </w:pPr>
            <w:r>
              <w:rPr>
                <w:rFonts w:ascii="Times New Roman" w:cs="Times New Roman" w:eastAsia="Times New Roman" w:hAnsi="Times New Roman"/>
                <w:sz w:val="16"/>
                <w:szCs w:val="16"/>
                <w:b w:val="1"/>
                <w:bCs w:val="1"/>
                <w:color w:val="231F20"/>
              </w:rPr>
              <w:t>2025</w:t>
            </w:r>
          </w:p>
        </w:tc>
        <w:tc>
          <w:tcPr>
            <w:tcW w:w="180" w:type="dxa"/>
            <w:vAlign w:val="bottom"/>
            <w:tcBorders>
              <w:bottom w:val="single" w:sz="8" w:color="E6E7E8"/>
            </w:tcBorders>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580" w:type="dxa"/>
            <w:vAlign w:val="bottom"/>
            <w:tcBorders>
              <w:bottom w:val="single" w:sz="8" w:color="231F20"/>
            </w:tcBorders>
          </w:tcPr>
          <w:p>
            <w:pPr>
              <w:jc w:val="right"/>
              <w:ind w:right="108"/>
              <w:spacing w:after="0" w:line="179" w:lineRule="exact"/>
              <w:rPr>
                <w:sz w:val="20"/>
                <w:szCs w:val="20"/>
                <w:color w:val="auto"/>
              </w:rPr>
            </w:pPr>
            <w:r>
              <w:rPr>
                <w:rFonts w:ascii="Times New Roman" w:cs="Times New Roman" w:eastAsia="Times New Roman" w:hAnsi="Times New Roman"/>
                <w:sz w:val="16"/>
                <w:szCs w:val="16"/>
                <w:b w:val="1"/>
                <w:bCs w:val="1"/>
                <w:color w:val="231F20"/>
              </w:rPr>
              <w:t>2024</w:t>
            </w:r>
          </w:p>
        </w:tc>
        <w:tc>
          <w:tcPr>
            <w:tcW w:w="180" w:type="dxa"/>
            <w:vAlign w:val="bottom"/>
            <w:tcBorders>
              <w:bottom w:val="single" w:sz="8" w:color="E6E7E8"/>
            </w:tcBorders>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560" w:type="dxa"/>
            <w:vAlign w:val="bottom"/>
            <w:tcBorders>
              <w:bottom w:val="single" w:sz="8" w:color="231F20"/>
            </w:tcBorders>
          </w:tcPr>
          <w:p>
            <w:pPr>
              <w:jc w:val="right"/>
              <w:ind w:right="108"/>
              <w:spacing w:after="0" w:line="179" w:lineRule="exact"/>
              <w:rPr>
                <w:sz w:val="20"/>
                <w:szCs w:val="20"/>
                <w:color w:val="auto"/>
              </w:rPr>
            </w:pPr>
            <w:r>
              <w:rPr>
                <w:rFonts w:ascii="Times New Roman" w:cs="Times New Roman" w:eastAsia="Times New Roman" w:hAnsi="Times New Roman"/>
                <w:sz w:val="16"/>
                <w:szCs w:val="16"/>
                <w:b w:val="1"/>
                <w:bCs w:val="1"/>
                <w:color w:val="231F20"/>
              </w:rPr>
              <w:t>2023</w:t>
            </w:r>
          </w:p>
        </w:tc>
        <w:tc>
          <w:tcPr>
            <w:tcW w:w="200" w:type="dxa"/>
            <w:vAlign w:val="bottom"/>
            <w:tcBorders>
              <w:bottom w:val="single" w:sz="8" w:color="E6E7E8"/>
            </w:tcBorders>
          </w:tcPr>
          <w:p>
            <w:pPr>
              <w:spacing w:after="0"/>
              <w:rPr>
                <w:sz w:val="15"/>
                <w:szCs w:val="15"/>
                <w:color w:val="auto"/>
              </w:rPr>
            </w:pPr>
          </w:p>
        </w:tc>
        <w:tc>
          <w:tcPr>
            <w:tcW w:w="180" w:type="dxa"/>
            <w:vAlign w:val="bottom"/>
            <w:tcBorders>
              <w:top w:val="single" w:sz="8" w:color="231F20"/>
              <w:bottom w:val="single" w:sz="8" w:color="231F20"/>
            </w:tcBorders>
          </w:tcPr>
          <w:p>
            <w:pPr>
              <w:spacing w:after="0"/>
              <w:rPr>
                <w:sz w:val="15"/>
                <w:szCs w:val="15"/>
                <w:color w:val="auto"/>
              </w:rPr>
            </w:pPr>
          </w:p>
        </w:tc>
        <w:tc>
          <w:tcPr>
            <w:tcW w:w="520" w:type="dxa"/>
            <w:vAlign w:val="bottom"/>
            <w:tcBorders>
              <w:top w:val="single" w:sz="8" w:color="231F20"/>
              <w:bottom w:val="single" w:sz="8" w:color="231F20"/>
            </w:tcBorders>
          </w:tcPr>
          <w:p>
            <w:pPr>
              <w:jc w:val="right"/>
              <w:ind w:right="229"/>
              <w:spacing w:after="0" w:line="179" w:lineRule="exact"/>
              <w:rPr>
                <w:sz w:val="20"/>
                <w:szCs w:val="20"/>
                <w:color w:val="auto"/>
              </w:rPr>
            </w:pPr>
            <w:r>
              <w:rPr>
                <w:rFonts w:ascii="Times New Roman" w:cs="Times New Roman" w:eastAsia="Times New Roman" w:hAnsi="Times New Roman"/>
                <w:sz w:val="16"/>
                <w:szCs w:val="16"/>
                <w:b w:val="1"/>
                <w:bCs w:val="1"/>
                <w:color w:val="231F20"/>
              </w:rPr>
              <w:t>$</w:t>
            </w:r>
          </w:p>
        </w:tc>
        <w:tc>
          <w:tcPr>
            <w:tcW w:w="180" w:type="dxa"/>
            <w:vAlign w:val="bottom"/>
            <w:tcBorders>
              <w:top w:val="single" w:sz="8" w:color="231F20"/>
              <w:bottom w:val="single" w:sz="8" w:color="E6E7E8"/>
            </w:tcBorders>
          </w:tcPr>
          <w:p>
            <w:pPr>
              <w:spacing w:after="0"/>
              <w:rPr>
                <w:sz w:val="15"/>
                <w:szCs w:val="15"/>
                <w:color w:val="auto"/>
              </w:rPr>
            </w:pPr>
          </w:p>
        </w:tc>
        <w:tc>
          <w:tcPr>
            <w:tcW w:w="620" w:type="dxa"/>
            <w:vAlign w:val="bottom"/>
            <w:tcBorders>
              <w:top w:val="single" w:sz="8" w:color="231F20"/>
              <w:bottom w:val="single" w:sz="8" w:color="231F20"/>
            </w:tcBorders>
          </w:tcPr>
          <w:p>
            <w:pPr>
              <w:jc w:val="right"/>
              <w:ind w:right="149"/>
              <w:spacing w:after="0" w:line="179" w:lineRule="exact"/>
              <w:rPr>
                <w:sz w:val="20"/>
                <w:szCs w:val="20"/>
                <w:color w:val="auto"/>
              </w:rPr>
            </w:pPr>
            <w:r>
              <w:rPr>
                <w:rFonts w:ascii="Times New Roman" w:cs="Times New Roman" w:eastAsia="Times New Roman" w:hAnsi="Times New Roman"/>
                <w:sz w:val="16"/>
                <w:szCs w:val="16"/>
                <w:b w:val="1"/>
                <w:bCs w:val="1"/>
                <w:color w:val="231F20"/>
              </w:rPr>
              <w:t>%</w:t>
            </w:r>
          </w:p>
        </w:tc>
        <w:tc>
          <w:tcPr>
            <w:tcW w:w="360" w:type="dxa"/>
            <w:vAlign w:val="bottom"/>
            <w:tcBorders>
              <w:bottom w:val="single" w:sz="8" w:color="E6E7E8"/>
            </w:tcBorders>
          </w:tcPr>
          <w:p>
            <w:pPr>
              <w:spacing w:after="0"/>
              <w:rPr>
                <w:sz w:val="15"/>
                <w:szCs w:val="15"/>
                <w:color w:val="auto"/>
              </w:rPr>
            </w:pPr>
          </w:p>
        </w:tc>
        <w:tc>
          <w:tcPr>
            <w:tcW w:w="200" w:type="dxa"/>
            <w:vAlign w:val="bottom"/>
            <w:tcBorders>
              <w:top w:val="single" w:sz="8" w:color="231F20"/>
              <w:bottom w:val="single" w:sz="8" w:color="231F20"/>
            </w:tcBorders>
          </w:tcPr>
          <w:p>
            <w:pPr>
              <w:spacing w:after="0"/>
              <w:rPr>
                <w:sz w:val="15"/>
                <w:szCs w:val="15"/>
                <w:color w:val="auto"/>
              </w:rPr>
            </w:pPr>
          </w:p>
        </w:tc>
        <w:tc>
          <w:tcPr>
            <w:tcW w:w="500" w:type="dxa"/>
            <w:vAlign w:val="bottom"/>
            <w:tcBorders>
              <w:top w:val="single" w:sz="8" w:color="231F20"/>
              <w:bottom w:val="single" w:sz="8" w:color="231F20"/>
            </w:tcBorders>
          </w:tcPr>
          <w:p>
            <w:pPr>
              <w:ind w:left="120"/>
              <w:spacing w:after="0" w:line="179" w:lineRule="exact"/>
              <w:rPr>
                <w:sz w:val="20"/>
                <w:szCs w:val="20"/>
                <w:color w:val="auto"/>
              </w:rPr>
            </w:pPr>
            <w:r>
              <w:rPr>
                <w:rFonts w:ascii="Times New Roman" w:cs="Times New Roman" w:eastAsia="Times New Roman" w:hAnsi="Times New Roman"/>
                <w:sz w:val="16"/>
                <w:szCs w:val="16"/>
                <w:b w:val="1"/>
                <w:bCs w:val="1"/>
                <w:color w:val="231F20"/>
              </w:rPr>
              <w:t>$</w:t>
            </w:r>
          </w:p>
        </w:tc>
        <w:tc>
          <w:tcPr>
            <w:tcW w:w="180" w:type="dxa"/>
            <w:vAlign w:val="bottom"/>
            <w:tcBorders>
              <w:top w:val="single" w:sz="8" w:color="231F20"/>
              <w:bottom w:val="single" w:sz="8" w:color="E6E7E8"/>
            </w:tcBorders>
          </w:tcPr>
          <w:p>
            <w:pPr>
              <w:spacing w:after="0"/>
              <w:rPr>
                <w:sz w:val="15"/>
                <w:szCs w:val="15"/>
                <w:color w:val="auto"/>
              </w:rPr>
            </w:pPr>
          </w:p>
        </w:tc>
        <w:tc>
          <w:tcPr>
            <w:tcW w:w="620" w:type="dxa"/>
            <w:vAlign w:val="bottom"/>
            <w:tcBorders>
              <w:top w:val="single" w:sz="8" w:color="231F20"/>
              <w:bottom w:val="single" w:sz="8" w:color="231F20"/>
            </w:tcBorders>
          </w:tcPr>
          <w:p>
            <w:pPr>
              <w:jc w:val="right"/>
              <w:ind w:right="128"/>
              <w:spacing w:after="0" w:line="179" w:lineRule="exact"/>
              <w:rPr>
                <w:sz w:val="20"/>
                <w:szCs w:val="20"/>
                <w:color w:val="auto"/>
              </w:rPr>
            </w:pPr>
            <w:r>
              <w:rPr>
                <w:rFonts w:ascii="Times New Roman" w:cs="Times New Roman" w:eastAsia="Times New Roman" w:hAnsi="Times New Roman"/>
                <w:sz w:val="16"/>
                <w:szCs w:val="16"/>
                <w:b w:val="1"/>
                <w:bCs w:val="1"/>
                <w:color w:val="231F20"/>
              </w:rPr>
              <w:t>%</w:t>
            </w:r>
          </w:p>
        </w:tc>
        <w:tc>
          <w:tcPr>
            <w:tcW w:w="280" w:type="dxa"/>
            <w:vAlign w:val="bottom"/>
            <w:tcBorders>
              <w:bottom w:val="single" w:sz="8" w:color="E6E7E8"/>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300" w:type="dxa"/>
            <w:vAlign w:val="bottom"/>
            <w:shd w:val="clear" w:color="auto" w:fill="E6E7E8"/>
          </w:tcPr>
          <w:p>
            <w:pPr>
              <w:spacing w:after="0" w:line="214" w:lineRule="exact"/>
              <w:rPr>
                <w:sz w:val="20"/>
                <w:szCs w:val="20"/>
                <w:color w:val="auto"/>
              </w:rPr>
            </w:pPr>
            <w:r>
              <w:rPr>
                <w:rFonts w:ascii="Times New Roman" w:cs="Times New Roman" w:eastAsia="Times New Roman" w:hAnsi="Times New Roman"/>
                <w:sz w:val="19"/>
                <w:szCs w:val="19"/>
                <w:color w:val="231F20"/>
              </w:rPr>
              <w:t>Electric Operating Revenue:</w:t>
            </w:r>
          </w:p>
        </w:tc>
        <w:tc>
          <w:tcPr>
            <w:tcW w:w="100" w:type="dxa"/>
            <w:vAlign w:val="bottom"/>
            <w:shd w:val="clear" w:color="auto" w:fill="E6E7E8"/>
          </w:tcPr>
          <w:p>
            <w:pPr>
              <w:spacing w:after="0"/>
              <w:rPr>
                <w:sz w:val="18"/>
                <w:szCs w:val="18"/>
                <w:color w:val="auto"/>
              </w:rPr>
            </w:pPr>
          </w:p>
        </w:tc>
        <w:tc>
          <w:tcPr>
            <w:tcW w:w="140" w:type="dxa"/>
            <w:vAlign w:val="bottom"/>
            <w:shd w:val="clear" w:color="auto" w:fill="E6E7E8"/>
          </w:tcPr>
          <w:p>
            <w:pPr>
              <w:spacing w:after="0"/>
              <w:rPr>
                <w:sz w:val="18"/>
                <w:szCs w:val="18"/>
                <w:color w:val="auto"/>
              </w:rPr>
            </w:pPr>
          </w:p>
        </w:tc>
        <w:tc>
          <w:tcPr>
            <w:tcW w:w="560" w:type="dxa"/>
            <w:vAlign w:val="bottom"/>
            <w:shd w:val="clear" w:color="auto" w:fill="E6E7E8"/>
          </w:tcPr>
          <w:p>
            <w:pPr>
              <w:spacing w:after="0"/>
              <w:rPr>
                <w:sz w:val="18"/>
                <w:szCs w:val="18"/>
                <w:color w:val="auto"/>
              </w:rPr>
            </w:pPr>
          </w:p>
        </w:tc>
        <w:tc>
          <w:tcPr>
            <w:tcW w:w="180" w:type="dxa"/>
            <w:vAlign w:val="bottom"/>
            <w:shd w:val="clear" w:color="auto" w:fill="E6E7E8"/>
          </w:tcPr>
          <w:p>
            <w:pPr>
              <w:spacing w:after="0"/>
              <w:rPr>
                <w:sz w:val="18"/>
                <w:szCs w:val="18"/>
                <w:color w:val="auto"/>
              </w:rPr>
            </w:pPr>
          </w:p>
        </w:tc>
        <w:tc>
          <w:tcPr>
            <w:tcW w:w="140" w:type="dxa"/>
            <w:vAlign w:val="bottom"/>
            <w:shd w:val="clear" w:color="auto" w:fill="E6E7E8"/>
          </w:tcPr>
          <w:p>
            <w:pPr>
              <w:spacing w:after="0"/>
              <w:rPr>
                <w:sz w:val="18"/>
                <w:szCs w:val="18"/>
                <w:color w:val="auto"/>
              </w:rPr>
            </w:pPr>
          </w:p>
        </w:tc>
        <w:tc>
          <w:tcPr>
            <w:tcW w:w="580" w:type="dxa"/>
            <w:vAlign w:val="bottom"/>
            <w:shd w:val="clear" w:color="auto" w:fill="E6E7E8"/>
          </w:tcPr>
          <w:p>
            <w:pPr>
              <w:spacing w:after="0"/>
              <w:rPr>
                <w:sz w:val="18"/>
                <w:szCs w:val="18"/>
                <w:color w:val="auto"/>
              </w:rPr>
            </w:pPr>
          </w:p>
        </w:tc>
        <w:tc>
          <w:tcPr>
            <w:tcW w:w="180" w:type="dxa"/>
            <w:vAlign w:val="bottom"/>
            <w:shd w:val="clear" w:color="auto" w:fill="E6E7E8"/>
          </w:tcPr>
          <w:p>
            <w:pPr>
              <w:spacing w:after="0"/>
              <w:rPr>
                <w:sz w:val="18"/>
                <w:szCs w:val="18"/>
                <w:color w:val="auto"/>
              </w:rPr>
            </w:pPr>
          </w:p>
        </w:tc>
        <w:tc>
          <w:tcPr>
            <w:tcW w:w="140" w:type="dxa"/>
            <w:vAlign w:val="bottom"/>
            <w:shd w:val="clear" w:color="auto" w:fill="E6E7E8"/>
          </w:tcPr>
          <w:p>
            <w:pPr>
              <w:spacing w:after="0"/>
              <w:rPr>
                <w:sz w:val="18"/>
                <w:szCs w:val="18"/>
                <w:color w:val="auto"/>
              </w:rPr>
            </w:pPr>
          </w:p>
        </w:tc>
        <w:tc>
          <w:tcPr>
            <w:tcW w:w="560" w:type="dxa"/>
            <w:vAlign w:val="bottom"/>
            <w:shd w:val="clear" w:color="auto" w:fill="E6E7E8"/>
          </w:tcPr>
          <w:p>
            <w:pPr>
              <w:spacing w:after="0"/>
              <w:rPr>
                <w:sz w:val="18"/>
                <w:szCs w:val="18"/>
                <w:color w:val="auto"/>
              </w:rPr>
            </w:pPr>
          </w:p>
        </w:tc>
        <w:tc>
          <w:tcPr>
            <w:tcW w:w="200" w:type="dxa"/>
            <w:vAlign w:val="bottom"/>
            <w:tcBorders>
              <w:right w:val="single" w:sz="8" w:color="E6E7E8"/>
            </w:tcBorders>
            <w:shd w:val="clear" w:color="auto" w:fill="E6E7E8"/>
          </w:tcPr>
          <w:p>
            <w:pPr>
              <w:spacing w:after="0"/>
              <w:rPr>
                <w:sz w:val="18"/>
                <w:szCs w:val="18"/>
                <w:color w:val="auto"/>
              </w:rPr>
            </w:pPr>
          </w:p>
        </w:tc>
        <w:tc>
          <w:tcPr>
            <w:tcW w:w="180" w:type="dxa"/>
            <w:vAlign w:val="bottom"/>
            <w:shd w:val="clear" w:color="auto" w:fill="E6E7E8"/>
          </w:tcPr>
          <w:p>
            <w:pPr>
              <w:spacing w:after="0"/>
              <w:rPr>
                <w:sz w:val="18"/>
                <w:szCs w:val="18"/>
                <w:color w:val="auto"/>
              </w:rPr>
            </w:pPr>
          </w:p>
        </w:tc>
        <w:tc>
          <w:tcPr>
            <w:tcW w:w="520" w:type="dxa"/>
            <w:vAlign w:val="bottom"/>
            <w:shd w:val="clear" w:color="auto" w:fill="E6E7E8"/>
          </w:tcPr>
          <w:p>
            <w:pPr>
              <w:spacing w:after="0"/>
              <w:rPr>
                <w:sz w:val="18"/>
                <w:szCs w:val="18"/>
                <w:color w:val="auto"/>
              </w:rPr>
            </w:pPr>
          </w:p>
        </w:tc>
        <w:tc>
          <w:tcPr>
            <w:tcW w:w="180" w:type="dxa"/>
            <w:vAlign w:val="bottom"/>
            <w:shd w:val="clear" w:color="auto" w:fill="E6E7E8"/>
          </w:tcPr>
          <w:p>
            <w:pPr>
              <w:spacing w:after="0"/>
              <w:rPr>
                <w:sz w:val="18"/>
                <w:szCs w:val="18"/>
                <w:color w:val="auto"/>
              </w:rPr>
            </w:pPr>
          </w:p>
        </w:tc>
        <w:tc>
          <w:tcPr>
            <w:tcW w:w="620" w:type="dxa"/>
            <w:vAlign w:val="bottom"/>
            <w:shd w:val="clear" w:color="auto" w:fill="E6E7E8"/>
          </w:tcPr>
          <w:p>
            <w:pPr>
              <w:spacing w:after="0"/>
              <w:rPr>
                <w:sz w:val="18"/>
                <w:szCs w:val="18"/>
                <w:color w:val="auto"/>
              </w:rPr>
            </w:pPr>
          </w:p>
        </w:tc>
        <w:tc>
          <w:tcPr>
            <w:tcW w:w="360" w:type="dxa"/>
            <w:vAlign w:val="bottom"/>
            <w:shd w:val="clear" w:color="auto" w:fill="E6E7E8"/>
          </w:tcPr>
          <w:p>
            <w:pPr>
              <w:spacing w:after="0"/>
              <w:rPr>
                <w:sz w:val="18"/>
                <w:szCs w:val="18"/>
                <w:color w:val="auto"/>
              </w:rPr>
            </w:pPr>
          </w:p>
        </w:tc>
        <w:tc>
          <w:tcPr>
            <w:tcW w:w="200" w:type="dxa"/>
            <w:vAlign w:val="bottom"/>
            <w:shd w:val="clear" w:color="auto" w:fill="E6E7E8"/>
          </w:tcPr>
          <w:p>
            <w:pPr>
              <w:spacing w:after="0"/>
              <w:rPr>
                <w:sz w:val="18"/>
                <w:szCs w:val="18"/>
                <w:color w:val="auto"/>
              </w:rPr>
            </w:pPr>
          </w:p>
        </w:tc>
        <w:tc>
          <w:tcPr>
            <w:tcW w:w="500" w:type="dxa"/>
            <w:vAlign w:val="bottom"/>
            <w:shd w:val="clear" w:color="auto" w:fill="E6E7E8"/>
          </w:tcPr>
          <w:p>
            <w:pPr>
              <w:spacing w:after="0"/>
              <w:rPr>
                <w:sz w:val="18"/>
                <w:szCs w:val="18"/>
                <w:color w:val="auto"/>
              </w:rPr>
            </w:pPr>
          </w:p>
        </w:tc>
        <w:tc>
          <w:tcPr>
            <w:tcW w:w="180" w:type="dxa"/>
            <w:vAlign w:val="bottom"/>
            <w:shd w:val="clear" w:color="auto" w:fill="E6E7E8"/>
          </w:tcPr>
          <w:p>
            <w:pPr>
              <w:spacing w:after="0"/>
              <w:rPr>
                <w:sz w:val="18"/>
                <w:szCs w:val="18"/>
                <w:color w:val="auto"/>
              </w:rPr>
            </w:pPr>
          </w:p>
        </w:tc>
        <w:tc>
          <w:tcPr>
            <w:tcW w:w="620" w:type="dxa"/>
            <w:vAlign w:val="bottom"/>
            <w:shd w:val="clear" w:color="auto" w:fill="E6E7E8"/>
          </w:tcPr>
          <w:p>
            <w:pPr>
              <w:spacing w:after="0"/>
              <w:rPr>
                <w:sz w:val="18"/>
                <w:szCs w:val="18"/>
                <w:color w:val="auto"/>
              </w:rPr>
            </w:pPr>
          </w:p>
        </w:tc>
        <w:tc>
          <w:tcPr>
            <w:tcW w:w="280" w:type="dxa"/>
            <w:vAlign w:val="bottom"/>
            <w:shd w:val="clear" w:color="auto" w:fill="E6E7E8"/>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0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Residential</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w w:val="8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132.6</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140.6</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184.5</w:t>
            </w:r>
          </w:p>
        </w:tc>
        <w:tc>
          <w:tcPr>
            <w:tcW w:w="20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231F20"/>
                <w:w w:val="70"/>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231F20"/>
              </w:rPr>
              <w:t>(8.0)</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231F20"/>
              </w:rPr>
              <w:t>(5.7)%</w:t>
            </w:r>
          </w:p>
        </w:tc>
        <w:tc>
          <w:tcPr>
            <w:tcW w:w="20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231F20"/>
                <w:w w:val="83"/>
              </w:rPr>
              <w:t>$</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231F20"/>
              </w:rPr>
              <w:t>(43.9)</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231F20"/>
              </w:rPr>
              <w:t>(23.8)%</w:t>
            </w:r>
          </w:p>
        </w:tc>
        <w:tc>
          <w:tcPr>
            <w:tcW w:w="0" w:type="dxa"/>
            <w:vAlign w:val="bottom"/>
          </w:tcPr>
          <w:p>
            <w:pPr>
              <w:spacing w:after="0"/>
              <w:rPr>
                <w:sz w:val="1"/>
                <w:szCs w:val="1"/>
                <w:color w:val="auto"/>
              </w:rPr>
            </w:pPr>
          </w:p>
        </w:tc>
      </w:tr>
      <w:tr>
        <w:trPr>
          <w:trHeight w:val="219"/>
        </w:trPr>
        <w:tc>
          <w:tcPr>
            <w:tcW w:w="3300" w:type="dxa"/>
            <w:vAlign w:val="bottom"/>
            <w:shd w:val="clear" w:color="auto" w:fill="E6E7E8"/>
          </w:tcPr>
          <w:p>
            <w:pPr>
              <w:ind w:left="100"/>
              <w:spacing w:after="0"/>
              <w:rPr>
                <w:sz w:val="20"/>
                <w:szCs w:val="20"/>
                <w:color w:val="auto"/>
              </w:rPr>
            </w:pPr>
            <w:r>
              <w:rPr>
                <w:rFonts w:ascii="Times New Roman" w:cs="Times New Roman" w:eastAsia="Times New Roman" w:hAnsi="Times New Roman"/>
                <w:sz w:val="19"/>
                <w:szCs w:val="19"/>
                <w:color w:val="231F20"/>
              </w:rPr>
              <w:t>Commercial &amp; Industrial</w:t>
            </w:r>
          </w:p>
        </w:tc>
        <w:tc>
          <w:tcPr>
            <w:tcW w:w="100" w:type="dxa"/>
            <w:vAlign w:val="bottom"/>
            <w:shd w:val="clear" w:color="auto" w:fill="E6E7E8"/>
          </w:tcPr>
          <w:p>
            <w:pPr>
              <w:spacing w:after="0"/>
              <w:rPr>
                <w:sz w:val="19"/>
                <w:szCs w:val="19"/>
                <w:color w:val="auto"/>
              </w:rPr>
            </w:pPr>
          </w:p>
        </w:tc>
        <w:tc>
          <w:tcPr>
            <w:tcW w:w="140" w:type="dxa"/>
            <w:vAlign w:val="bottom"/>
            <w:shd w:val="clear" w:color="auto" w:fill="E6E7E8"/>
          </w:tcPr>
          <w:p>
            <w:pPr>
              <w:spacing w:after="0"/>
              <w:rPr>
                <w:sz w:val="19"/>
                <w:szCs w:val="19"/>
                <w:color w:val="auto"/>
              </w:rPr>
            </w:pPr>
          </w:p>
        </w:tc>
        <w:tc>
          <w:tcPr>
            <w:tcW w:w="5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103.8</w:t>
            </w:r>
          </w:p>
        </w:tc>
        <w:tc>
          <w:tcPr>
            <w:tcW w:w="180" w:type="dxa"/>
            <w:vAlign w:val="bottom"/>
            <w:shd w:val="clear" w:color="auto" w:fill="E6E7E8"/>
          </w:tcPr>
          <w:p>
            <w:pPr>
              <w:spacing w:after="0"/>
              <w:rPr>
                <w:sz w:val="19"/>
                <w:szCs w:val="19"/>
                <w:color w:val="auto"/>
              </w:rPr>
            </w:pPr>
          </w:p>
        </w:tc>
        <w:tc>
          <w:tcPr>
            <w:tcW w:w="140" w:type="dxa"/>
            <w:vAlign w:val="bottom"/>
            <w:shd w:val="clear" w:color="auto" w:fill="E6E7E8"/>
          </w:tcPr>
          <w:p>
            <w:pPr>
              <w:spacing w:after="0"/>
              <w:rPr>
                <w:sz w:val="19"/>
                <w:szCs w:val="19"/>
                <w:color w:val="auto"/>
              </w:rPr>
            </w:pPr>
          </w:p>
        </w:tc>
        <w:tc>
          <w:tcPr>
            <w:tcW w:w="5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107.7</w:t>
            </w:r>
          </w:p>
        </w:tc>
        <w:tc>
          <w:tcPr>
            <w:tcW w:w="180" w:type="dxa"/>
            <w:vAlign w:val="bottom"/>
            <w:shd w:val="clear" w:color="auto" w:fill="E6E7E8"/>
          </w:tcPr>
          <w:p>
            <w:pPr>
              <w:spacing w:after="0"/>
              <w:rPr>
                <w:sz w:val="19"/>
                <w:szCs w:val="19"/>
                <w:color w:val="auto"/>
              </w:rPr>
            </w:pPr>
          </w:p>
        </w:tc>
        <w:tc>
          <w:tcPr>
            <w:tcW w:w="140" w:type="dxa"/>
            <w:vAlign w:val="bottom"/>
            <w:shd w:val="clear" w:color="auto" w:fill="E6E7E8"/>
          </w:tcPr>
          <w:p>
            <w:pPr>
              <w:spacing w:after="0"/>
              <w:rPr>
                <w:sz w:val="19"/>
                <w:szCs w:val="19"/>
                <w:color w:val="auto"/>
              </w:rPr>
            </w:pPr>
          </w:p>
        </w:tc>
        <w:tc>
          <w:tcPr>
            <w:tcW w:w="5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122.0</w:t>
            </w:r>
          </w:p>
        </w:tc>
        <w:tc>
          <w:tcPr>
            <w:tcW w:w="200" w:type="dxa"/>
            <w:vAlign w:val="bottom"/>
            <w:tcBorders>
              <w:right w:val="single" w:sz="8" w:color="E6E7E8"/>
            </w:tcBorders>
            <w:shd w:val="clear" w:color="auto" w:fill="E6E7E8"/>
          </w:tcPr>
          <w:p>
            <w:pPr>
              <w:spacing w:after="0"/>
              <w:rPr>
                <w:sz w:val="19"/>
                <w:szCs w:val="19"/>
                <w:color w:val="auto"/>
              </w:rPr>
            </w:pPr>
          </w:p>
        </w:tc>
        <w:tc>
          <w:tcPr>
            <w:tcW w:w="180" w:type="dxa"/>
            <w:vAlign w:val="bottom"/>
            <w:shd w:val="clear" w:color="auto" w:fill="E6E7E8"/>
          </w:tcPr>
          <w:p>
            <w:pPr>
              <w:spacing w:after="0"/>
              <w:rPr>
                <w:sz w:val="19"/>
                <w:szCs w:val="19"/>
                <w:color w:val="auto"/>
              </w:rPr>
            </w:pPr>
          </w:p>
        </w:tc>
        <w:tc>
          <w:tcPr>
            <w:tcW w:w="700" w:type="dxa"/>
            <w:vAlign w:val="bottom"/>
            <w:gridSpan w:val="2"/>
            <w:shd w:val="clear" w:color="auto" w:fill="E6E7E8"/>
          </w:tcPr>
          <w:p>
            <w:pPr>
              <w:jc w:val="right"/>
              <w:ind w:right="120"/>
              <w:spacing w:after="0"/>
              <w:rPr>
                <w:sz w:val="20"/>
                <w:szCs w:val="20"/>
                <w:color w:val="auto"/>
              </w:rPr>
            </w:pPr>
            <w:r>
              <w:rPr>
                <w:rFonts w:ascii="Times New Roman" w:cs="Times New Roman" w:eastAsia="Times New Roman" w:hAnsi="Times New Roman"/>
                <w:sz w:val="19"/>
                <w:szCs w:val="19"/>
                <w:color w:val="231F20"/>
              </w:rPr>
              <w:t>(3.9)</w:t>
            </w:r>
          </w:p>
        </w:tc>
        <w:tc>
          <w:tcPr>
            <w:tcW w:w="980" w:type="dxa"/>
            <w:vAlign w:val="bottom"/>
            <w:gridSpan w:val="2"/>
            <w:shd w:val="clear" w:color="auto" w:fill="E6E7E8"/>
          </w:tcPr>
          <w:p>
            <w:pPr>
              <w:jc w:val="right"/>
              <w:ind w:right="140"/>
              <w:spacing w:after="0"/>
              <w:rPr>
                <w:sz w:val="20"/>
                <w:szCs w:val="20"/>
                <w:color w:val="auto"/>
              </w:rPr>
            </w:pPr>
            <w:r>
              <w:rPr>
                <w:rFonts w:ascii="Times New Roman" w:cs="Times New Roman" w:eastAsia="Times New Roman" w:hAnsi="Times New Roman"/>
                <w:sz w:val="19"/>
                <w:szCs w:val="19"/>
                <w:color w:val="231F20"/>
              </w:rPr>
              <w:t>(3.6)%</w:t>
            </w:r>
          </w:p>
        </w:tc>
        <w:tc>
          <w:tcPr>
            <w:tcW w:w="200" w:type="dxa"/>
            <w:vAlign w:val="bottom"/>
            <w:shd w:val="clear" w:color="auto" w:fill="E6E7E8"/>
          </w:tcPr>
          <w:p>
            <w:pPr>
              <w:spacing w:after="0"/>
              <w:rPr>
                <w:sz w:val="19"/>
                <w:szCs w:val="19"/>
                <w:color w:val="auto"/>
              </w:rPr>
            </w:pPr>
          </w:p>
        </w:tc>
        <w:tc>
          <w:tcPr>
            <w:tcW w:w="680" w:type="dxa"/>
            <w:vAlign w:val="bottom"/>
            <w:gridSpan w:val="2"/>
            <w:shd w:val="clear" w:color="auto" w:fill="E6E7E8"/>
          </w:tcPr>
          <w:p>
            <w:pPr>
              <w:ind w:left="120"/>
              <w:spacing w:after="0"/>
              <w:rPr>
                <w:sz w:val="20"/>
                <w:szCs w:val="20"/>
                <w:color w:val="auto"/>
              </w:rPr>
            </w:pPr>
            <w:r>
              <w:rPr>
                <w:rFonts w:ascii="Times New Roman" w:cs="Times New Roman" w:eastAsia="Times New Roman" w:hAnsi="Times New Roman"/>
                <w:sz w:val="19"/>
                <w:szCs w:val="19"/>
                <w:color w:val="231F20"/>
              </w:rPr>
              <w:t>(14.3)</w:t>
            </w:r>
          </w:p>
        </w:tc>
        <w:tc>
          <w:tcPr>
            <w:tcW w:w="900" w:type="dxa"/>
            <w:vAlign w:val="bottom"/>
            <w:gridSpan w:val="2"/>
            <w:shd w:val="clear" w:color="auto" w:fill="E6E7E8"/>
          </w:tcPr>
          <w:p>
            <w:pPr>
              <w:jc w:val="right"/>
              <w:ind w:right="40"/>
              <w:spacing w:after="0"/>
              <w:rPr>
                <w:sz w:val="20"/>
                <w:szCs w:val="20"/>
                <w:color w:val="auto"/>
              </w:rPr>
            </w:pPr>
            <w:r>
              <w:rPr>
                <w:rFonts w:ascii="Times New Roman" w:cs="Times New Roman" w:eastAsia="Times New Roman" w:hAnsi="Times New Roman"/>
                <w:sz w:val="19"/>
                <w:szCs w:val="19"/>
                <w:color w:val="231F20"/>
              </w:rPr>
              <w:t>(11.7)%</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Times New Roman" w:cs="Times New Roman" w:eastAsia="Times New Roman" w:hAnsi="Times New Roman"/>
                <w:sz w:val="19"/>
                <w:szCs w:val="19"/>
                <w:color w:val="231F20"/>
              </w:rPr>
              <w:t>Total Electric Operating Revenue</w:t>
            </w:r>
          </w:p>
        </w:tc>
        <w:tc>
          <w:tcPr>
            <w:tcW w:w="100" w:type="dxa"/>
            <w:vAlign w:val="bottom"/>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560" w:type="dxa"/>
            <w:vAlign w:val="bottom"/>
            <w:shd w:val="clear" w:color="auto" w:fill="231F2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580" w:type="dxa"/>
            <w:vAlign w:val="bottom"/>
            <w:shd w:val="clear" w:color="auto" w:fill="231F2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560" w:type="dxa"/>
            <w:vAlign w:val="bottom"/>
            <w:shd w:val="clear" w:color="auto" w:fill="231F20"/>
          </w:tcPr>
          <w:p>
            <w:pPr>
              <w:spacing w:after="0" w:line="20" w:lineRule="exact"/>
              <w:rPr>
                <w:sz w:val="1"/>
                <w:szCs w:val="1"/>
                <w:color w:val="auto"/>
              </w:rPr>
            </w:pPr>
          </w:p>
        </w:tc>
        <w:tc>
          <w:tcPr>
            <w:tcW w:w="200" w:type="dxa"/>
            <w:vAlign w:val="bottom"/>
            <w:tcBorders>
              <w:right w:val="single" w:sz="8" w:color="231F20"/>
            </w:tcBorders>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520" w:type="dxa"/>
            <w:vAlign w:val="bottom"/>
            <w:shd w:val="clear" w:color="auto" w:fill="231F2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9"/>
                <w:szCs w:val="19"/>
                <w:color w:val="231F20"/>
              </w:rPr>
              <w:t>(4.8)%</w:t>
            </w:r>
          </w:p>
        </w:tc>
        <w:tc>
          <w:tcPr>
            <w:tcW w:w="200" w:type="dxa"/>
            <w:vAlign w:val="bottom"/>
            <w:shd w:val="clear" w:color="auto" w:fill="231F20"/>
          </w:tcPr>
          <w:p>
            <w:pPr>
              <w:spacing w:after="0" w:line="20" w:lineRule="exact"/>
              <w:rPr>
                <w:sz w:val="1"/>
                <w:szCs w:val="1"/>
                <w:color w:val="auto"/>
              </w:rPr>
            </w:pPr>
          </w:p>
        </w:tc>
        <w:tc>
          <w:tcPr>
            <w:tcW w:w="500" w:type="dxa"/>
            <w:vAlign w:val="bottom"/>
            <w:shd w:val="clear" w:color="auto" w:fill="231F2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9"/>
                <w:szCs w:val="19"/>
                <w:color w:val="231F20"/>
              </w:rPr>
              <w:t>(19.0)%</w:t>
            </w:r>
          </w:p>
        </w:tc>
        <w:tc>
          <w:tcPr>
            <w:tcW w:w="0" w:type="dxa"/>
            <w:vAlign w:val="bottom"/>
          </w:tcPr>
          <w:p>
            <w:pPr>
              <w:spacing w:after="0" w:line="20" w:lineRule="exact"/>
              <w:rPr>
                <w:sz w:val="1"/>
                <w:szCs w:val="1"/>
                <w:color w:val="auto"/>
              </w:rPr>
            </w:pPr>
          </w:p>
        </w:tc>
      </w:tr>
      <w:tr>
        <w:trPr>
          <w:trHeight w:val="213"/>
        </w:trPr>
        <w:tc>
          <w:tcPr>
            <w:tcW w:w="3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236.4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rPr>
              <w:t>248.3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rPr>
              <w:t>306.5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20"/>
              <w:spacing w:after="0" w:line="214" w:lineRule="exact"/>
              <w:rPr>
                <w:sz w:val="20"/>
                <w:szCs w:val="20"/>
                <w:color w:val="auto"/>
              </w:rPr>
            </w:pPr>
            <w:r>
              <w:rPr>
                <w:rFonts w:ascii="Times New Roman" w:cs="Times New Roman" w:eastAsia="Times New Roman" w:hAnsi="Times New Roman"/>
                <w:sz w:val="19"/>
                <w:szCs w:val="19"/>
                <w:color w:val="231F20"/>
              </w:rPr>
              <w:t>(11.9)</w:t>
            </w: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ind w:left="120"/>
              <w:spacing w:after="0" w:line="214" w:lineRule="exact"/>
              <w:rPr>
                <w:sz w:val="20"/>
                <w:szCs w:val="20"/>
                <w:color w:val="auto"/>
              </w:rPr>
            </w:pPr>
            <w:r>
              <w:rPr>
                <w:rFonts w:ascii="Times New Roman" w:cs="Times New Roman" w:eastAsia="Times New Roman" w:hAnsi="Times New Roman"/>
                <w:sz w:val="19"/>
                <w:szCs w:val="19"/>
                <w:color w:val="231F20"/>
              </w:rPr>
              <w:t>(58.2)</w:t>
            </w: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shd w:val="clear" w:color="auto" w:fill="E6E7E8"/>
          </w:tcPr>
          <w:p>
            <w:pPr>
              <w:spacing w:after="0"/>
              <w:rPr>
                <w:sz w:val="20"/>
                <w:szCs w:val="20"/>
                <w:color w:val="auto"/>
              </w:rPr>
            </w:pPr>
            <w:r>
              <w:rPr>
                <w:rFonts w:ascii="Times New Roman" w:cs="Times New Roman" w:eastAsia="Times New Roman" w:hAnsi="Times New Roman"/>
                <w:sz w:val="19"/>
                <w:szCs w:val="19"/>
                <w:color w:val="231F20"/>
              </w:rPr>
              <w:t>Cost of Electric Sales</w:t>
            </w:r>
          </w:p>
        </w:tc>
        <w:tc>
          <w:tcPr>
            <w:tcW w:w="100" w:type="dxa"/>
            <w:vAlign w:val="bottom"/>
            <w:shd w:val="clear" w:color="auto" w:fill="E6E7E8"/>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560" w:type="dxa"/>
            <w:vAlign w:val="bottom"/>
            <w:shd w:val="clear" w:color="auto" w:fill="231F20"/>
          </w:tcPr>
          <w:p>
            <w:pPr>
              <w:spacing w:after="0" w:line="20" w:lineRule="exact"/>
              <w:rPr>
                <w:sz w:val="1"/>
                <w:szCs w:val="1"/>
                <w:color w:val="auto"/>
              </w:rPr>
            </w:pPr>
          </w:p>
        </w:tc>
        <w:tc>
          <w:tcPr>
            <w:tcW w:w="180" w:type="dxa"/>
            <w:vAlign w:val="bottom"/>
            <w:shd w:val="clear" w:color="auto" w:fill="E6E7E8"/>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580" w:type="dxa"/>
            <w:vAlign w:val="bottom"/>
            <w:shd w:val="clear" w:color="auto" w:fill="231F20"/>
          </w:tcPr>
          <w:p>
            <w:pPr>
              <w:spacing w:after="0" w:line="20" w:lineRule="exact"/>
              <w:rPr>
                <w:sz w:val="1"/>
                <w:szCs w:val="1"/>
                <w:color w:val="auto"/>
              </w:rPr>
            </w:pPr>
          </w:p>
        </w:tc>
        <w:tc>
          <w:tcPr>
            <w:tcW w:w="180" w:type="dxa"/>
            <w:vAlign w:val="bottom"/>
            <w:shd w:val="clear" w:color="auto" w:fill="E6E7E8"/>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560" w:type="dxa"/>
            <w:vAlign w:val="bottom"/>
            <w:shd w:val="clear" w:color="auto" w:fill="231F20"/>
          </w:tcPr>
          <w:p>
            <w:pPr>
              <w:spacing w:after="0" w:line="20" w:lineRule="exact"/>
              <w:rPr>
                <w:sz w:val="1"/>
                <w:szCs w:val="1"/>
                <w:color w:val="auto"/>
              </w:rPr>
            </w:pPr>
          </w:p>
        </w:tc>
        <w:tc>
          <w:tcPr>
            <w:tcW w:w="200" w:type="dxa"/>
            <w:vAlign w:val="bottom"/>
            <w:tcBorders>
              <w:right w:val="single" w:sz="8" w:color="231F20"/>
            </w:tcBorders>
            <w:shd w:val="clear" w:color="auto" w:fill="E6E7E8"/>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520" w:type="dxa"/>
            <w:vAlign w:val="bottom"/>
            <w:shd w:val="clear" w:color="auto" w:fill="231F2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9"/>
                <w:szCs w:val="19"/>
                <w:color w:val="231F20"/>
                <w:shd w:val="clear" w:color="auto" w:fill="E6E7E8"/>
              </w:rPr>
              <w:t>(13.6)%</w:t>
            </w:r>
          </w:p>
        </w:tc>
        <w:tc>
          <w:tcPr>
            <w:tcW w:w="200" w:type="dxa"/>
            <w:vAlign w:val="bottom"/>
            <w:shd w:val="clear" w:color="auto" w:fill="231F20"/>
          </w:tcPr>
          <w:p>
            <w:pPr>
              <w:spacing w:after="0" w:line="20" w:lineRule="exact"/>
              <w:rPr>
                <w:sz w:val="1"/>
                <w:szCs w:val="1"/>
                <w:color w:val="auto"/>
              </w:rPr>
            </w:pPr>
          </w:p>
        </w:tc>
        <w:tc>
          <w:tcPr>
            <w:tcW w:w="500" w:type="dxa"/>
            <w:vAlign w:val="bottom"/>
            <w:shd w:val="clear" w:color="auto" w:fill="231F2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9"/>
                <w:szCs w:val="19"/>
                <w:color w:val="231F20"/>
                <w:shd w:val="clear" w:color="auto" w:fill="E6E7E8"/>
              </w:rPr>
              <w:t>(30.3)%</w:t>
            </w:r>
          </w:p>
        </w:tc>
        <w:tc>
          <w:tcPr>
            <w:tcW w:w="0" w:type="dxa"/>
            <w:vAlign w:val="bottom"/>
          </w:tcPr>
          <w:p>
            <w:pPr>
              <w:spacing w:after="0" w:line="20" w:lineRule="exact"/>
              <w:rPr>
                <w:sz w:val="1"/>
                <w:szCs w:val="1"/>
                <w:color w:val="auto"/>
              </w:rPr>
            </w:pPr>
          </w:p>
        </w:tc>
      </w:tr>
      <w:tr>
        <w:trPr>
          <w:trHeight w:val="213"/>
        </w:trPr>
        <w:tc>
          <w:tcPr>
            <w:tcW w:w="3300" w:type="dxa"/>
            <w:vAlign w:val="bottom"/>
            <w:vMerge w:val="continue"/>
            <w:shd w:val="clear" w:color="auto" w:fill="E6E7E8"/>
          </w:tcPr>
          <w:p>
            <w:pPr>
              <w:spacing w:after="0"/>
              <w:rPr>
                <w:sz w:val="18"/>
                <w:szCs w:val="18"/>
                <w:color w:val="auto"/>
              </w:rPr>
            </w:pPr>
          </w:p>
        </w:tc>
        <w:tc>
          <w:tcPr>
            <w:tcW w:w="100" w:type="dxa"/>
            <w:vAlign w:val="bottom"/>
            <w:shd w:val="clear" w:color="auto" w:fill="E6E7E8"/>
          </w:tcPr>
          <w:p>
            <w:pPr>
              <w:spacing w:after="0"/>
              <w:rPr>
                <w:sz w:val="18"/>
                <w:szCs w:val="18"/>
                <w:color w:val="auto"/>
              </w:rPr>
            </w:pPr>
          </w:p>
        </w:tc>
        <w:tc>
          <w:tcPr>
            <w:tcW w:w="140" w:type="dxa"/>
            <w:vAlign w:val="bottom"/>
            <w:shd w:val="clear" w:color="auto" w:fill="E6E7E8"/>
          </w:tcPr>
          <w:p>
            <w:pPr>
              <w:spacing w:after="0"/>
              <w:rPr>
                <w:sz w:val="18"/>
                <w:szCs w:val="18"/>
                <w:color w:val="auto"/>
              </w:rPr>
            </w:pPr>
          </w:p>
        </w:tc>
        <w:tc>
          <w:tcPr>
            <w:tcW w:w="560" w:type="dxa"/>
            <w:vAlign w:val="bottom"/>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121.8</w:t>
            </w:r>
          </w:p>
        </w:tc>
        <w:tc>
          <w:tcPr>
            <w:tcW w:w="180" w:type="dxa"/>
            <w:vAlign w:val="bottom"/>
            <w:shd w:val="clear" w:color="auto" w:fill="E6E7E8"/>
          </w:tcPr>
          <w:p>
            <w:pPr>
              <w:spacing w:after="0"/>
              <w:rPr>
                <w:sz w:val="18"/>
                <w:szCs w:val="18"/>
                <w:color w:val="auto"/>
              </w:rPr>
            </w:pPr>
          </w:p>
        </w:tc>
        <w:tc>
          <w:tcPr>
            <w:tcW w:w="140" w:type="dxa"/>
            <w:vAlign w:val="bottom"/>
            <w:shd w:val="clear" w:color="auto" w:fill="E6E7E8"/>
          </w:tcPr>
          <w:p>
            <w:pPr>
              <w:spacing w:after="0"/>
              <w:rPr>
                <w:sz w:val="18"/>
                <w:szCs w:val="18"/>
                <w:color w:val="auto"/>
              </w:rPr>
            </w:pPr>
          </w:p>
        </w:tc>
        <w:tc>
          <w:tcPr>
            <w:tcW w:w="580" w:type="dxa"/>
            <w:vAlign w:val="bottom"/>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141.0</w:t>
            </w:r>
          </w:p>
        </w:tc>
        <w:tc>
          <w:tcPr>
            <w:tcW w:w="180" w:type="dxa"/>
            <w:vAlign w:val="bottom"/>
            <w:shd w:val="clear" w:color="auto" w:fill="E6E7E8"/>
          </w:tcPr>
          <w:p>
            <w:pPr>
              <w:spacing w:after="0"/>
              <w:rPr>
                <w:sz w:val="18"/>
                <w:szCs w:val="18"/>
                <w:color w:val="auto"/>
              </w:rPr>
            </w:pPr>
          </w:p>
        </w:tc>
        <w:tc>
          <w:tcPr>
            <w:tcW w:w="140" w:type="dxa"/>
            <w:vAlign w:val="bottom"/>
            <w:shd w:val="clear" w:color="auto" w:fill="E6E7E8"/>
          </w:tcPr>
          <w:p>
            <w:pPr>
              <w:spacing w:after="0"/>
              <w:rPr>
                <w:sz w:val="18"/>
                <w:szCs w:val="18"/>
                <w:color w:val="auto"/>
              </w:rPr>
            </w:pPr>
          </w:p>
        </w:tc>
        <w:tc>
          <w:tcPr>
            <w:tcW w:w="560" w:type="dxa"/>
            <w:vAlign w:val="bottom"/>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202.4</w:t>
            </w:r>
          </w:p>
        </w:tc>
        <w:tc>
          <w:tcPr>
            <w:tcW w:w="200" w:type="dxa"/>
            <w:vAlign w:val="bottom"/>
            <w:tcBorders>
              <w:right w:val="single" w:sz="8" w:color="E6E7E8"/>
            </w:tcBorders>
            <w:shd w:val="clear" w:color="auto" w:fill="E6E7E8"/>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20"/>
              <w:spacing w:after="0" w:line="214" w:lineRule="exact"/>
              <w:rPr>
                <w:sz w:val="20"/>
                <w:szCs w:val="20"/>
                <w:color w:val="auto"/>
              </w:rPr>
            </w:pPr>
            <w:r>
              <w:rPr>
                <w:rFonts w:ascii="Times New Roman" w:cs="Times New Roman" w:eastAsia="Times New Roman" w:hAnsi="Times New Roman"/>
                <w:sz w:val="19"/>
                <w:szCs w:val="19"/>
                <w:color w:val="231F20"/>
              </w:rPr>
              <w:t>(19.2)</w:t>
            </w: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ind w:left="120"/>
              <w:spacing w:after="0" w:line="214" w:lineRule="exact"/>
              <w:rPr>
                <w:sz w:val="20"/>
                <w:szCs w:val="20"/>
                <w:color w:val="auto"/>
              </w:rPr>
            </w:pPr>
            <w:r>
              <w:rPr>
                <w:rFonts w:ascii="Times New Roman" w:cs="Times New Roman" w:eastAsia="Times New Roman" w:hAnsi="Times New Roman"/>
                <w:sz w:val="19"/>
                <w:szCs w:val="19"/>
                <w:color w:val="231F20"/>
              </w:rPr>
              <w:t>(61.4)</w:t>
            </w: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00" w:type="dxa"/>
            <w:vAlign w:val="bottom"/>
          </w:tcPr>
          <w:p>
            <w:pPr>
              <w:spacing w:after="0" w:line="214" w:lineRule="exact"/>
              <w:rPr>
                <w:sz w:val="20"/>
                <w:szCs w:val="20"/>
                <w:color w:val="auto"/>
              </w:rPr>
            </w:pPr>
            <w:r>
              <w:rPr>
                <w:rFonts w:ascii="Times New Roman" w:cs="Times New Roman" w:eastAsia="Times New Roman" w:hAnsi="Times New Roman"/>
                <w:sz w:val="19"/>
                <w:szCs w:val="19"/>
                <w:color w:val="231F20"/>
              </w:rPr>
              <w:t>Electric Adjusted Gross Margin</w:t>
            </w:r>
          </w:p>
        </w:tc>
        <w:tc>
          <w:tcPr>
            <w:tcW w:w="100" w:type="dxa"/>
            <w:vAlign w:val="bottom"/>
          </w:tcPr>
          <w:p>
            <w:pPr>
              <w:spacing w:after="0"/>
              <w:rPr>
                <w:sz w:val="18"/>
                <w:szCs w:val="18"/>
                <w:color w:val="auto"/>
              </w:rPr>
            </w:pPr>
          </w:p>
        </w:tc>
        <w:tc>
          <w:tcPr>
            <w:tcW w:w="140" w:type="dxa"/>
            <w:vAlign w:val="bottom"/>
            <w:tcBorders>
              <w:top w:val="single" w:sz="8" w:color="231F20"/>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w w:val="83"/>
              </w:rPr>
              <w:t>$</w:t>
            </w:r>
          </w:p>
        </w:tc>
        <w:tc>
          <w:tcPr>
            <w:tcW w:w="560" w:type="dxa"/>
            <w:vAlign w:val="bottom"/>
            <w:tcBorders>
              <w:top w:val="single" w:sz="8" w:color="231F20"/>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114.6</w:t>
            </w:r>
          </w:p>
        </w:tc>
        <w:tc>
          <w:tcPr>
            <w:tcW w:w="180" w:type="dxa"/>
            <w:vAlign w:val="bottom"/>
          </w:tcPr>
          <w:p>
            <w:pPr>
              <w:spacing w:after="0"/>
              <w:rPr>
                <w:sz w:val="18"/>
                <w:szCs w:val="18"/>
                <w:color w:val="auto"/>
              </w:rPr>
            </w:pPr>
          </w:p>
        </w:tc>
        <w:tc>
          <w:tcPr>
            <w:tcW w:w="140" w:type="dxa"/>
            <w:vAlign w:val="bottom"/>
            <w:tcBorders>
              <w:top w:val="single" w:sz="8" w:color="231F20"/>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w w:val="83"/>
              </w:rPr>
              <w:t>$</w:t>
            </w:r>
          </w:p>
        </w:tc>
        <w:tc>
          <w:tcPr>
            <w:tcW w:w="580" w:type="dxa"/>
            <w:vAlign w:val="bottom"/>
            <w:tcBorders>
              <w:top w:val="single" w:sz="8" w:color="231F20"/>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107.3</w:t>
            </w:r>
          </w:p>
        </w:tc>
        <w:tc>
          <w:tcPr>
            <w:tcW w:w="180" w:type="dxa"/>
            <w:vAlign w:val="bottom"/>
          </w:tcPr>
          <w:p>
            <w:pPr>
              <w:spacing w:after="0"/>
              <w:rPr>
                <w:sz w:val="18"/>
                <w:szCs w:val="18"/>
                <w:color w:val="auto"/>
              </w:rPr>
            </w:pPr>
          </w:p>
        </w:tc>
        <w:tc>
          <w:tcPr>
            <w:tcW w:w="1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560" w:type="dxa"/>
            <w:vAlign w:val="bottom"/>
            <w:tcBorders>
              <w:top w:val="single" w:sz="8" w:color="231F20"/>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104.1</w:t>
            </w:r>
          </w:p>
        </w:tc>
        <w:tc>
          <w:tcPr>
            <w:tcW w:w="200" w:type="dxa"/>
            <w:vAlign w:val="bottom"/>
          </w:tcPr>
          <w:p>
            <w:pPr>
              <w:spacing w:after="0"/>
              <w:rPr>
                <w:sz w:val="18"/>
                <w:szCs w:val="18"/>
                <w:color w:val="auto"/>
              </w:rPr>
            </w:pPr>
          </w:p>
        </w:tc>
        <w:tc>
          <w:tcPr>
            <w:tcW w:w="180" w:type="dxa"/>
            <w:vAlign w:val="bottom"/>
            <w:tcBorders>
              <w:top w:val="single" w:sz="8" w:color="231F20"/>
              <w:bottom w:val="single" w:sz="8" w:color="231F20"/>
            </w:tcBorders>
          </w:tcPr>
          <w:p>
            <w:pPr>
              <w:jc w:val="right"/>
              <w:ind w:right="16"/>
              <w:spacing w:after="0"/>
              <w:rPr>
                <w:sz w:val="20"/>
                <w:szCs w:val="20"/>
                <w:color w:val="auto"/>
              </w:rPr>
            </w:pPr>
            <w:r>
              <w:rPr>
                <w:rFonts w:ascii="Times New Roman" w:cs="Times New Roman" w:eastAsia="Times New Roman" w:hAnsi="Times New Roman"/>
                <w:sz w:val="17"/>
                <w:szCs w:val="17"/>
                <w:color w:val="231F20"/>
                <w:w w:val="70"/>
              </w:rPr>
              <w:t>$</w:t>
            </w:r>
          </w:p>
        </w:tc>
        <w:tc>
          <w:tcPr>
            <w:tcW w:w="520" w:type="dxa"/>
            <w:vAlign w:val="bottom"/>
            <w:tcBorders>
              <w:top w:val="single" w:sz="8" w:color="231F20"/>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7.3</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line="214" w:lineRule="exact"/>
              <w:rPr>
                <w:sz w:val="20"/>
                <w:szCs w:val="20"/>
                <w:color w:val="auto"/>
              </w:rPr>
            </w:pPr>
            <w:r>
              <w:rPr>
                <w:rFonts w:ascii="Times New Roman" w:cs="Times New Roman" w:eastAsia="Times New Roman" w:hAnsi="Times New Roman"/>
                <w:sz w:val="19"/>
                <w:szCs w:val="19"/>
                <w:color w:val="231F20"/>
              </w:rPr>
              <w:t>6.8%</w:t>
            </w:r>
          </w:p>
        </w:tc>
        <w:tc>
          <w:tcPr>
            <w:tcW w:w="200" w:type="dxa"/>
            <w:vAlign w:val="bottom"/>
            <w:tcBorders>
              <w:top w:val="single" w:sz="8" w:color="231F20"/>
              <w:bottom w:val="single" w:sz="8" w:color="231F20"/>
            </w:tcBorders>
          </w:tcPr>
          <w:p>
            <w:pPr>
              <w:jc w:val="right"/>
              <w:ind w:right="5"/>
              <w:spacing w:after="0" w:line="214" w:lineRule="exact"/>
              <w:rPr>
                <w:sz w:val="20"/>
                <w:szCs w:val="20"/>
                <w:color w:val="auto"/>
              </w:rPr>
            </w:pPr>
            <w:r>
              <w:rPr>
                <w:rFonts w:ascii="Times New Roman" w:cs="Times New Roman" w:eastAsia="Times New Roman" w:hAnsi="Times New Roman"/>
                <w:sz w:val="19"/>
                <w:szCs w:val="19"/>
                <w:color w:val="231F20"/>
                <w:w w:val="83"/>
              </w:rPr>
              <w:t>$</w:t>
            </w:r>
          </w:p>
        </w:tc>
        <w:tc>
          <w:tcPr>
            <w:tcW w:w="500" w:type="dxa"/>
            <w:vAlign w:val="bottom"/>
            <w:tcBorders>
              <w:top w:val="single" w:sz="8" w:color="231F20"/>
              <w:bottom w:val="single" w:sz="8" w:color="231F20"/>
            </w:tcBorders>
          </w:tcPr>
          <w:p>
            <w:pPr>
              <w:ind w:left="260"/>
              <w:spacing w:after="0" w:line="214" w:lineRule="exact"/>
              <w:rPr>
                <w:sz w:val="20"/>
                <w:szCs w:val="20"/>
                <w:color w:val="auto"/>
              </w:rPr>
            </w:pPr>
            <w:r>
              <w:rPr>
                <w:rFonts w:ascii="Times New Roman" w:cs="Times New Roman" w:eastAsia="Times New Roman" w:hAnsi="Times New Roman"/>
                <w:sz w:val="19"/>
                <w:szCs w:val="19"/>
                <w:color w:val="231F20"/>
                <w:w w:val="92"/>
              </w:rPr>
              <w:t>3.2</w:t>
            </w:r>
          </w:p>
        </w:tc>
        <w:tc>
          <w:tcPr>
            <w:tcW w:w="180" w:type="dxa"/>
            <w:vAlign w:val="bottom"/>
          </w:tcPr>
          <w:p>
            <w:pPr>
              <w:spacing w:after="0"/>
              <w:rPr>
                <w:sz w:val="18"/>
                <w:szCs w:val="18"/>
                <w:color w:val="auto"/>
              </w:rPr>
            </w:pPr>
          </w:p>
        </w:tc>
        <w:tc>
          <w:tcPr>
            <w:tcW w:w="900" w:type="dxa"/>
            <w:vAlign w:val="bottom"/>
            <w:gridSpan w:val="2"/>
          </w:tcPr>
          <w:p>
            <w:pPr>
              <w:jc w:val="right"/>
              <w:ind w:right="120"/>
              <w:spacing w:after="0" w:line="214" w:lineRule="exact"/>
              <w:rPr>
                <w:sz w:val="20"/>
                <w:szCs w:val="20"/>
                <w:color w:val="auto"/>
              </w:rPr>
            </w:pPr>
            <w:r>
              <w:rPr>
                <w:rFonts w:ascii="Times New Roman" w:cs="Times New Roman" w:eastAsia="Times New Roman" w:hAnsi="Times New Roman"/>
                <w:sz w:val="19"/>
                <w:szCs w:val="19"/>
                <w:color w:val="231F20"/>
              </w:rPr>
              <w:t>3.1%</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5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4192905</wp:posOffset>
                </wp:positionH>
                <wp:positionV relativeFrom="paragraph">
                  <wp:posOffset>-314960</wp:posOffset>
                </wp:positionV>
                <wp:extent cx="450850" cy="13843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0850" cy="138430"/>
                        </a:xfrm>
                        <a:prstGeom prst="rect">
                          <a:avLst/>
                        </a:prstGeom>
                        <a:solidFill>
                          <a:srgbClr val="E6E7E8"/>
                        </a:solidFill>
                      </wps:spPr>
                      <wps:bodyPr/>
                    </wps:wsp>
                  </a:graphicData>
                </a:graphic>
              </wp:anchor>
            </w:drawing>
          </mc:Choice>
          <mc:Fallback>
            <w:pict>
              <v:rect id="Shape 43" o:spid="_x0000_s1068" style="position:absolute;margin-left:330.15pt;margin-top:-24.7999pt;width:35.5pt;height:10.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5382260</wp:posOffset>
                </wp:positionH>
                <wp:positionV relativeFrom="paragraph">
                  <wp:posOffset>-314960</wp:posOffset>
                </wp:positionV>
                <wp:extent cx="450850" cy="13843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0850" cy="138430"/>
                        </a:xfrm>
                        <a:prstGeom prst="rect">
                          <a:avLst/>
                        </a:prstGeom>
                        <a:solidFill>
                          <a:srgbClr val="E6E7E8"/>
                        </a:solidFill>
                      </wps:spPr>
                      <wps:bodyPr/>
                    </wps:wsp>
                  </a:graphicData>
                </a:graphic>
              </wp:anchor>
            </w:drawing>
          </mc:Choice>
          <mc:Fallback>
            <w:pict>
              <v:rect id="Shape 44" o:spid="_x0000_s1069" style="position:absolute;margin-left:423.8pt;margin-top:-24.7999pt;width:35.5pt;height:10.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w:drawing>
          <wp:anchor simplePos="0" relativeHeight="251657728" behindDoc="1" locked="0" layoutInCell="0" allowOverlap="1">
            <wp:simplePos x="0" y="0"/>
            <wp:positionH relativeFrom="column">
              <wp:posOffset>4173855</wp:posOffset>
            </wp:positionH>
            <wp:positionV relativeFrom="paragraph">
              <wp:posOffset>-1282065</wp:posOffset>
            </wp:positionV>
            <wp:extent cx="218821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1">
                      <a:extLst>
                        <a:ext uri="{28A0092B-C50C-407E-A947-70E740481C1C}"/>
                      </a:extLst>
                    </a:blip>
                    <a:srcRect/>
                    <a:stretch>
                      <a:fillRect/>
                    </a:stretch>
                  </pic:blipFill>
                  <pic:spPr bwMode="auto">
                    <a:xfrm>
                      <a:off x="0" y="0"/>
                      <a:ext cx="2188210" cy="38100"/>
                    </a:xfrm>
                    <a:prstGeom prst="rect">
                      <a:avLst/>
                    </a:prstGeom>
                    <a:noFill/>
                  </pic:spPr>
                </pic:pic>
              </a:graphicData>
            </a:graphic>
          </wp:anchor>
        </w:drawing>
      </w:r>
    </w:p>
    <w:p>
      <w:pPr>
        <w:sectPr>
          <w:pgSz w:w="12240" w:h="15840" w:orient="portrait"/>
          <w:cols w:equalWidth="0" w:num="1">
            <w:col w:w="10800"/>
          </w:cols>
          <w:pgMar w:left="720" w:top="928" w:right="72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26</w:t>
      </w:r>
    </w:p>
    <w:p>
      <w:pPr>
        <w:sectPr>
          <w:pgSz w:w="12240" w:h="15840" w:orient="portrait"/>
          <w:cols w:equalWidth="0" w:num="1">
            <w:col w:w="10800"/>
          </w:cols>
          <w:pgMar w:left="720" w:top="928" w:right="720" w:bottom="188" w:gutter="0" w:footer="0" w:header="0"/>
          <w:type w:val="continuous"/>
        </w:sectPr>
      </w:pPr>
    </w:p>
    <w:bookmarkStart w:id="46" w:name="page47"/>
    <w:bookmarkEnd w:id="46"/>
    <w:p>
      <w:pPr>
        <w:ind w:right="40" w:firstLine="612"/>
        <w:spacing w:after="0" w:line="278" w:lineRule="auto"/>
        <w:rPr>
          <w:sz w:val="20"/>
          <w:szCs w:val="20"/>
          <w:color w:val="auto"/>
        </w:rPr>
      </w:pPr>
      <w:r>
        <w:rPr>
          <w:rFonts w:ascii="Times New Roman" w:cs="Times New Roman" w:eastAsia="Times New Roman" w:hAnsi="Times New Roman"/>
          <w:sz w:val="20"/>
          <w:szCs w:val="20"/>
          <w:color w:val="231F20"/>
        </w:rPr>
        <w:t>The decrease in Total Electric Operating Revenue of $11.9 million, or 4.8%, in 2025 compared to 2024 reflects lower costs of electric sales due to the increase in the amount of electricity purchased by customers directly from third-party suppliers, which are tracked and reconciled costs as a pass-through to customers, partially offset by higher electric distribution rates.</w:t>
      </w:r>
    </w:p>
    <w:p>
      <w:pPr>
        <w:spacing w:after="0" w:line="165" w:lineRule="exact"/>
        <w:rPr>
          <w:sz w:val="20"/>
          <w:szCs w:val="20"/>
          <w:color w:val="auto"/>
        </w:rPr>
      </w:pPr>
    </w:p>
    <w:p>
      <w:pPr>
        <w:ind w:right="660" w:firstLine="612"/>
        <w:spacing w:after="0" w:line="279" w:lineRule="auto"/>
        <w:rPr>
          <w:sz w:val="20"/>
          <w:szCs w:val="20"/>
          <w:color w:val="auto"/>
        </w:rPr>
      </w:pPr>
      <w:r>
        <w:rPr>
          <w:rFonts w:ascii="Times New Roman" w:cs="Times New Roman" w:eastAsia="Times New Roman" w:hAnsi="Times New Roman"/>
          <w:sz w:val="21"/>
          <w:szCs w:val="21"/>
          <w:color w:val="231F20"/>
        </w:rPr>
        <w:t>Electric GAAP Gross Margin is discussed above in the section entitled “Use of GAAP and Non-GAAP Financial Measures”.</w:t>
      </w:r>
    </w:p>
    <w:p>
      <w:pPr>
        <w:spacing w:after="0" w:line="162" w:lineRule="exact"/>
        <w:rPr>
          <w:sz w:val="20"/>
          <w:szCs w:val="20"/>
          <w:color w:val="auto"/>
        </w:rPr>
      </w:pPr>
    </w:p>
    <w:p>
      <w:pPr>
        <w:ind w:right="620" w:firstLine="612"/>
        <w:spacing w:after="0" w:line="279" w:lineRule="auto"/>
        <w:rPr>
          <w:sz w:val="20"/>
          <w:szCs w:val="20"/>
          <w:color w:val="auto"/>
        </w:rPr>
      </w:pPr>
      <w:r>
        <w:rPr>
          <w:rFonts w:ascii="Times New Roman" w:cs="Times New Roman" w:eastAsia="Times New Roman" w:hAnsi="Times New Roman"/>
          <w:sz w:val="21"/>
          <w:szCs w:val="21"/>
          <w:color w:val="231F20"/>
        </w:rPr>
        <w:t>Electric Adjusted Gross Margin (a non-GAAP financial measure) was $114.6 million in 2025, an increase of $7.3 million compared with 2024. The increase was driven by higher rates and customer growth.</w:t>
      </w:r>
    </w:p>
    <w:p>
      <w:pPr>
        <w:spacing w:after="0" w:line="162" w:lineRule="exact"/>
        <w:rPr>
          <w:sz w:val="20"/>
          <w:szCs w:val="20"/>
          <w:color w:val="auto"/>
        </w:rPr>
      </w:pPr>
    </w:p>
    <w:p>
      <w:pPr>
        <w:jc w:val="both"/>
        <w:ind w:right="180" w:firstLine="612"/>
        <w:spacing w:after="0" w:line="259" w:lineRule="auto"/>
        <w:rPr>
          <w:sz w:val="20"/>
          <w:szCs w:val="20"/>
          <w:color w:val="auto"/>
        </w:rPr>
      </w:pPr>
      <w:r>
        <w:rPr>
          <w:rFonts w:ascii="Times New Roman" w:cs="Times New Roman" w:eastAsia="Times New Roman" w:hAnsi="Times New Roman"/>
          <w:sz w:val="21"/>
          <w:szCs w:val="21"/>
          <w:color w:val="231F20"/>
        </w:rPr>
        <w:t>The decrease in Total Electric Operating Revenue of $58.2 million, or 19.0%, in 2024 compared to 2023 reflects lower costs of electric sales, which are tracked and reconciled costs as a pass-through to customers, partially offset by higher electric distribution rates.</w:t>
      </w:r>
    </w:p>
    <w:p>
      <w:pPr>
        <w:spacing w:after="0" w:line="183" w:lineRule="exact"/>
        <w:rPr>
          <w:sz w:val="20"/>
          <w:szCs w:val="20"/>
          <w:color w:val="auto"/>
        </w:rPr>
      </w:pPr>
    </w:p>
    <w:p>
      <w:pPr>
        <w:ind w:right="620" w:firstLine="612"/>
        <w:spacing w:after="0" w:line="279" w:lineRule="auto"/>
        <w:rPr>
          <w:sz w:val="20"/>
          <w:szCs w:val="20"/>
          <w:color w:val="auto"/>
        </w:rPr>
      </w:pPr>
      <w:r>
        <w:rPr>
          <w:rFonts w:ascii="Times New Roman" w:cs="Times New Roman" w:eastAsia="Times New Roman" w:hAnsi="Times New Roman"/>
          <w:sz w:val="21"/>
          <w:szCs w:val="21"/>
          <w:color w:val="231F20"/>
        </w:rPr>
        <w:t>Electric Adjusted Gross Margin (a non-GAAP financial measure) was $107.3 million in 2024, an increase of $3.2 million compared with 2023. The increase was driven by higher rates and customer growth.</w:t>
      </w:r>
    </w:p>
    <w:p>
      <w:pPr>
        <w:spacing w:after="0" w:line="158"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21"/>
          <w:szCs w:val="21"/>
          <w:b w:val="1"/>
          <w:bCs w:val="1"/>
          <w:color w:val="231F20"/>
        </w:rPr>
        <w:t>Kilowatt-hour Sales—</w:t>
      </w:r>
      <w:r>
        <w:rPr>
          <w:rFonts w:ascii="Times New Roman" w:cs="Times New Roman" w:eastAsia="Times New Roman" w:hAnsi="Times New Roman"/>
          <w:sz w:val="21"/>
          <w:szCs w:val="21"/>
          <w:color w:val="231F20"/>
        </w:rPr>
        <w:t>Unitil’s total electric kilowatt-hour (kWh) sales decreased 0.6% in 2025 compared to 2024. Sales</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to Residential customers increased 4.1% reflecting colder weather for heating purposes in the first and fourth quarter of 2025 compared to the same periods in 2024 and customer growth, partially offset by cooler weather for cooling purposes in the third quarter of 2025 compared to the same period in 2024. Sales to C&amp;I customers decreased 4.0% in 2025 compared to 2024, reflecting the loss of a large industrial customer in the Fitchburg area in 2025, partially offset by customer growth. Based on weather data collected in the Company’s electric service areas, on average there were 13.7% more Heating Degree days and</w:t>
      </w:r>
    </w:p>
    <w:p>
      <w:pPr>
        <w:spacing w:after="0" w:line="4"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21"/>
          <w:szCs w:val="21"/>
          <w:color w:val="231F20"/>
        </w:rPr>
        <w:t>6.6% less Cooling Degree Days in 2025 compared to 2024. As of December 31, 2025, the number of electric customers served increased by approximately 610 over the previous year. Sales margins derived from decoupled unit sales are not sensitive to changes in electric kWh sales, although those sales margins are sensitive to changes in the number of customers served. Substantially all of the Company's electric kWh sales volumes are decoupled.</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231F20"/>
        </w:rPr>
        <w:t>Unitil’s total electric kWh sales increased 1.3% in 2024 compared to 2023. Sales to Residential customers increased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231F20"/>
        </w:rPr>
        <w:t>1.6% and sales to C&amp;I customers increased 1.1% in 2024 compared to 2023, reflecting warmer weather for cooling purposes in</w:t>
      </w:r>
    </w:p>
    <w:p>
      <w:pPr>
        <w:spacing w:after="0"/>
        <w:rPr>
          <w:sz w:val="20"/>
          <w:szCs w:val="20"/>
          <w:color w:val="auto"/>
        </w:rPr>
      </w:pPr>
      <w:r>
        <w:rPr>
          <w:rFonts w:ascii="Times New Roman" w:cs="Times New Roman" w:eastAsia="Times New Roman" w:hAnsi="Times New Roman"/>
          <w:sz w:val="21"/>
          <w:szCs w:val="21"/>
          <w:color w:val="231F20"/>
        </w:rPr>
        <w:t>the second quarter of 2024 compared to the same period in 2023, and customer growth. Based on weather data collected in the</w:t>
      </w:r>
    </w:p>
    <w:p>
      <w:pPr>
        <w:spacing w:after="0"/>
        <w:rPr>
          <w:sz w:val="20"/>
          <w:szCs w:val="20"/>
          <w:color w:val="auto"/>
        </w:rPr>
      </w:pPr>
      <w:r>
        <w:rPr>
          <w:rFonts w:ascii="Times New Roman" w:cs="Times New Roman" w:eastAsia="Times New Roman" w:hAnsi="Times New Roman"/>
          <w:sz w:val="21"/>
          <w:szCs w:val="21"/>
          <w:color w:val="231F20"/>
        </w:rPr>
        <w:t>Company’s electric service areas, on average there were 12.2% more Cooling Degree Days in 2024 compared to 2023. As of</w:t>
      </w:r>
    </w:p>
    <w:p>
      <w:pPr>
        <w:spacing w:after="0"/>
        <w:rPr>
          <w:sz w:val="20"/>
          <w:szCs w:val="20"/>
          <w:color w:val="auto"/>
        </w:rPr>
      </w:pPr>
      <w:r>
        <w:rPr>
          <w:rFonts w:ascii="Times New Roman" w:cs="Times New Roman" w:eastAsia="Times New Roman" w:hAnsi="Times New Roman"/>
          <w:sz w:val="21"/>
          <w:szCs w:val="21"/>
          <w:color w:val="231F20"/>
        </w:rPr>
        <w:t>December 31, 2024, the number of electric customers served increased by approximately 990 over the previous year.</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231F20"/>
        </w:rPr>
        <w:t>The following table details total kWh sales for the last three years by major customer class:</w:t>
      </w:r>
    </w:p>
    <w:p>
      <w:pPr>
        <w:spacing w:after="0" w:line="278" w:lineRule="exact"/>
        <w:rPr>
          <w:sz w:val="20"/>
          <w:szCs w:val="20"/>
          <w:color w:val="auto"/>
        </w:rPr>
      </w:pPr>
    </w:p>
    <w:tbl>
      <w:tblPr>
        <w:tblLayout w:type="fixed"/>
        <w:tblInd w:w="540" w:type="dxa"/>
        <w:tblCellMar>
          <w:top w:w="0" w:type="dxa"/>
          <w:left w:w="0" w:type="dxa"/>
          <w:bottom w:w="0" w:type="dxa"/>
          <w:right w:w="0" w:type="dxa"/>
        </w:tblCellMar>
      </w:tblPr>
      <w:tr>
        <w:trPr>
          <w:trHeight w:val="199"/>
        </w:trPr>
        <w:tc>
          <w:tcPr>
            <w:tcW w:w="1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ind w:left="500"/>
              <w:spacing w:after="0"/>
              <w:rPr>
                <w:sz w:val="20"/>
                <w:szCs w:val="20"/>
                <w:color w:val="auto"/>
              </w:rPr>
            </w:pPr>
            <w:r>
              <w:rPr>
                <w:rFonts w:ascii="Times New Roman" w:cs="Times New Roman" w:eastAsia="Times New Roman" w:hAnsi="Times New Roman"/>
                <w:sz w:val="16"/>
                <w:szCs w:val="16"/>
                <w:b w:val="1"/>
                <w:bCs w:val="1"/>
                <w:color w:val="231F20"/>
              </w:rPr>
              <w:t>Change</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w w:val="99"/>
              </w:rPr>
              <w:t>kWh Sales (millions)</w:t>
            </w:r>
          </w:p>
        </w:tc>
        <w:tc>
          <w:tcPr>
            <w:tcW w:w="2020" w:type="dxa"/>
            <w:vAlign w:val="bottom"/>
            <w:vMerge w:val="restart"/>
          </w:tcPr>
          <w:p>
            <w:pPr>
              <w:spacing w:after="0"/>
              <w:rPr>
                <w:sz w:val="17"/>
                <w:szCs w:val="17"/>
                <w:color w:val="auto"/>
              </w:rPr>
            </w:pPr>
          </w:p>
        </w:tc>
        <w:tc>
          <w:tcPr>
            <w:tcW w:w="740" w:type="dxa"/>
            <w:vAlign w:val="bottom"/>
            <w:vMerge w:val="restart"/>
          </w:tcPr>
          <w:p>
            <w:pPr>
              <w:jc w:val="right"/>
              <w:ind w:right="129"/>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0" w:type="dxa"/>
            <w:vAlign w:val="bottom"/>
            <w:vMerge w:val="restart"/>
          </w:tcPr>
          <w:p>
            <w:pPr>
              <w:spacing w:after="0"/>
              <w:rPr>
                <w:sz w:val="17"/>
                <w:szCs w:val="17"/>
                <w:color w:val="auto"/>
              </w:rPr>
            </w:pPr>
          </w:p>
        </w:tc>
        <w:tc>
          <w:tcPr>
            <w:tcW w:w="160" w:type="dxa"/>
            <w:vAlign w:val="bottom"/>
            <w:vMerge w:val="restart"/>
          </w:tcPr>
          <w:p>
            <w:pPr>
              <w:spacing w:after="0"/>
              <w:rPr>
                <w:sz w:val="17"/>
                <w:szCs w:val="17"/>
                <w:color w:val="auto"/>
              </w:rPr>
            </w:pPr>
          </w:p>
        </w:tc>
        <w:tc>
          <w:tcPr>
            <w:tcW w:w="720" w:type="dxa"/>
            <w:vAlign w:val="bottom"/>
            <w:vMerge w:val="restart"/>
          </w:tcPr>
          <w:p>
            <w:pPr>
              <w:jc w:val="right"/>
              <w:ind w:right="109"/>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80" w:type="dxa"/>
            <w:vAlign w:val="bottom"/>
          </w:tcPr>
          <w:p>
            <w:pPr>
              <w:spacing w:after="0"/>
              <w:rPr>
                <w:sz w:val="17"/>
                <w:szCs w:val="17"/>
                <w:color w:val="auto"/>
              </w:rPr>
            </w:pPr>
          </w:p>
        </w:tc>
        <w:tc>
          <w:tcPr>
            <w:tcW w:w="740" w:type="dxa"/>
            <w:vAlign w:val="bottom"/>
            <w:vMerge w:val="restart"/>
          </w:tcPr>
          <w:p>
            <w:pPr>
              <w:jc w:val="right"/>
              <w:ind w:right="109"/>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80" w:type="dxa"/>
            <w:vAlign w:val="bottom"/>
          </w:tcPr>
          <w:p>
            <w:pPr>
              <w:spacing w:after="0"/>
              <w:rPr>
                <w:sz w:val="17"/>
                <w:szCs w:val="17"/>
                <w:color w:val="auto"/>
              </w:rPr>
            </w:pPr>
          </w:p>
        </w:tc>
        <w:tc>
          <w:tcPr>
            <w:tcW w:w="198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231F20"/>
              </w:rPr>
              <w:t>2025 vs. 2024</w:t>
            </w:r>
          </w:p>
        </w:tc>
        <w:tc>
          <w:tcPr>
            <w:tcW w:w="1560" w:type="dxa"/>
            <w:vAlign w:val="bottom"/>
            <w:gridSpan w:val="4"/>
          </w:tcPr>
          <w:p>
            <w:pPr>
              <w:jc w:val="right"/>
              <w:ind w:right="500"/>
              <w:spacing w:after="0"/>
              <w:rPr>
                <w:sz w:val="20"/>
                <w:szCs w:val="20"/>
                <w:color w:val="auto"/>
              </w:rPr>
            </w:pPr>
            <w:r>
              <w:rPr>
                <w:rFonts w:ascii="Times New Roman" w:cs="Times New Roman" w:eastAsia="Times New Roman" w:hAnsi="Times New Roman"/>
                <w:sz w:val="16"/>
                <w:szCs w:val="16"/>
                <w:b w:val="1"/>
                <w:bCs w:val="1"/>
                <w:color w:val="231F20"/>
              </w:rPr>
              <w:t>2024 vs. 2023</w:t>
            </w:r>
          </w:p>
        </w:tc>
        <w:tc>
          <w:tcPr>
            <w:tcW w:w="0" w:type="dxa"/>
            <w:vAlign w:val="bottom"/>
          </w:tcPr>
          <w:p>
            <w:pPr>
              <w:spacing w:after="0"/>
              <w:rPr>
                <w:sz w:val="1"/>
                <w:szCs w:val="1"/>
                <w:color w:val="auto"/>
              </w:rPr>
            </w:pPr>
          </w:p>
        </w:tc>
      </w:tr>
      <w:tr>
        <w:trPr>
          <w:trHeight w:val="189"/>
        </w:trPr>
        <w:tc>
          <w:tcPr>
            <w:tcW w:w="1420" w:type="dxa"/>
            <w:vAlign w:val="bottom"/>
            <w:tcBorders>
              <w:bottom w:val="single" w:sz="8" w:color="231F20"/>
            </w:tcBorders>
            <w:vMerge w:val="continue"/>
          </w:tcPr>
          <w:p>
            <w:pPr>
              <w:spacing w:after="0"/>
              <w:rPr>
                <w:sz w:val="16"/>
                <w:szCs w:val="16"/>
                <w:color w:val="auto"/>
              </w:rPr>
            </w:pPr>
          </w:p>
        </w:tc>
        <w:tc>
          <w:tcPr>
            <w:tcW w:w="2020" w:type="dxa"/>
            <w:vAlign w:val="bottom"/>
            <w:tcBorders>
              <w:bottom w:val="single" w:sz="8" w:color="E6E7E8"/>
            </w:tcBorders>
            <w:vMerge w:val="continue"/>
          </w:tcPr>
          <w:p>
            <w:pPr>
              <w:spacing w:after="0"/>
              <w:rPr>
                <w:sz w:val="16"/>
                <w:szCs w:val="16"/>
                <w:color w:val="auto"/>
              </w:rPr>
            </w:pPr>
          </w:p>
        </w:tc>
        <w:tc>
          <w:tcPr>
            <w:tcW w:w="740" w:type="dxa"/>
            <w:vAlign w:val="bottom"/>
            <w:tcBorders>
              <w:bottom w:val="single" w:sz="8" w:color="231F20"/>
            </w:tcBorders>
            <w:vMerge w:val="continue"/>
          </w:tcPr>
          <w:p>
            <w:pPr>
              <w:spacing w:after="0"/>
              <w:rPr>
                <w:sz w:val="16"/>
                <w:szCs w:val="16"/>
                <w:color w:val="auto"/>
              </w:rPr>
            </w:pPr>
          </w:p>
        </w:tc>
        <w:tc>
          <w:tcPr>
            <w:tcW w:w="20" w:type="dxa"/>
            <w:vAlign w:val="bottom"/>
            <w:tcBorders>
              <w:bottom w:val="single" w:sz="8" w:color="231F20"/>
            </w:tcBorders>
            <w:vMerge w:val="continue"/>
          </w:tcPr>
          <w:p>
            <w:pPr>
              <w:spacing w:after="0"/>
              <w:rPr>
                <w:sz w:val="16"/>
                <w:szCs w:val="16"/>
                <w:color w:val="auto"/>
              </w:rPr>
            </w:pPr>
          </w:p>
        </w:tc>
        <w:tc>
          <w:tcPr>
            <w:tcW w:w="160" w:type="dxa"/>
            <w:vAlign w:val="bottom"/>
            <w:tcBorders>
              <w:bottom w:val="single" w:sz="8" w:color="E6E7E8"/>
            </w:tcBorders>
            <w:vMerge w:val="continue"/>
          </w:tcPr>
          <w:p>
            <w:pPr>
              <w:spacing w:after="0"/>
              <w:rPr>
                <w:sz w:val="16"/>
                <w:szCs w:val="16"/>
                <w:color w:val="auto"/>
              </w:rPr>
            </w:pPr>
          </w:p>
        </w:tc>
        <w:tc>
          <w:tcPr>
            <w:tcW w:w="720" w:type="dxa"/>
            <w:vAlign w:val="bottom"/>
            <w:tcBorders>
              <w:bottom w:val="single" w:sz="8" w:color="231F20"/>
            </w:tcBorders>
            <w:vMerge w:val="continue"/>
          </w:tcPr>
          <w:p>
            <w:pPr>
              <w:spacing w:after="0"/>
              <w:rPr>
                <w:sz w:val="16"/>
                <w:szCs w:val="16"/>
                <w:color w:val="auto"/>
              </w:rPr>
            </w:pPr>
          </w:p>
        </w:tc>
        <w:tc>
          <w:tcPr>
            <w:tcW w:w="180" w:type="dxa"/>
            <w:vAlign w:val="bottom"/>
            <w:tcBorders>
              <w:bottom w:val="single" w:sz="8" w:color="E6E7E8"/>
            </w:tcBorders>
          </w:tcPr>
          <w:p>
            <w:pPr>
              <w:spacing w:after="0"/>
              <w:rPr>
                <w:sz w:val="16"/>
                <w:szCs w:val="16"/>
                <w:color w:val="auto"/>
              </w:rPr>
            </w:pPr>
          </w:p>
        </w:tc>
        <w:tc>
          <w:tcPr>
            <w:tcW w:w="740" w:type="dxa"/>
            <w:vAlign w:val="bottom"/>
            <w:tcBorders>
              <w:bottom w:val="single" w:sz="8" w:color="231F20"/>
            </w:tcBorders>
            <w:vMerge w:val="continue"/>
          </w:tcPr>
          <w:p>
            <w:pPr>
              <w:spacing w:after="0"/>
              <w:rPr>
                <w:sz w:val="16"/>
                <w:szCs w:val="16"/>
                <w:color w:val="auto"/>
              </w:rPr>
            </w:pPr>
          </w:p>
        </w:tc>
        <w:tc>
          <w:tcPr>
            <w:tcW w:w="180" w:type="dxa"/>
            <w:vAlign w:val="bottom"/>
            <w:tcBorders>
              <w:bottom w:val="single" w:sz="8" w:color="E6E7E8"/>
            </w:tcBorders>
          </w:tcPr>
          <w:p>
            <w:pPr>
              <w:spacing w:after="0"/>
              <w:rPr>
                <w:sz w:val="16"/>
                <w:szCs w:val="16"/>
                <w:color w:val="auto"/>
              </w:rPr>
            </w:pPr>
          </w:p>
        </w:tc>
        <w:tc>
          <w:tcPr>
            <w:tcW w:w="720" w:type="dxa"/>
            <w:vAlign w:val="bottom"/>
            <w:tcBorders>
              <w:top w:val="single" w:sz="8" w:color="231F20"/>
              <w:bottom w:val="single" w:sz="8" w:color="231F20"/>
            </w:tcBorders>
          </w:tcPr>
          <w:p>
            <w:pPr>
              <w:jc w:val="right"/>
              <w:ind w:right="91"/>
              <w:spacing w:after="0" w:line="169" w:lineRule="exact"/>
              <w:rPr>
                <w:sz w:val="20"/>
                <w:szCs w:val="20"/>
                <w:color w:val="auto"/>
              </w:rPr>
            </w:pPr>
            <w:r>
              <w:rPr>
                <w:rFonts w:ascii="Times New Roman" w:cs="Times New Roman" w:eastAsia="Times New Roman" w:hAnsi="Times New Roman"/>
                <w:sz w:val="16"/>
                <w:szCs w:val="16"/>
                <w:b w:val="1"/>
                <w:bCs w:val="1"/>
                <w:color w:val="231F20"/>
              </w:rPr>
              <w:t>kWh</w:t>
            </w:r>
          </w:p>
        </w:tc>
        <w:tc>
          <w:tcPr>
            <w:tcW w:w="180" w:type="dxa"/>
            <w:vAlign w:val="bottom"/>
            <w:tcBorders>
              <w:top w:val="single" w:sz="8" w:color="231F20"/>
              <w:bottom w:val="single" w:sz="8" w:color="E6E7E8"/>
            </w:tcBorders>
          </w:tcPr>
          <w:p>
            <w:pPr>
              <w:spacing w:after="0"/>
              <w:rPr>
                <w:sz w:val="16"/>
                <w:szCs w:val="16"/>
                <w:color w:val="auto"/>
              </w:rPr>
            </w:pPr>
          </w:p>
        </w:tc>
        <w:tc>
          <w:tcPr>
            <w:tcW w:w="580" w:type="dxa"/>
            <w:vAlign w:val="bottom"/>
            <w:tcBorders>
              <w:top w:val="single" w:sz="8" w:color="231F20"/>
              <w:bottom w:val="single" w:sz="8" w:color="231F20"/>
            </w:tcBorders>
          </w:tcPr>
          <w:p>
            <w:pPr>
              <w:jc w:val="right"/>
              <w:ind w:right="111"/>
              <w:spacing w:after="0" w:line="169" w:lineRule="exact"/>
              <w:rPr>
                <w:sz w:val="20"/>
                <w:szCs w:val="20"/>
                <w:color w:val="auto"/>
              </w:rPr>
            </w:pPr>
            <w:r>
              <w:rPr>
                <w:rFonts w:ascii="Times New Roman" w:cs="Times New Roman" w:eastAsia="Times New Roman" w:hAnsi="Times New Roman"/>
                <w:sz w:val="16"/>
                <w:szCs w:val="16"/>
                <w:b w:val="1"/>
                <w:bCs w:val="1"/>
                <w:color w:val="231F20"/>
              </w:rPr>
              <w:t>%</w:t>
            </w:r>
          </w:p>
        </w:tc>
        <w:tc>
          <w:tcPr>
            <w:tcW w:w="380" w:type="dxa"/>
            <w:vAlign w:val="bottom"/>
          </w:tcPr>
          <w:p>
            <w:pPr>
              <w:spacing w:after="0"/>
              <w:rPr>
                <w:sz w:val="16"/>
                <w:szCs w:val="16"/>
                <w:color w:val="auto"/>
              </w:rPr>
            </w:pPr>
          </w:p>
        </w:tc>
        <w:tc>
          <w:tcPr>
            <w:tcW w:w="120" w:type="dxa"/>
            <w:vAlign w:val="bottom"/>
            <w:tcBorders>
              <w:top w:val="single" w:sz="8" w:color="231F20"/>
              <w:bottom w:val="single" w:sz="8" w:color="231F20"/>
            </w:tcBorders>
          </w:tcPr>
          <w:p>
            <w:pPr>
              <w:spacing w:after="0"/>
              <w:rPr>
                <w:sz w:val="16"/>
                <w:szCs w:val="16"/>
                <w:color w:val="auto"/>
              </w:rPr>
            </w:pPr>
          </w:p>
        </w:tc>
        <w:tc>
          <w:tcPr>
            <w:tcW w:w="600" w:type="dxa"/>
            <w:vAlign w:val="bottom"/>
            <w:tcBorders>
              <w:top w:val="single" w:sz="8" w:color="231F20"/>
              <w:bottom w:val="single" w:sz="8" w:color="231F20"/>
            </w:tcBorders>
          </w:tcPr>
          <w:p>
            <w:pPr>
              <w:jc w:val="right"/>
              <w:ind w:right="111"/>
              <w:spacing w:after="0" w:line="169" w:lineRule="exact"/>
              <w:rPr>
                <w:sz w:val="20"/>
                <w:szCs w:val="20"/>
                <w:color w:val="auto"/>
              </w:rPr>
            </w:pPr>
            <w:r>
              <w:rPr>
                <w:rFonts w:ascii="Times New Roman" w:cs="Times New Roman" w:eastAsia="Times New Roman" w:hAnsi="Times New Roman"/>
                <w:sz w:val="16"/>
                <w:szCs w:val="16"/>
                <w:b w:val="1"/>
                <w:bCs w:val="1"/>
                <w:color w:val="231F20"/>
              </w:rPr>
              <w:t>kWh</w:t>
            </w:r>
          </w:p>
        </w:tc>
        <w:tc>
          <w:tcPr>
            <w:tcW w:w="200" w:type="dxa"/>
            <w:vAlign w:val="bottom"/>
            <w:tcBorders>
              <w:top w:val="single" w:sz="8" w:color="231F20"/>
              <w:bottom w:val="single" w:sz="8" w:color="E6E7E8"/>
            </w:tcBorders>
          </w:tcPr>
          <w:p>
            <w:pPr>
              <w:spacing w:after="0"/>
              <w:rPr>
                <w:sz w:val="16"/>
                <w:szCs w:val="16"/>
                <w:color w:val="auto"/>
              </w:rPr>
            </w:pPr>
          </w:p>
        </w:tc>
        <w:tc>
          <w:tcPr>
            <w:tcW w:w="540" w:type="dxa"/>
            <w:vAlign w:val="bottom"/>
            <w:tcBorders>
              <w:top w:val="single" w:sz="8" w:color="231F20"/>
              <w:bottom w:val="single" w:sz="8" w:color="231F20"/>
            </w:tcBorders>
          </w:tcPr>
          <w:p>
            <w:pPr>
              <w:jc w:val="right"/>
              <w:ind w:right="113"/>
              <w:spacing w:after="0" w:line="169" w:lineRule="exact"/>
              <w:rPr>
                <w:sz w:val="20"/>
                <w:szCs w:val="20"/>
                <w:color w:val="auto"/>
              </w:rPr>
            </w:pPr>
            <w:r>
              <w:rPr>
                <w:rFonts w:ascii="Times New Roman" w:cs="Times New Roman" w:eastAsia="Times New Roman" w:hAnsi="Times New Roman"/>
                <w:sz w:val="16"/>
                <w:szCs w:val="16"/>
                <w:b w:val="1"/>
                <w:bCs w:val="1"/>
                <w:color w:val="231F20"/>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shd w:val="clear" w:color="auto" w:fill="E6E7E8"/>
          </w:tcPr>
          <w:p>
            <w:pPr>
              <w:spacing w:after="0" w:line="204" w:lineRule="exact"/>
              <w:rPr>
                <w:sz w:val="20"/>
                <w:szCs w:val="20"/>
                <w:color w:val="auto"/>
              </w:rPr>
            </w:pPr>
            <w:r>
              <w:rPr>
                <w:rFonts w:ascii="Times New Roman" w:cs="Times New Roman" w:eastAsia="Times New Roman" w:hAnsi="Times New Roman"/>
                <w:sz w:val="19"/>
                <w:szCs w:val="19"/>
                <w:color w:val="231F20"/>
              </w:rPr>
              <w:t>Residential</w:t>
            </w:r>
          </w:p>
        </w:tc>
        <w:tc>
          <w:tcPr>
            <w:tcW w:w="2020" w:type="dxa"/>
            <w:vAlign w:val="bottom"/>
            <w:shd w:val="clear" w:color="auto" w:fill="E6E7E8"/>
          </w:tcPr>
          <w:p>
            <w:pPr>
              <w:spacing w:after="0"/>
              <w:rPr>
                <w:sz w:val="17"/>
                <w:szCs w:val="17"/>
                <w:color w:val="auto"/>
              </w:rPr>
            </w:pPr>
          </w:p>
        </w:tc>
        <w:tc>
          <w:tcPr>
            <w:tcW w:w="740" w:type="dxa"/>
            <w:vAlign w:val="bottom"/>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b w:val="1"/>
                <w:bCs w:val="1"/>
                <w:color w:val="231F20"/>
              </w:rPr>
              <w:t>686.7</w:t>
            </w:r>
          </w:p>
        </w:tc>
        <w:tc>
          <w:tcPr>
            <w:tcW w:w="20" w:type="dxa"/>
            <w:vAlign w:val="bottom"/>
          </w:tcPr>
          <w:p>
            <w:pPr>
              <w:spacing w:after="0"/>
              <w:rPr>
                <w:sz w:val="17"/>
                <w:szCs w:val="17"/>
                <w:color w:val="auto"/>
              </w:rPr>
            </w:pPr>
          </w:p>
        </w:tc>
        <w:tc>
          <w:tcPr>
            <w:tcW w:w="160" w:type="dxa"/>
            <w:vAlign w:val="bottom"/>
            <w:shd w:val="clear" w:color="auto" w:fill="E6E7E8"/>
          </w:tcPr>
          <w:p>
            <w:pPr>
              <w:spacing w:after="0"/>
              <w:rPr>
                <w:sz w:val="17"/>
                <w:szCs w:val="17"/>
                <w:color w:val="auto"/>
              </w:rPr>
            </w:pPr>
          </w:p>
        </w:tc>
        <w:tc>
          <w:tcPr>
            <w:tcW w:w="720" w:type="dxa"/>
            <w:vAlign w:val="bottom"/>
            <w:tcBorders>
              <w:left w:val="single" w:sz="8" w:color="E6E7E8"/>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color w:val="231F20"/>
              </w:rPr>
              <w:t>659.7</w:t>
            </w:r>
          </w:p>
        </w:tc>
        <w:tc>
          <w:tcPr>
            <w:tcW w:w="180" w:type="dxa"/>
            <w:vAlign w:val="bottom"/>
            <w:shd w:val="clear" w:color="auto" w:fill="E6E7E8"/>
          </w:tcPr>
          <w:p>
            <w:pPr>
              <w:spacing w:after="0"/>
              <w:rPr>
                <w:sz w:val="17"/>
                <w:szCs w:val="17"/>
                <w:color w:val="auto"/>
              </w:rPr>
            </w:pPr>
          </w:p>
        </w:tc>
        <w:tc>
          <w:tcPr>
            <w:tcW w:w="740" w:type="dxa"/>
            <w:vAlign w:val="bottom"/>
            <w:tcBorders>
              <w:left w:val="single" w:sz="8" w:color="E6E7E8"/>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color w:val="231F20"/>
              </w:rPr>
              <w:t>649.3</w:t>
            </w:r>
          </w:p>
        </w:tc>
        <w:tc>
          <w:tcPr>
            <w:tcW w:w="180" w:type="dxa"/>
            <w:vAlign w:val="bottom"/>
            <w:shd w:val="clear" w:color="auto" w:fill="E6E7E8"/>
          </w:tcPr>
          <w:p>
            <w:pPr>
              <w:spacing w:after="0"/>
              <w:rPr>
                <w:sz w:val="17"/>
                <w:szCs w:val="17"/>
                <w:color w:val="auto"/>
              </w:rPr>
            </w:pPr>
          </w:p>
        </w:tc>
        <w:tc>
          <w:tcPr>
            <w:tcW w:w="720" w:type="dxa"/>
            <w:vAlign w:val="bottom"/>
            <w:tcBorders>
              <w:left w:val="single" w:sz="8" w:color="E6E7E8"/>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color w:val="231F20"/>
              </w:rPr>
              <w:t>27.0</w:t>
            </w:r>
          </w:p>
        </w:tc>
        <w:tc>
          <w:tcPr>
            <w:tcW w:w="180" w:type="dxa"/>
            <w:vAlign w:val="bottom"/>
            <w:shd w:val="clear" w:color="auto" w:fill="E6E7E8"/>
          </w:tcPr>
          <w:p>
            <w:pPr>
              <w:spacing w:after="0"/>
              <w:rPr>
                <w:sz w:val="17"/>
                <w:szCs w:val="17"/>
                <w:color w:val="auto"/>
              </w:rPr>
            </w:pPr>
          </w:p>
        </w:tc>
        <w:tc>
          <w:tcPr>
            <w:tcW w:w="960" w:type="dxa"/>
            <w:vAlign w:val="bottom"/>
            <w:gridSpan w:val="2"/>
          </w:tcPr>
          <w:p>
            <w:pPr>
              <w:jc w:val="right"/>
              <w:ind w:right="220"/>
              <w:spacing w:after="0" w:line="204" w:lineRule="exact"/>
              <w:rPr>
                <w:sz w:val="20"/>
                <w:szCs w:val="20"/>
                <w:color w:val="auto"/>
              </w:rPr>
            </w:pPr>
            <w:r>
              <w:rPr>
                <w:rFonts w:ascii="Times New Roman" w:cs="Times New Roman" w:eastAsia="Times New Roman" w:hAnsi="Times New Roman"/>
                <w:sz w:val="19"/>
                <w:szCs w:val="19"/>
                <w:color w:val="231F20"/>
              </w:rPr>
              <w:t>4.1%</w:t>
            </w:r>
          </w:p>
        </w:tc>
        <w:tc>
          <w:tcPr>
            <w:tcW w:w="120" w:type="dxa"/>
            <w:vAlign w:val="bottom"/>
            <w:shd w:val="clear" w:color="auto" w:fill="E6E7E8"/>
          </w:tcPr>
          <w:p>
            <w:pPr>
              <w:spacing w:after="0"/>
              <w:rPr>
                <w:sz w:val="17"/>
                <w:szCs w:val="17"/>
                <w:color w:val="auto"/>
              </w:rPr>
            </w:pPr>
          </w:p>
        </w:tc>
        <w:tc>
          <w:tcPr>
            <w:tcW w:w="600" w:type="dxa"/>
            <w:vAlign w:val="bottom"/>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color w:val="231F20"/>
              </w:rPr>
              <w:t>10.4</w:t>
            </w:r>
          </w:p>
        </w:tc>
        <w:tc>
          <w:tcPr>
            <w:tcW w:w="200" w:type="dxa"/>
            <w:vAlign w:val="bottom"/>
            <w:tcBorders>
              <w:right w:val="single" w:sz="8" w:color="E6E7E8"/>
            </w:tcBorders>
            <w:shd w:val="clear" w:color="auto" w:fill="E6E7E8"/>
          </w:tcPr>
          <w:p>
            <w:pPr>
              <w:spacing w:after="0"/>
              <w:rPr>
                <w:sz w:val="17"/>
                <w:szCs w:val="17"/>
                <w:color w:val="auto"/>
              </w:rPr>
            </w:pPr>
          </w:p>
        </w:tc>
        <w:tc>
          <w:tcPr>
            <w:tcW w:w="760" w:type="dxa"/>
            <w:vAlign w:val="bottom"/>
            <w:gridSpan w:val="2"/>
          </w:tcPr>
          <w:p>
            <w:pPr>
              <w:jc w:val="right"/>
              <w:ind w:right="60"/>
              <w:spacing w:after="0" w:line="204" w:lineRule="exact"/>
              <w:rPr>
                <w:sz w:val="20"/>
                <w:szCs w:val="20"/>
                <w:color w:val="auto"/>
              </w:rPr>
            </w:pPr>
            <w:r>
              <w:rPr>
                <w:rFonts w:ascii="Times New Roman" w:cs="Times New Roman" w:eastAsia="Times New Roman" w:hAnsi="Times New Roman"/>
                <w:sz w:val="19"/>
                <w:szCs w:val="19"/>
                <w:color w:val="231F20"/>
              </w:rPr>
              <w:t>1.6%</w:t>
            </w:r>
          </w:p>
        </w:tc>
        <w:tc>
          <w:tcPr>
            <w:tcW w:w="0" w:type="dxa"/>
            <w:vAlign w:val="bottom"/>
          </w:tcPr>
          <w:p>
            <w:pPr>
              <w:spacing w:after="0"/>
              <w:rPr>
                <w:sz w:val="1"/>
                <w:szCs w:val="1"/>
                <w:color w:val="auto"/>
              </w:rPr>
            </w:pPr>
          </w:p>
        </w:tc>
      </w:tr>
      <w:tr>
        <w:trPr>
          <w:trHeight w:val="219"/>
        </w:trPr>
        <w:tc>
          <w:tcPr>
            <w:tcW w:w="344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Commercial &amp; Industrial</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887.7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924.6</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914.2</w:t>
            </w: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231F20"/>
              </w:rPr>
              <w:t>(36.9)</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231F20"/>
              </w:rPr>
              <w:t>(4.0)%</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10.4</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231F20"/>
              </w:rPr>
              <w:t>1.1%</w:t>
            </w:r>
          </w:p>
        </w:tc>
        <w:tc>
          <w:tcPr>
            <w:tcW w:w="0" w:type="dxa"/>
            <w:vAlign w:val="bottom"/>
          </w:tcPr>
          <w:p>
            <w:pPr>
              <w:spacing w:after="0"/>
              <w:rPr>
                <w:sz w:val="1"/>
                <w:szCs w:val="1"/>
                <w:color w:val="auto"/>
              </w:rPr>
            </w:pPr>
          </w:p>
        </w:tc>
      </w:tr>
      <w:tr>
        <w:trPr>
          <w:trHeight w:val="20"/>
        </w:trPr>
        <w:tc>
          <w:tcPr>
            <w:tcW w:w="3440" w:type="dxa"/>
            <w:vAlign w:val="bottom"/>
            <w:gridSpan w:val="2"/>
            <w:vMerge w:val="restart"/>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Total kWh Sales</w:t>
            </w:r>
          </w:p>
        </w:tc>
        <w:tc>
          <w:tcPr>
            <w:tcW w:w="740" w:type="dxa"/>
            <w:vAlign w:val="bottom"/>
            <w:shd w:val="clear" w:color="auto" w:fill="231F2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shd w:val="clear" w:color="auto" w:fill="E6E7E8"/>
          </w:tcPr>
          <w:p>
            <w:pPr>
              <w:spacing w:after="0" w:line="20" w:lineRule="exact"/>
              <w:rPr>
                <w:sz w:val="1"/>
                <w:szCs w:val="1"/>
                <w:color w:val="auto"/>
              </w:rPr>
            </w:pPr>
          </w:p>
        </w:tc>
        <w:tc>
          <w:tcPr>
            <w:tcW w:w="720" w:type="dxa"/>
            <w:vAlign w:val="bottom"/>
            <w:tcBorders>
              <w:left w:val="single" w:sz="8" w:color="231F20"/>
            </w:tcBorders>
            <w:shd w:val="clear" w:color="auto" w:fill="231F20"/>
          </w:tcPr>
          <w:p>
            <w:pPr>
              <w:spacing w:after="0" w:line="20" w:lineRule="exact"/>
              <w:rPr>
                <w:sz w:val="1"/>
                <w:szCs w:val="1"/>
                <w:color w:val="auto"/>
              </w:rPr>
            </w:pPr>
          </w:p>
        </w:tc>
        <w:tc>
          <w:tcPr>
            <w:tcW w:w="180" w:type="dxa"/>
            <w:vAlign w:val="bottom"/>
            <w:vMerge w:val="restart"/>
            <w:shd w:val="clear" w:color="auto" w:fill="E6E7E8"/>
          </w:tcPr>
          <w:p>
            <w:pPr>
              <w:spacing w:after="0" w:line="20" w:lineRule="exact"/>
              <w:rPr>
                <w:sz w:val="1"/>
                <w:szCs w:val="1"/>
                <w:color w:val="auto"/>
              </w:rPr>
            </w:pPr>
          </w:p>
        </w:tc>
        <w:tc>
          <w:tcPr>
            <w:tcW w:w="740" w:type="dxa"/>
            <w:vAlign w:val="bottom"/>
            <w:tcBorders>
              <w:left w:val="single" w:sz="8" w:color="231F20"/>
            </w:tcBorders>
            <w:shd w:val="clear" w:color="auto" w:fill="231F20"/>
          </w:tcPr>
          <w:p>
            <w:pPr>
              <w:spacing w:after="0" w:line="20" w:lineRule="exact"/>
              <w:rPr>
                <w:sz w:val="1"/>
                <w:szCs w:val="1"/>
                <w:color w:val="auto"/>
              </w:rPr>
            </w:pPr>
          </w:p>
        </w:tc>
        <w:tc>
          <w:tcPr>
            <w:tcW w:w="180" w:type="dxa"/>
            <w:vAlign w:val="bottom"/>
            <w:vMerge w:val="restart"/>
            <w:shd w:val="clear" w:color="auto" w:fill="E6E7E8"/>
          </w:tcPr>
          <w:p>
            <w:pPr>
              <w:spacing w:after="0" w:line="20" w:lineRule="exact"/>
              <w:rPr>
                <w:sz w:val="1"/>
                <w:szCs w:val="1"/>
                <w:color w:val="auto"/>
              </w:rPr>
            </w:pPr>
          </w:p>
        </w:tc>
        <w:tc>
          <w:tcPr>
            <w:tcW w:w="720" w:type="dxa"/>
            <w:vAlign w:val="bottom"/>
            <w:tcBorders>
              <w:left w:val="single" w:sz="8" w:color="231F20"/>
            </w:tcBorders>
            <w:shd w:val="clear" w:color="auto" w:fill="231F2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9"/>
                <w:szCs w:val="19"/>
                <w:color w:val="231F20"/>
              </w:rPr>
              <w:t>(0.6)%</w:t>
            </w:r>
          </w:p>
        </w:tc>
        <w:tc>
          <w:tcPr>
            <w:tcW w:w="120" w:type="dxa"/>
            <w:vAlign w:val="bottom"/>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20.8</w:t>
            </w:r>
          </w:p>
        </w:tc>
        <w:tc>
          <w:tcPr>
            <w:tcW w:w="9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9"/>
                <w:szCs w:val="19"/>
                <w:color w:val="231F20"/>
              </w:rPr>
              <w:t>1.3%</w:t>
            </w:r>
          </w:p>
        </w:tc>
        <w:tc>
          <w:tcPr>
            <w:tcW w:w="0" w:type="dxa"/>
            <w:vAlign w:val="bottom"/>
          </w:tcPr>
          <w:p>
            <w:pPr>
              <w:spacing w:after="0" w:line="20" w:lineRule="exact"/>
              <w:rPr>
                <w:sz w:val="1"/>
                <w:szCs w:val="1"/>
                <w:color w:val="auto"/>
              </w:rPr>
            </w:pPr>
          </w:p>
        </w:tc>
      </w:tr>
      <w:tr>
        <w:trPr>
          <w:trHeight w:val="213"/>
        </w:trPr>
        <w:tc>
          <w:tcPr>
            <w:tcW w:w="3440" w:type="dxa"/>
            <w:vAlign w:val="bottom"/>
            <w:gridSpan w:val="2"/>
            <w:vMerge w:val="continue"/>
            <w:shd w:val="clear" w:color="auto" w:fill="E6E7E8"/>
          </w:tcPr>
          <w:p>
            <w:pPr>
              <w:spacing w:after="0"/>
              <w:rPr>
                <w:sz w:val="18"/>
                <w:szCs w:val="18"/>
                <w:color w:val="auto"/>
              </w:rPr>
            </w:pPr>
          </w:p>
        </w:tc>
        <w:tc>
          <w:tcPr>
            <w:tcW w:w="740" w:type="dxa"/>
            <w:vAlign w:val="bottom"/>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1,574.4</w:t>
            </w:r>
          </w:p>
        </w:tc>
        <w:tc>
          <w:tcPr>
            <w:tcW w:w="20" w:type="dxa"/>
            <w:vAlign w:val="bottom"/>
            <w:vMerge w:val="continue"/>
          </w:tcPr>
          <w:p>
            <w:pPr>
              <w:spacing w:after="0"/>
              <w:rPr>
                <w:sz w:val="18"/>
                <w:szCs w:val="18"/>
                <w:color w:val="auto"/>
              </w:rPr>
            </w:pPr>
          </w:p>
        </w:tc>
        <w:tc>
          <w:tcPr>
            <w:tcW w:w="160" w:type="dxa"/>
            <w:vAlign w:val="bottom"/>
            <w:vMerge w:val="continue"/>
            <w:shd w:val="clear" w:color="auto" w:fill="E6E7E8"/>
          </w:tcPr>
          <w:p>
            <w:pPr>
              <w:spacing w:after="0"/>
              <w:rPr>
                <w:sz w:val="18"/>
                <w:szCs w:val="18"/>
                <w:color w:val="auto"/>
              </w:rPr>
            </w:pPr>
          </w:p>
        </w:tc>
        <w:tc>
          <w:tcPr>
            <w:tcW w:w="720" w:type="dxa"/>
            <w:vAlign w:val="bottom"/>
            <w:tcBorders>
              <w:left w:val="single" w:sz="8" w:color="E6E7E8"/>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1,584.3</w:t>
            </w:r>
          </w:p>
        </w:tc>
        <w:tc>
          <w:tcPr>
            <w:tcW w:w="180" w:type="dxa"/>
            <w:vAlign w:val="bottom"/>
            <w:vMerge w:val="continue"/>
            <w:shd w:val="clear" w:color="auto" w:fill="E6E7E8"/>
          </w:tcPr>
          <w:p>
            <w:pPr>
              <w:spacing w:after="0"/>
              <w:rPr>
                <w:sz w:val="18"/>
                <w:szCs w:val="18"/>
                <w:color w:val="auto"/>
              </w:rPr>
            </w:pPr>
          </w:p>
        </w:tc>
        <w:tc>
          <w:tcPr>
            <w:tcW w:w="740" w:type="dxa"/>
            <w:vAlign w:val="bottom"/>
            <w:tcBorders>
              <w:left w:val="single" w:sz="8" w:color="E6E7E8"/>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1,563.5</w:t>
            </w:r>
          </w:p>
        </w:tc>
        <w:tc>
          <w:tcPr>
            <w:tcW w:w="180" w:type="dxa"/>
            <w:vAlign w:val="bottom"/>
            <w:vMerge w:val="continue"/>
            <w:shd w:val="clear" w:color="auto" w:fill="E6E7E8"/>
          </w:tcPr>
          <w:p>
            <w:pPr>
              <w:spacing w:after="0"/>
              <w:rPr>
                <w:sz w:val="18"/>
                <w:szCs w:val="18"/>
                <w:color w:val="auto"/>
              </w:rPr>
            </w:pPr>
          </w:p>
        </w:tc>
        <w:tc>
          <w:tcPr>
            <w:tcW w:w="900" w:type="dxa"/>
            <w:vAlign w:val="bottom"/>
            <w:tcBorders>
              <w:left w:val="single" w:sz="8" w:color="E6E7E8"/>
            </w:tcBorders>
            <w:gridSpan w:val="2"/>
          </w:tcPr>
          <w:p>
            <w:pPr>
              <w:jc w:val="right"/>
              <w:ind w:right="100"/>
              <w:spacing w:after="0" w:line="214" w:lineRule="exact"/>
              <w:rPr>
                <w:sz w:val="20"/>
                <w:szCs w:val="20"/>
                <w:color w:val="auto"/>
              </w:rPr>
            </w:pPr>
            <w:r>
              <w:rPr>
                <w:rFonts w:ascii="Times New Roman" w:cs="Times New Roman" w:eastAsia="Times New Roman" w:hAnsi="Times New Roman"/>
                <w:sz w:val="19"/>
                <w:szCs w:val="19"/>
                <w:color w:val="231F20"/>
              </w:rPr>
              <w:t>(9.9)</w:t>
            </w: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4843780</wp:posOffset>
                </wp:positionH>
                <wp:positionV relativeFrom="paragraph">
                  <wp:posOffset>-454025</wp:posOffset>
                </wp:positionV>
                <wp:extent cx="362585" cy="13843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2585" cy="138430"/>
                        </a:xfrm>
                        <a:prstGeom prst="rect">
                          <a:avLst/>
                        </a:prstGeom>
                        <a:solidFill>
                          <a:srgbClr val="E6E7E8"/>
                        </a:solidFill>
                      </wps:spPr>
                      <wps:bodyPr/>
                    </wps:wsp>
                  </a:graphicData>
                </a:graphic>
              </wp:anchor>
            </w:drawing>
          </mc:Choice>
          <mc:Fallback>
            <w:pict>
              <v:rect id="Shape 46" o:spid="_x0000_s1071" style="position:absolute;margin-left:381.4pt;margin-top:-35.7499pt;width:28.55pt;height:10.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5206365</wp:posOffset>
                </wp:positionH>
                <wp:positionV relativeFrom="paragraph">
                  <wp:posOffset>-463550</wp:posOffset>
                </wp:positionV>
                <wp:extent cx="238760" cy="147955"/>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8760" cy="147955"/>
                        </a:xfrm>
                        <a:prstGeom prst="rect">
                          <a:avLst/>
                        </a:prstGeom>
                        <a:solidFill>
                          <a:srgbClr val="E6E7E8"/>
                        </a:solidFill>
                      </wps:spPr>
                      <wps:bodyPr/>
                    </wps:wsp>
                  </a:graphicData>
                </a:graphic>
              </wp:anchor>
            </w:drawing>
          </mc:Choice>
          <mc:Fallback>
            <w:pict>
              <v:rect id="Shape 47" o:spid="_x0000_s1072" style="position:absolute;margin-left:409.95pt;margin-top:-36.4999pt;width:18.8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6017895</wp:posOffset>
                </wp:positionH>
                <wp:positionV relativeFrom="paragraph">
                  <wp:posOffset>-454025</wp:posOffset>
                </wp:positionV>
                <wp:extent cx="361950" cy="13843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0" cy="138430"/>
                        </a:xfrm>
                        <a:prstGeom prst="rect">
                          <a:avLst/>
                        </a:prstGeom>
                        <a:solidFill>
                          <a:srgbClr val="E6E7E8"/>
                        </a:solidFill>
                      </wps:spPr>
                      <wps:bodyPr/>
                    </wps:wsp>
                  </a:graphicData>
                </a:graphic>
              </wp:anchor>
            </w:drawing>
          </mc:Choice>
          <mc:Fallback>
            <w:pict>
              <v:rect id="Shape 48" o:spid="_x0000_s1073" style="position:absolute;margin-left:473.85pt;margin-top:-35.7499pt;width:28.5pt;height:10.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4271010</wp:posOffset>
                </wp:positionH>
                <wp:positionV relativeFrom="paragraph">
                  <wp:posOffset>-167005</wp:posOffset>
                </wp:positionV>
                <wp:extent cx="458470" cy="13843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8470" cy="138430"/>
                        </a:xfrm>
                        <a:prstGeom prst="rect">
                          <a:avLst/>
                        </a:prstGeom>
                        <a:solidFill>
                          <a:srgbClr val="E6E7E8"/>
                        </a:solidFill>
                      </wps:spPr>
                      <wps:bodyPr/>
                    </wps:wsp>
                  </a:graphicData>
                </a:graphic>
              </wp:anchor>
            </w:drawing>
          </mc:Choice>
          <mc:Fallback>
            <w:pict>
              <v:rect id="Shape 49" o:spid="_x0000_s1074" style="position:absolute;margin-left:336.3pt;margin-top:-13.1499pt;width:36.1pt;height:10.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4729480</wp:posOffset>
                </wp:positionH>
                <wp:positionV relativeFrom="paragraph">
                  <wp:posOffset>-176530</wp:posOffset>
                </wp:positionV>
                <wp:extent cx="1785620" cy="147955"/>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5620" cy="147955"/>
                        </a:xfrm>
                        <a:prstGeom prst="rect">
                          <a:avLst/>
                        </a:prstGeom>
                        <a:solidFill>
                          <a:srgbClr val="E6E7E8"/>
                        </a:solidFill>
                      </wps:spPr>
                      <wps:bodyPr/>
                    </wps:wsp>
                  </a:graphicData>
                </a:graphic>
              </wp:anchor>
            </w:drawing>
          </mc:Choice>
          <mc:Fallback>
            <w:pict>
              <v:rect id="Shape 50" o:spid="_x0000_s1075" style="position:absolute;margin-left:372.4pt;margin-top:-13.8999pt;width:140.6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w:drawing>
          <wp:anchor simplePos="0" relativeHeight="251657728" behindDoc="1" locked="0" layoutInCell="0" allowOverlap="1">
            <wp:simplePos x="0" y="0"/>
            <wp:positionH relativeFrom="column">
              <wp:posOffset>4252595</wp:posOffset>
            </wp:positionH>
            <wp:positionV relativeFrom="paragraph">
              <wp:posOffset>-730250</wp:posOffset>
            </wp:positionV>
            <wp:extent cx="214693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2">
                      <a:extLst>
                        <a:ext uri="{28A0092B-C50C-407E-A947-70E740481C1C}"/>
                      </a:extLst>
                    </a:blip>
                    <a:srcRect/>
                    <a:stretch>
                      <a:fillRect/>
                    </a:stretch>
                  </pic:blipFill>
                  <pic:spPr bwMode="auto">
                    <a:xfrm>
                      <a:off x="0" y="0"/>
                      <a:ext cx="2146935" cy="38100"/>
                    </a:xfrm>
                    <a:prstGeom prst="rect">
                      <a:avLst/>
                    </a:prstGeom>
                    <a:noFill/>
                  </pic:spPr>
                </pic:pic>
              </a:graphicData>
            </a:graphic>
          </wp:anchor>
        </w:drawing>
      </w:r>
    </w:p>
    <w:p>
      <w:pPr>
        <w:sectPr>
          <w:pgSz w:w="12240" w:h="15840" w:orient="portrait"/>
          <w:cols w:equalWidth="0" w:num="1">
            <w:col w:w="10800"/>
          </w:cols>
          <w:pgMar w:left="720" w:top="928" w:right="72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27</w:t>
      </w:r>
    </w:p>
    <w:p>
      <w:pPr>
        <w:sectPr>
          <w:pgSz w:w="12240" w:h="15840" w:orient="portrait"/>
          <w:cols w:equalWidth="0" w:num="1">
            <w:col w:w="10800"/>
          </w:cols>
          <w:pgMar w:left="720" w:top="928" w:right="720" w:bottom="188"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1"/>
          <w:szCs w:val="21"/>
          <w:b w:val="1"/>
          <w:bCs w:val="1"/>
          <w:color w:val="231F20"/>
        </w:rPr>
        <w:t>Gas Revenues, Adjusted Gross Margin and Sales</w:t>
      </w:r>
    </w:p>
    <w:p>
      <w:pPr>
        <w:spacing w:after="0" w:line="240" w:lineRule="exact"/>
        <w:rPr>
          <w:sz w:val="20"/>
          <w:szCs w:val="20"/>
          <w:color w:val="auto"/>
        </w:rPr>
      </w:pPr>
    </w:p>
    <w:p>
      <w:pPr>
        <w:ind w:right="180" w:firstLine="612"/>
        <w:spacing w:after="0" w:line="283" w:lineRule="auto"/>
        <w:rPr>
          <w:sz w:val="20"/>
          <w:szCs w:val="20"/>
          <w:color w:val="auto"/>
        </w:rPr>
      </w:pPr>
      <w:r>
        <w:rPr>
          <w:rFonts w:ascii="Times New Roman" w:cs="Times New Roman" w:eastAsia="Times New Roman" w:hAnsi="Times New Roman"/>
          <w:sz w:val="21"/>
          <w:szCs w:val="21"/>
          <w:b w:val="1"/>
          <w:bCs w:val="1"/>
          <w:i w:val="1"/>
          <w:iCs w:val="1"/>
          <w:color w:val="231F20"/>
        </w:rPr>
        <w:t>Gas Operating Revenues and Adjusted Gross Margin (a non-GAAP financial measure)</w:t>
      </w:r>
      <w:r>
        <w:rPr>
          <w:rFonts w:ascii="Times New Roman" w:cs="Times New Roman" w:eastAsia="Times New Roman" w:hAnsi="Times New Roman"/>
          <w:sz w:val="21"/>
          <w:szCs w:val="21"/>
          <w:b w:val="1"/>
          <w:bCs w:val="1"/>
          <w:color w:val="231F20"/>
        </w:rPr>
        <w:t>—</w:t>
      </w:r>
      <w:r>
        <w:rPr>
          <w:rFonts w:ascii="Times New Roman" w:cs="Times New Roman" w:eastAsia="Times New Roman" w:hAnsi="Times New Roman"/>
          <w:sz w:val="21"/>
          <w:szCs w:val="21"/>
          <w:color w:val="231F20"/>
        </w:rPr>
        <w:t>The following table details</w:t>
      </w:r>
      <w:r>
        <w:rPr>
          <w:rFonts w:ascii="Times New Roman" w:cs="Times New Roman" w:eastAsia="Times New Roman" w:hAnsi="Times New Roman"/>
          <w:sz w:val="21"/>
          <w:szCs w:val="21"/>
          <w:b w:val="1"/>
          <w:bCs w:val="1"/>
          <w:i w:val="1"/>
          <w:iCs w:val="1"/>
          <w:color w:val="231F20"/>
        </w:rPr>
        <w:t xml:space="preserve"> </w:t>
      </w:r>
      <w:r>
        <w:rPr>
          <w:rFonts w:ascii="Times New Roman" w:cs="Times New Roman" w:eastAsia="Times New Roman" w:hAnsi="Times New Roman"/>
          <w:sz w:val="21"/>
          <w:szCs w:val="21"/>
          <w:color w:val="231F20"/>
        </w:rPr>
        <w:t>total Gas Operating Revenue and Gas Adjusted Gross Margin for the last three years by major customer class:</w:t>
      </w:r>
    </w:p>
    <w:p>
      <w:pPr>
        <w:spacing w:after="0" w:line="195" w:lineRule="exact"/>
        <w:rPr>
          <w:sz w:val="20"/>
          <w:szCs w:val="20"/>
          <w:color w:val="auto"/>
        </w:rPr>
      </w:pPr>
    </w:p>
    <w:tbl>
      <w:tblPr>
        <w:tblLayout w:type="fixed"/>
        <w:tblInd w:w="540" w:type="dxa"/>
        <w:tblCellMar>
          <w:top w:w="0" w:type="dxa"/>
          <w:left w:w="0" w:type="dxa"/>
          <w:bottom w:w="0" w:type="dxa"/>
          <w:right w:w="0" w:type="dxa"/>
        </w:tblCellMar>
      </w:tblPr>
      <w:tr>
        <w:trPr>
          <w:trHeight w:val="221"/>
        </w:trPr>
        <w:tc>
          <w:tcPr>
            <w:tcW w:w="33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Gas Operating Revenues and Gas Adjusted</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5"/>
              <w:spacing w:after="0"/>
              <w:rPr>
                <w:sz w:val="20"/>
                <w:szCs w:val="20"/>
                <w:color w:val="auto"/>
              </w:rPr>
            </w:pPr>
            <w:r>
              <w:rPr>
                <w:rFonts w:ascii="Times New Roman" w:cs="Times New Roman" w:eastAsia="Times New Roman" w:hAnsi="Times New Roman"/>
                <w:sz w:val="16"/>
                <w:szCs w:val="16"/>
                <w:b w:val="1"/>
                <w:bCs w:val="1"/>
                <w:color w:val="231F20"/>
              </w:rPr>
              <w:t>Change</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3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Gross Margin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231F20"/>
              </w:rPr>
              <w:t>2025 vs. 2024</w:t>
            </w:r>
          </w:p>
        </w:tc>
        <w:tc>
          <w:tcPr>
            <w:tcW w:w="220" w:type="dxa"/>
            <w:vAlign w:val="bottom"/>
          </w:tcPr>
          <w:p>
            <w:pPr>
              <w:spacing w:after="0"/>
              <w:rPr>
                <w:sz w:val="17"/>
                <w:szCs w:val="17"/>
                <w:color w:val="auto"/>
              </w:rPr>
            </w:pPr>
          </w:p>
        </w:tc>
        <w:tc>
          <w:tcPr>
            <w:tcW w:w="158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231F20"/>
              </w:rPr>
              <w:t>2024 vs. 2023</w:t>
            </w:r>
          </w:p>
        </w:tc>
        <w:tc>
          <w:tcPr>
            <w:tcW w:w="0" w:type="dxa"/>
            <w:vAlign w:val="bottom"/>
          </w:tcPr>
          <w:p>
            <w:pPr>
              <w:spacing w:after="0"/>
              <w:rPr>
                <w:sz w:val="1"/>
                <w:szCs w:val="1"/>
                <w:color w:val="auto"/>
              </w:rPr>
            </w:pPr>
          </w:p>
        </w:tc>
      </w:tr>
      <w:tr>
        <w:trPr>
          <w:trHeight w:val="179"/>
        </w:trPr>
        <w:tc>
          <w:tcPr>
            <w:tcW w:w="3340" w:type="dxa"/>
            <w:vAlign w:val="bottom"/>
            <w:tcBorders>
              <w:bottom w:val="single" w:sz="8" w:color="231F20"/>
            </w:tcBorders>
          </w:tcPr>
          <w:p>
            <w:pPr>
              <w:spacing w:after="0" w:line="179" w:lineRule="exact"/>
              <w:rPr>
                <w:sz w:val="20"/>
                <w:szCs w:val="20"/>
                <w:color w:val="auto"/>
              </w:rPr>
            </w:pPr>
            <w:r>
              <w:rPr>
                <w:rFonts w:ascii="Times New Roman" w:cs="Times New Roman" w:eastAsia="Times New Roman" w:hAnsi="Times New Roman"/>
                <w:sz w:val="16"/>
                <w:szCs w:val="16"/>
                <w:b w:val="1"/>
                <w:bCs w:val="1"/>
                <w:color w:val="231F20"/>
              </w:rPr>
              <w:t>(millions)</w:t>
            </w:r>
          </w:p>
        </w:tc>
        <w:tc>
          <w:tcPr>
            <w:tcW w:w="80" w:type="dxa"/>
            <w:vAlign w:val="bottom"/>
            <w:tcBorders>
              <w:bottom w:val="single" w:sz="8" w:color="E6E7E8"/>
            </w:tcBorders>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580" w:type="dxa"/>
            <w:vAlign w:val="bottom"/>
            <w:tcBorders>
              <w:bottom w:val="single" w:sz="8" w:color="231F20"/>
            </w:tcBorders>
          </w:tcPr>
          <w:p>
            <w:pPr>
              <w:jc w:val="right"/>
              <w:ind w:right="108"/>
              <w:spacing w:after="0" w:line="179" w:lineRule="exact"/>
              <w:rPr>
                <w:sz w:val="20"/>
                <w:szCs w:val="20"/>
                <w:color w:val="auto"/>
              </w:rPr>
            </w:pPr>
            <w:r>
              <w:rPr>
                <w:rFonts w:ascii="Times New Roman" w:cs="Times New Roman" w:eastAsia="Times New Roman" w:hAnsi="Times New Roman"/>
                <w:sz w:val="16"/>
                <w:szCs w:val="16"/>
                <w:b w:val="1"/>
                <w:bCs w:val="1"/>
                <w:color w:val="231F20"/>
              </w:rPr>
              <w:t>2025</w:t>
            </w:r>
          </w:p>
        </w:tc>
        <w:tc>
          <w:tcPr>
            <w:tcW w:w="180" w:type="dxa"/>
            <w:vAlign w:val="bottom"/>
            <w:tcBorders>
              <w:bottom w:val="single" w:sz="8" w:color="E6E7E8"/>
            </w:tcBorders>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580" w:type="dxa"/>
            <w:vAlign w:val="bottom"/>
            <w:tcBorders>
              <w:bottom w:val="single" w:sz="8" w:color="231F20"/>
            </w:tcBorders>
          </w:tcPr>
          <w:p>
            <w:pPr>
              <w:jc w:val="right"/>
              <w:ind w:right="108"/>
              <w:spacing w:after="0" w:line="179" w:lineRule="exact"/>
              <w:rPr>
                <w:sz w:val="20"/>
                <w:szCs w:val="20"/>
                <w:color w:val="auto"/>
              </w:rPr>
            </w:pPr>
            <w:r>
              <w:rPr>
                <w:rFonts w:ascii="Times New Roman" w:cs="Times New Roman" w:eastAsia="Times New Roman" w:hAnsi="Times New Roman"/>
                <w:sz w:val="16"/>
                <w:szCs w:val="16"/>
                <w:b w:val="1"/>
                <w:bCs w:val="1"/>
                <w:color w:val="231F20"/>
              </w:rPr>
              <w:t>2024</w:t>
            </w:r>
          </w:p>
        </w:tc>
        <w:tc>
          <w:tcPr>
            <w:tcW w:w="20" w:type="dxa"/>
            <w:vAlign w:val="bottom"/>
            <w:tcBorders>
              <w:bottom w:val="single" w:sz="8" w:color="231F20"/>
            </w:tcBorders>
          </w:tcPr>
          <w:p>
            <w:pPr>
              <w:spacing w:after="0"/>
              <w:rPr>
                <w:sz w:val="15"/>
                <w:szCs w:val="15"/>
                <w:color w:val="auto"/>
              </w:rPr>
            </w:pPr>
          </w:p>
        </w:tc>
        <w:tc>
          <w:tcPr>
            <w:tcW w:w="160" w:type="dxa"/>
            <w:vAlign w:val="bottom"/>
            <w:tcBorders>
              <w:bottom w:val="single" w:sz="8" w:color="E6E7E8"/>
            </w:tcBorders>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580" w:type="dxa"/>
            <w:vAlign w:val="bottom"/>
            <w:tcBorders>
              <w:bottom w:val="single" w:sz="8" w:color="231F20"/>
            </w:tcBorders>
          </w:tcPr>
          <w:p>
            <w:pPr>
              <w:jc w:val="right"/>
              <w:ind w:right="108"/>
              <w:spacing w:after="0" w:line="179" w:lineRule="exact"/>
              <w:rPr>
                <w:sz w:val="20"/>
                <w:szCs w:val="20"/>
                <w:color w:val="auto"/>
              </w:rPr>
            </w:pPr>
            <w:r>
              <w:rPr>
                <w:rFonts w:ascii="Times New Roman" w:cs="Times New Roman" w:eastAsia="Times New Roman" w:hAnsi="Times New Roman"/>
                <w:sz w:val="16"/>
                <w:szCs w:val="16"/>
                <w:b w:val="1"/>
                <w:bCs w:val="1"/>
                <w:color w:val="231F20"/>
              </w:rPr>
              <w:t>2023</w:t>
            </w:r>
          </w:p>
        </w:tc>
        <w:tc>
          <w:tcPr>
            <w:tcW w:w="180" w:type="dxa"/>
            <w:vAlign w:val="bottom"/>
            <w:tcBorders>
              <w:bottom w:val="single" w:sz="8" w:color="E6E7E8"/>
            </w:tcBorders>
          </w:tcPr>
          <w:p>
            <w:pPr>
              <w:spacing w:after="0"/>
              <w:rPr>
                <w:sz w:val="15"/>
                <w:szCs w:val="15"/>
                <w:color w:val="auto"/>
              </w:rPr>
            </w:pPr>
          </w:p>
        </w:tc>
        <w:tc>
          <w:tcPr>
            <w:tcW w:w="200" w:type="dxa"/>
            <w:vAlign w:val="bottom"/>
            <w:tcBorders>
              <w:top w:val="single" w:sz="8" w:color="231F20"/>
              <w:bottom w:val="single" w:sz="8" w:color="231F20"/>
            </w:tcBorders>
          </w:tcPr>
          <w:p>
            <w:pPr>
              <w:spacing w:after="0"/>
              <w:rPr>
                <w:sz w:val="15"/>
                <w:szCs w:val="15"/>
                <w:color w:val="auto"/>
              </w:rPr>
            </w:pPr>
          </w:p>
        </w:tc>
        <w:tc>
          <w:tcPr>
            <w:tcW w:w="500" w:type="dxa"/>
            <w:vAlign w:val="bottom"/>
            <w:tcBorders>
              <w:top w:val="single" w:sz="8" w:color="231F20"/>
              <w:bottom w:val="single" w:sz="8" w:color="231F20"/>
            </w:tcBorders>
          </w:tcPr>
          <w:p>
            <w:pPr>
              <w:ind w:left="120"/>
              <w:spacing w:after="0" w:line="179" w:lineRule="exact"/>
              <w:rPr>
                <w:sz w:val="20"/>
                <w:szCs w:val="20"/>
                <w:color w:val="auto"/>
              </w:rPr>
            </w:pPr>
            <w:r>
              <w:rPr>
                <w:rFonts w:ascii="Times New Roman" w:cs="Times New Roman" w:eastAsia="Times New Roman" w:hAnsi="Times New Roman"/>
                <w:sz w:val="16"/>
                <w:szCs w:val="16"/>
                <w:b w:val="1"/>
                <w:bCs w:val="1"/>
                <w:color w:val="231F20"/>
              </w:rPr>
              <w:t>$</w:t>
            </w:r>
          </w:p>
        </w:tc>
        <w:tc>
          <w:tcPr>
            <w:tcW w:w="20" w:type="dxa"/>
            <w:vAlign w:val="bottom"/>
            <w:tcBorders>
              <w:top w:val="single" w:sz="8" w:color="231F20"/>
              <w:bottom w:val="single" w:sz="8" w:color="231F20"/>
            </w:tcBorders>
          </w:tcPr>
          <w:p>
            <w:pPr>
              <w:spacing w:after="0"/>
              <w:rPr>
                <w:sz w:val="15"/>
                <w:szCs w:val="15"/>
                <w:color w:val="auto"/>
              </w:rPr>
            </w:pPr>
          </w:p>
        </w:tc>
        <w:tc>
          <w:tcPr>
            <w:tcW w:w="160" w:type="dxa"/>
            <w:vAlign w:val="bottom"/>
            <w:tcBorders>
              <w:top w:val="single" w:sz="8" w:color="231F20"/>
              <w:bottom w:val="single" w:sz="8" w:color="E6E7E8"/>
            </w:tcBorders>
          </w:tcPr>
          <w:p>
            <w:pPr>
              <w:spacing w:after="0"/>
              <w:rPr>
                <w:sz w:val="15"/>
                <w:szCs w:val="15"/>
                <w:color w:val="auto"/>
              </w:rPr>
            </w:pPr>
          </w:p>
        </w:tc>
        <w:tc>
          <w:tcPr>
            <w:tcW w:w="640" w:type="dxa"/>
            <w:vAlign w:val="bottom"/>
            <w:tcBorders>
              <w:top w:val="single" w:sz="8" w:color="231F20"/>
              <w:bottom w:val="single" w:sz="8" w:color="231F20"/>
            </w:tcBorders>
          </w:tcPr>
          <w:p>
            <w:pPr>
              <w:jc w:val="right"/>
              <w:ind w:right="149"/>
              <w:spacing w:after="0" w:line="179" w:lineRule="exact"/>
              <w:rPr>
                <w:sz w:val="20"/>
                <w:szCs w:val="20"/>
                <w:color w:val="auto"/>
              </w:rPr>
            </w:pPr>
            <w:r>
              <w:rPr>
                <w:rFonts w:ascii="Times New Roman" w:cs="Times New Roman" w:eastAsia="Times New Roman" w:hAnsi="Times New Roman"/>
                <w:sz w:val="16"/>
                <w:szCs w:val="16"/>
                <w:b w:val="1"/>
                <w:bCs w:val="1"/>
                <w:color w:val="231F20"/>
              </w:rPr>
              <w:t>%</w:t>
            </w:r>
          </w:p>
        </w:tc>
        <w:tc>
          <w:tcPr>
            <w:tcW w:w="280" w:type="dxa"/>
            <w:vAlign w:val="bottom"/>
            <w:tcBorders>
              <w:bottom w:val="single" w:sz="8" w:color="E6E7E8"/>
            </w:tcBorders>
          </w:tcPr>
          <w:p>
            <w:pPr>
              <w:spacing w:after="0"/>
              <w:rPr>
                <w:sz w:val="15"/>
                <w:szCs w:val="15"/>
                <w:color w:val="auto"/>
              </w:rPr>
            </w:pPr>
          </w:p>
        </w:tc>
        <w:tc>
          <w:tcPr>
            <w:tcW w:w="220" w:type="dxa"/>
            <w:vAlign w:val="bottom"/>
            <w:tcBorders>
              <w:top w:val="single" w:sz="8" w:color="231F20"/>
              <w:bottom w:val="single" w:sz="8" w:color="231F20"/>
            </w:tcBorders>
          </w:tcPr>
          <w:p>
            <w:pPr>
              <w:spacing w:after="0"/>
              <w:rPr>
                <w:sz w:val="15"/>
                <w:szCs w:val="15"/>
                <w:color w:val="auto"/>
              </w:rPr>
            </w:pPr>
          </w:p>
        </w:tc>
        <w:tc>
          <w:tcPr>
            <w:tcW w:w="500" w:type="dxa"/>
            <w:vAlign w:val="bottom"/>
            <w:tcBorders>
              <w:top w:val="single" w:sz="8" w:color="231F20"/>
              <w:bottom w:val="single" w:sz="8" w:color="231F20"/>
            </w:tcBorders>
          </w:tcPr>
          <w:p>
            <w:pPr>
              <w:ind w:left="100"/>
              <w:spacing w:after="0" w:line="179" w:lineRule="exact"/>
              <w:rPr>
                <w:sz w:val="20"/>
                <w:szCs w:val="20"/>
                <w:color w:val="auto"/>
              </w:rPr>
            </w:pPr>
            <w:r>
              <w:rPr>
                <w:rFonts w:ascii="Times New Roman" w:cs="Times New Roman" w:eastAsia="Times New Roman" w:hAnsi="Times New Roman"/>
                <w:sz w:val="16"/>
                <w:szCs w:val="16"/>
                <w:b w:val="1"/>
                <w:bCs w:val="1"/>
                <w:color w:val="231F20"/>
              </w:rPr>
              <w:t>$</w:t>
            </w:r>
          </w:p>
        </w:tc>
        <w:tc>
          <w:tcPr>
            <w:tcW w:w="20" w:type="dxa"/>
            <w:vAlign w:val="bottom"/>
            <w:tcBorders>
              <w:top w:val="single" w:sz="8" w:color="231F20"/>
              <w:bottom w:val="single" w:sz="8" w:color="231F20"/>
            </w:tcBorders>
          </w:tcPr>
          <w:p>
            <w:pPr>
              <w:spacing w:after="0"/>
              <w:rPr>
                <w:sz w:val="15"/>
                <w:szCs w:val="15"/>
                <w:color w:val="auto"/>
              </w:rPr>
            </w:pPr>
          </w:p>
        </w:tc>
        <w:tc>
          <w:tcPr>
            <w:tcW w:w="160" w:type="dxa"/>
            <w:vAlign w:val="bottom"/>
            <w:tcBorders>
              <w:top w:val="single" w:sz="8" w:color="231F20"/>
              <w:bottom w:val="single" w:sz="8" w:color="E6E7E8"/>
            </w:tcBorders>
          </w:tcPr>
          <w:p>
            <w:pPr>
              <w:spacing w:after="0"/>
              <w:rPr>
                <w:sz w:val="15"/>
                <w:szCs w:val="15"/>
                <w:color w:val="auto"/>
              </w:rPr>
            </w:pPr>
          </w:p>
        </w:tc>
        <w:tc>
          <w:tcPr>
            <w:tcW w:w="620" w:type="dxa"/>
            <w:vAlign w:val="bottom"/>
            <w:tcBorders>
              <w:top w:val="single" w:sz="8" w:color="231F20"/>
              <w:bottom w:val="single" w:sz="8" w:color="231F20"/>
            </w:tcBorders>
          </w:tcPr>
          <w:p>
            <w:pPr>
              <w:jc w:val="right"/>
              <w:ind w:right="128"/>
              <w:spacing w:after="0" w:line="179" w:lineRule="exact"/>
              <w:rPr>
                <w:sz w:val="20"/>
                <w:szCs w:val="20"/>
                <w:color w:val="auto"/>
              </w:rPr>
            </w:pPr>
            <w:r>
              <w:rPr>
                <w:rFonts w:ascii="Times New Roman" w:cs="Times New Roman" w:eastAsia="Times New Roman" w:hAnsi="Times New Roman"/>
                <w:sz w:val="16"/>
                <w:szCs w:val="16"/>
                <w:b w:val="1"/>
                <w:bCs w:val="1"/>
                <w:color w:val="231F20"/>
              </w:rPr>
              <w:t>%</w:t>
            </w:r>
          </w:p>
        </w:tc>
        <w:tc>
          <w:tcPr>
            <w:tcW w:w="280" w:type="dxa"/>
            <w:vAlign w:val="bottom"/>
            <w:tcBorders>
              <w:bottom w:val="single" w:sz="8" w:color="E6E7E8"/>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340" w:type="dxa"/>
            <w:vAlign w:val="bottom"/>
            <w:shd w:val="clear" w:color="auto" w:fill="E6E7E8"/>
          </w:tcPr>
          <w:p>
            <w:pPr>
              <w:spacing w:after="0" w:line="214" w:lineRule="exact"/>
              <w:rPr>
                <w:sz w:val="20"/>
                <w:szCs w:val="20"/>
                <w:color w:val="auto"/>
              </w:rPr>
            </w:pPr>
            <w:r>
              <w:rPr>
                <w:rFonts w:ascii="Times New Roman" w:cs="Times New Roman" w:eastAsia="Times New Roman" w:hAnsi="Times New Roman"/>
                <w:sz w:val="19"/>
                <w:szCs w:val="19"/>
                <w:color w:val="231F20"/>
              </w:rPr>
              <w:t>Gas Operating Revenue:</w:t>
            </w:r>
          </w:p>
        </w:tc>
        <w:tc>
          <w:tcPr>
            <w:tcW w:w="80" w:type="dxa"/>
            <w:vAlign w:val="bottom"/>
            <w:shd w:val="clear" w:color="auto" w:fill="E6E7E8"/>
          </w:tcPr>
          <w:p>
            <w:pPr>
              <w:spacing w:after="0"/>
              <w:rPr>
                <w:sz w:val="18"/>
                <w:szCs w:val="18"/>
                <w:color w:val="auto"/>
              </w:rPr>
            </w:pPr>
          </w:p>
        </w:tc>
        <w:tc>
          <w:tcPr>
            <w:tcW w:w="140" w:type="dxa"/>
            <w:vAlign w:val="bottom"/>
            <w:shd w:val="clear" w:color="auto" w:fill="E6E7E8"/>
          </w:tcPr>
          <w:p>
            <w:pPr>
              <w:spacing w:after="0"/>
              <w:rPr>
                <w:sz w:val="18"/>
                <w:szCs w:val="18"/>
                <w:color w:val="auto"/>
              </w:rPr>
            </w:pPr>
          </w:p>
        </w:tc>
        <w:tc>
          <w:tcPr>
            <w:tcW w:w="580" w:type="dxa"/>
            <w:vAlign w:val="bottom"/>
            <w:shd w:val="clear" w:color="auto" w:fill="E6E7E8"/>
          </w:tcPr>
          <w:p>
            <w:pPr>
              <w:spacing w:after="0"/>
              <w:rPr>
                <w:sz w:val="18"/>
                <w:szCs w:val="18"/>
                <w:color w:val="auto"/>
              </w:rPr>
            </w:pPr>
          </w:p>
        </w:tc>
        <w:tc>
          <w:tcPr>
            <w:tcW w:w="180" w:type="dxa"/>
            <w:vAlign w:val="bottom"/>
            <w:shd w:val="clear" w:color="auto" w:fill="E6E7E8"/>
          </w:tcPr>
          <w:p>
            <w:pPr>
              <w:spacing w:after="0"/>
              <w:rPr>
                <w:sz w:val="18"/>
                <w:szCs w:val="18"/>
                <w:color w:val="auto"/>
              </w:rPr>
            </w:pPr>
          </w:p>
        </w:tc>
        <w:tc>
          <w:tcPr>
            <w:tcW w:w="140" w:type="dxa"/>
            <w:vAlign w:val="bottom"/>
            <w:shd w:val="clear" w:color="auto" w:fill="E6E7E8"/>
          </w:tcPr>
          <w:p>
            <w:pPr>
              <w:spacing w:after="0"/>
              <w:rPr>
                <w:sz w:val="18"/>
                <w:szCs w:val="18"/>
                <w:color w:val="auto"/>
              </w:rPr>
            </w:pPr>
          </w:p>
        </w:tc>
        <w:tc>
          <w:tcPr>
            <w:tcW w:w="580" w:type="dxa"/>
            <w:vAlign w:val="bottom"/>
            <w:shd w:val="clear" w:color="auto" w:fill="E6E7E8"/>
          </w:tcPr>
          <w:p>
            <w:pPr>
              <w:spacing w:after="0"/>
              <w:rPr>
                <w:sz w:val="18"/>
                <w:szCs w:val="18"/>
                <w:color w:val="auto"/>
              </w:rPr>
            </w:pPr>
          </w:p>
        </w:tc>
        <w:tc>
          <w:tcPr>
            <w:tcW w:w="20" w:type="dxa"/>
            <w:vAlign w:val="bottom"/>
            <w:shd w:val="clear" w:color="auto" w:fill="E6E7E8"/>
          </w:tcPr>
          <w:p>
            <w:pPr>
              <w:spacing w:after="0"/>
              <w:rPr>
                <w:sz w:val="18"/>
                <w:szCs w:val="18"/>
                <w:color w:val="auto"/>
              </w:rPr>
            </w:pPr>
          </w:p>
        </w:tc>
        <w:tc>
          <w:tcPr>
            <w:tcW w:w="160" w:type="dxa"/>
            <w:vAlign w:val="bottom"/>
            <w:shd w:val="clear" w:color="auto" w:fill="E6E7E8"/>
          </w:tcPr>
          <w:p>
            <w:pPr>
              <w:spacing w:after="0"/>
              <w:rPr>
                <w:sz w:val="18"/>
                <w:szCs w:val="18"/>
                <w:color w:val="auto"/>
              </w:rPr>
            </w:pPr>
          </w:p>
        </w:tc>
        <w:tc>
          <w:tcPr>
            <w:tcW w:w="140" w:type="dxa"/>
            <w:vAlign w:val="bottom"/>
            <w:shd w:val="clear" w:color="auto" w:fill="E6E7E8"/>
          </w:tcPr>
          <w:p>
            <w:pPr>
              <w:spacing w:after="0"/>
              <w:rPr>
                <w:sz w:val="18"/>
                <w:szCs w:val="18"/>
                <w:color w:val="auto"/>
              </w:rPr>
            </w:pPr>
          </w:p>
        </w:tc>
        <w:tc>
          <w:tcPr>
            <w:tcW w:w="580" w:type="dxa"/>
            <w:vAlign w:val="bottom"/>
            <w:shd w:val="clear" w:color="auto" w:fill="E6E7E8"/>
          </w:tcPr>
          <w:p>
            <w:pPr>
              <w:spacing w:after="0"/>
              <w:rPr>
                <w:sz w:val="18"/>
                <w:szCs w:val="18"/>
                <w:color w:val="auto"/>
              </w:rPr>
            </w:pPr>
          </w:p>
        </w:tc>
        <w:tc>
          <w:tcPr>
            <w:tcW w:w="180" w:type="dxa"/>
            <w:vAlign w:val="bottom"/>
            <w:shd w:val="clear" w:color="auto" w:fill="E6E7E8"/>
          </w:tcPr>
          <w:p>
            <w:pPr>
              <w:spacing w:after="0"/>
              <w:rPr>
                <w:sz w:val="18"/>
                <w:szCs w:val="18"/>
                <w:color w:val="auto"/>
              </w:rPr>
            </w:pPr>
          </w:p>
        </w:tc>
        <w:tc>
          <w:tcPr>
            <w:tcW w:w="200" w:type="dxa"/>
            <w:vAlign w:val="bottom"/>
            <w:shd w:val="clear" w:color="auto" w:fill="E6E7E8"/>
          </w:tcPr>
          <w:p>
            <w:pPr>
              <w:spacing w:after="0"/>
              <w:rPr>
                <w:sz w:val="18"/>
                <w:szCs w:val="18"/>
                <w:color w:val="auto"/>
              </w:rPr>
            </w:pPr>
          </w:p>
        </w:tc>
        <w:tc>
          <w:tcPr>
            <w:tcW w:w="500" w:type="dxa"/>
            <w:vAlign w:val="bottom"/>
            <w:shd w:val="clear" w:color="auto" w:fill="E6E7E8"/>
          </w:tcPr>
          <w:p>
            <w:pPr>
              <w:spacing w:after="0"/>
              <w:rPr>
                <w:sz w:val="18"/>
                <w:szCs w:val="18"/>
                <w:color w:val="auto"/>
              </w:rPr>
            </w:pPr>
          </w:p>
        </w:tc>
        <w:tc>
          <w:tcPr>
            <w:tcW w:w="20" w:type="dxa"/>
            <w:vAlign w:val="bottom"/>
            <w:shd w:val="clear" w:color="auto" w:fill="E6E7E8"/>
          </w:tcPr>
          <w:p>
            <w:pPr>
              <w:spacing w:after="0"/>
              <w:rPr>
                <w:sz w:val="18"/>
                <w:szCs w:val="18"/>
                <w:color w:val="auto"/>
              </w:rPr>
            </w:pPr>
          </w:p>
        </w:tc>
        <w:tc>
          <w:tcPr>
            <w:tcW w:w="160" w:type="dxa"/>
            <w:vAlign w:val="bottom"/>
            <w:shd w:val="clear" w:color="auto" w:fill="E6E7E8"/>
          </w:tcPr>
          <w:p>
            <w:pPr>
              <w:spacing w:after="0"/>
              <w:rPr>
                <w:sz w:val="18"/>
                <w:szCs w:val="18"/>
                <w:color w:val="auto"/>
              </w:rPr>
            </w:pPr>
          </w:p>
        </w:tc>
        <w:tc>
          <w:tcPr>
            <w:tcW w:w="640" w:type="dxa"/>
            <w:vAlign w:val="bottom"/>
            <w:shd w:val="clear" w:color="auto" w:fill="E6E7E8"/>
          </w:tcPr>
          <w:p>
            <w:pPr>
              <w:spacing w:after="0"/>
              <w:rPr>
                <w:sz w:val="18"/>
                <w:szCs w:val="18"/>
                <w:color w:val="auto"/>
              </w:rPr>
            </w:pPr>
          </w:p>
        </w:tc>
        <w:tc>
          <w:tcPr>
            <w:tcW w:w="280" w:type="dxa"/>
            <w:vAlign w:val="bottom"/>
            <w:shd w:val="clear" w:color="auto" w:fill="E6E7E8"/>
          </w:tcPr>
          <w:p>
            <w:pPr>
              <w:spacing w:after="0"/>
              <w:rPr>
                <w:sz w:val="18"/>
                <w:szCs w:val="18"/>
                <w:color w:val="auto"/>
              </w:rPr>
            </w:pPr>
          </w:p>
        </w:tc>
        <w:tc>
          <w:tcPr>
            <w:tcW w:w="220" w:type="dxa"/>
            <w:vAlign w:val="bottom"/>
            <w:shd w:val="clear" w:color="auto" w:fill="E6E7E8"/>
          </w:tcPr>
          <w:p>
            <w:pPr>
              <w:spacing w:after="0"/>
              <w:rPr>
                <w:sz w:val="18"/>
                <w:szCs w:val="18"/>
                <w:color w:val="auto"/>
              </w:rPr>
            </w:pPr>
          </w:p>
        </w:tc>
        <w:tc>
          <w:tcPr>
            <w:tcW w:w="500" w:type="dxa"/>
            <w:vAlign w:val="bottom"/>
            <w:shd w:val="clear" w:color="auto" w:fill="E6E7E8"/>
          </w:tcPr>
          <w:p>
            <w:pPr>
              <w:spacing w:after="0"/>
              <w:rPr>
                <w:sz w:val="18"/>
                <w:szCs w:val="18"/>
                <w:color w:val="auto"/>
              </w:rPr>
            </w:pPr>
          </w:p>
        </w:tc>
        <w:tc>
          <w:tcPr>
            <w:tcW w:w="20" w:type="dxa"/>
            <w:vAlign w:val="bottom"/>
            <w:shd w:val="clear" w:color="auto" w:fill="E6E7E8"/>
          </w:tcPr>
          <w:p>
            <w:pPr>
              <w:spacing w:after="0"/>
              <w:rPr>
                <w:sz w:val="18"/>
                <w:szCs w:val="18"/>
                <w:color w:val="auto"/>
              </w:rPr>
            </w:pPr>
          </w:p>
        </w:tc>
        <w:tc>
          <w:tcPr>
            <w:tcW w:w="160" w:type="dxa"/>
            <w:vAlign w:val="bottom"/>
            <w:shd w:val="clear" w:color="auto" w:fill="E6E7E8"/>
          </w:tcPr>
          <w:p>
            <w:pPr>
              <w:spacing w:after="0"/>
              <w:rPr>
                <w:sz w:val="18"/>
                <w:szCs w:val="18"/>
                <w:color w:val="auto"/>
              </w:rPr>
            </w:pPr>
          </w:p>
        </w:tc>
        <w:tc>
          <w:tcPr>
            <w:tcW w:w="620" w:type="dxa"/>
            <w:vAlign w:val="bottom"/>
            <w:shd w:val="clear" w:color="auto" w:fill="E6E7E8"/>
          </w:tcPr>
          <w:p>
            <w:pPr>
              <w:spacing w:after="0"/>
              <w:rPr>
                <w:sz w:val="18"/>
                <w:szCs w:val="18"/>
                <w:color w:val="auto"/>
              </w:rPr>
            </w:pPr>
          </w:p>
        </w:tc>
        <w:tc>
          <w:tcPr>
            <w:tcW w:w="280" w:type="dxa"/>
            <w:vAlign w:val="bottom"/>
            <w:shd w:val="clear" w:color="auto" w:fill="E6E7E8"/>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34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Residential</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w w:val="8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124.3</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231F20"/>
              </w:rPr>
              <w:t>101.0</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100.7</w:t>
            </w:r>
          </w:p>
        </w:tc>
        <w:tc>
          <w:tcPr>
            <w:tcW w:w="18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231F20"/>
                <w:w w:val="70"/>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231F20"/>
                <w:w w:val="96"/>
              </w:rPr>
              <w:t>23.3</w:t>
            </w:r>
          </w:p>
        </w:tc>
        <w:tc>
          <w:tcPr>
            <w:tcW w:w="1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231F20"/>
              </w:rPr>
              <w:t>23.1%</w:t>
            </w:r>
          </w:p>
        </w:tc>
        <w:tc>
          <w:tcPr>
            <w:tcW w:w="22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231F20"/>
                <w:w w:val="8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231F20"/>
              </w:rPr>
              <w:t>0.3%</w:t>
            </w:r>
          </w:p>
        </w:tc>
        <w:tc>
          <w:tcPr>
            <w:tcW w:w="0" w:type="dxa"/>
            <w:vAlign w:val="bottom"/>
          </w:tcPr>
          <w:p>
            <w:pPr>
              <w:spacing w:after="0"/>
              <w:rPr>
                <w:sz w:val="1"/>
                <w:szCs w:val="1"/>
                <w:color w:val="auto"/>
              </w:rPr>
            </w:pPr>
          </w:p>
        </w:tc>
      </w:tr>
      <w:tr>
        <w:trPr>
          <w:trHeight w:val="218"/>
        </w:trPr>
        <w:tc>
          <w:tcPr>
            <w:tcW w:w="334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Commercial &amp; Industrial</w:t>
            </w:r>
          </w:p>
        </w:tc>
        <w:tc>
          <w:tcPr>
            <w:tcW w:w="80" w:type="dxa"/>
            <w:vAlign w:val="bottom"/>
            <w:shd w:val="clear" w:color="auto" w:fill="E6E7E8"/>
          </w:tcPr>
          <w:p>
            <w:pPr>
              <w:spacing w:after="0"/>
              <w:rPr>
                <w:sz w:val="19"/>
                <w:szCs w:val="19"/>
                <w:color w:val="auto"/>
              </w:rPr>
            </w:pPr>
          </w:p>
        </w:tc>
        <w:tc>
          <w:tcPr>
            <w:tcW w:w="140" w:type="dxa"/>
            <w:vAlign w:val="bottom"/>
            <w:shd w:val="clear" w:color="auto" w:fill="E6E7E8"/>
          </w:tcPr>
          <w:p>
            <w:pPr>
              <w:spacing w:after="0"/>
              <w:rPr>
                <w:sz w:val="19"/>
                <w:szCs w:val="19"/>
                <w:color w:val="auto"/>
              </w:rPr>
            </w:pPr>
          </w:p>
        </w:tc>
        <w:tc>
          <w:tcPr>
            <w:tcW w:w="5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175.3</w:t>
            </w:r>
          </w:p>
        </w:tc>
        <w:tc>
          <w:tcPr>
            <w:tcW w:w="180" w:type="dxa"/>
            <w:vAlign w:val="bottom"/>
            <w:shd w:val="clear" w:color="auto" w:fill="E6E7E8"/>
          </w:tcPr>
          <w:p>
            <w:pPr>
              <w:spacing w:after="0"/>
              <w:rPr>
                <w:sz w:val="19"/>
                <w:szCs w:val="19"/>
                <w:color w:val="auto"/>
              </w:rPr>
            </w:pPr>
          </w:p>
        </w:tc>
        <w:tc>
          <w:tcPr>
            <w:tcW w:w="140" w:type="dxa"/>
            <w:vAlign w:val="bottom"/>
            <w:shd w:val="clear" w:color="auto" w:fill="E6E7E8"/>
          </w:tcPr>
          <w:p>
            <w:pPr>
              <w:spacing w:after="0"/>
              <w:rPr>
                <w:sz w:val="19"/>
                <w:szCs w:val="19"/>
                <w:color w:val="auto"/>
              </w:rPr>
            </w:pPr>
          </w:p>
        </w:tc>
        <w:tc>
          <w:tcPr>
            <w:tcW w:w="760" w:type="dxa"/>
            <w:vAlign w:val="bottom"/>
            <w:gridSpan w:val="3"/>
            <w:shd w:val="clear" w:color="auto" w:fill="E6E7E8"/>
          </w:tcPr>
          <w:p>
            <w:pPr>
              <w:jc w:val="right"/>
              <w:ind w:right="180"/>
              <w:spacing w:after="0"/>
              <w:rPr>
                <w:sz w:val="20"/>
                <w:szCs w:val="20"/>
                <w:color w:val="auto"/>
              </w:rPr>
            </w:pPr>
            <w:r>
              <w:rPr>
                <w:rFonts w:ascii="Times New Roman" w:cs="Times New Roman" w:eastAsia="Times New Roman" w:hAnsi="Times New Roman"/>
                <w:sz w:val="19"/>
                <w:szCs w:val="19"/>
                <w:color w:val="231F20"/>
              </w:rPr>
              <w:t>145.5</w:t>
            </w:r>
          </w:p>
        </w:tc>
        <w:tc>
          <w:tcPr>
            <w:tcW w:w="140" w:type="dxa"/>
            <w:vAlign w:val="bottom"/>
            <w:shd w:val="clear" w:color="auto" w:fill="E6E7E8"/>
          </w:tcPr>
          <w:p>
            <w:pPr>
              <w:spacing w:after="0"/>
              <w:rPr>
                <w:sz w:val="19"/>
                <w:szCs w:val="19"/>
                <w:color w:val="auto"/>
              </w:rPr>
            </w:pPr>
          </w:p>
        </w:tc>
        <w:tc>
          <w:tcPr>
            <w:tcW w:w="5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149.9</w:t>
            </w:r>
          </w:p>
        </w:tc>
        <w:tc>
          <w:tcPr>
            <w:tcW w:w="18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c>
          <w:tcPr>
            <w:tcW w:w="680" w:type="dxa"/>
            <w:vAlign w:val="bottom"/>
            <w:gridSpan w:val="3"/>
            <w:shd w:val="clear" w:color="auto" w:fill="E6E7E8"/>
          </w:tcPr>
          <w:p>
            <w:pPr>
              <w:ind w:left="180"/>
              <w:spacing w:after="0"/>
              <w:rPr>
                <w:sz w:val="20"/>
                <w:szCs w:val="20"/>
                <w:color w:val="auto"/>
              </w:rPr>
            </w:pPr>
            <w:r>
              <w:rPr>
                <w:rFonts w:ascii="Times New Roman" w:cs="Times New Roman" w:eastAsia="Times New Roman" w:hAnsi="Times New Roman"/>
                <w:sz w:val="19"/>
                <w:szCs w:val="19"/>
                <w:color w:val="231F20"/>
              </w:rPr>
              <w:t>29.8</w:t>
            </w:r>
          </w:p>
        </w:tc>
        <w:tc>
          <w:tcPr>
            <w:tcW w:w="920" w:type="dxa"/>
            <w:vAlign w:val="bottom"/>
            <w:gridSpan w:val="2"/>
            <w:shd w:val="clear" w:color="auto" w:fill="E6E7E8"/>
          </w:tcPr>
          <w:p>
            <w:pPr>
              <w:jc w:val="right"/>
              <w:ind w:right="120"/>
              <w:spacing w:after="0"/>
              <w:rPr>
                <w:sz w:val="20"/>
                <w:szCs w:val="20"/>
                <w:color w:val="auto"/>
              </w:rPr>
            </w:pPr>
            <w:r>
              <w:rPr>
                <w:rFonts w:ascii="Times New Roman" w:cs="Times New Roman" w:eastAsia="Times New Roman" w:hAnsi="Times New Roman"/>
                <w:sz w:val="19"/>
                <w:szCs w:val="19"/>
                <w:color w:val="231F20"/>
              </w:rPr>
              <w:t>20.5%</w:t>
            </w:r>
          </w:p>
        </w:tc>
        <w:tc>
          <w:tcPr>
            <w:tcW w:w="220" w:type="dxa"/>
            <w:vAlign w:val="bottom"/>
            <w:shd w:val="clear" w:color="auto" w:fill="E6E7E8"/>
          </w:tcPr>
          <w:p>
            <w:pPr>
              <w:spacing w:after="0"/>
              <w:rPr>
                <w:sz w:val="19"/>
                <w:szCs w:val="19"/>
                <w:color w:val="auto"/>
              </w:rPr>
            </w:pPr>
          </w:p>
        </w:tc>
        <w:tc>
          <w:tcPr>
            <w:tcW w:w="680" w:type="dxa"/>
            <w:vAlign w:val="bottom"/>
            <w:gridSpan w:val="3"/>
            <w:shd w:val="clear" w:color="auto" w:fill="E6E7E8"/>
          </w:tcPr>
          <w:p>
            <w:pPr>
              <w:jc w:val="right"/>
              <w:ind w:right="120"/>
              <w:spacing w:after="0"/>
              <w:rPr>
                <w:sz w:val="20"/>
                <w:szCs w:val="20"/>
                <w:color w:val="auto"/>
              </w:rPr>
            </w:pPr>
            <w:r>
              <w:rPr>
                <w:rFonts w:ascii="Times New Roman" w:cs="Times New Roman" w:eastAsia="Times New Roman" w:hAnsi="Times New Roman"/>
                <w:sz w:val="19"/>
                <w:szCs w:val="19"/>
                <w:color w:val="231F20"/>
              </w:rPr>
              <w:t>(4.4)</w:t>
            </w:r>
          </w:p>
        </w:tc>
        <w:tc>
          <w:tcPr>
            <w:tcW w:w="900" w:type="dxa"/>
            <w:vAlign w:val="bottom"/>
            <w:gridSpan w:val="2"/>
            <w:shd w:val="clear" w:color="auto" w:fill="E6E7E8"/>
          </w:tcPr>
          <w:p>
            <w:pPr>
              <w:jc w:val="right"/>
              <w:ind w:right="60"/>
              <w:spacing w:after="0"/>
              <w:rPr>
                <w:sz w:val="20"/>
                <w:szCs w:val="20"/>
                <w:color w:val="auto"/>
              </w:rPr>
            </w:pPr>
            <w:r>
              <w:rPr>
                <w:rFonts w:ascii="Times New Roman" w:cs="Times New Roman" w:eastAsia="Times New Roman" w:hAnsi="Times New Roman"/>
                <w:sz w:val="19"/>
                <w:szCs w:val="19"/>
                <w:color w:val="231F20"/>
              </w:rPr>
              <w:t>(2.9)%</w:t>
            </w:r>
          </w:p>
        </w:tc>
        <w:tc>
          <w:tcPr>
            <w:tcW w:w="0" w:type="dxa"/>
            <w:vAlign w:val="bottom"/>
          </w:tcPr>
          <w:p>
            <w:pPr>
              <w:spacing w:after="0"/>
              <w:rPr>
                <w:sz w:val="1"/>
                <w:szCs w:val="1"/>
                <w:color w:val="auto"/>
              </w:rPr>
            </w:pPr>
          </w:p>
        </w:tc>
      </w:tr>
      <w:tr>
        <w:trPr>
          <w:trHeight w:val="214"/>
        </w:trPr>
        <w:tc>
          <w:tcPr>
            <w:tcW w:w="3340" w:type="dxa"/>
            <w:vAlign w:val="bottom"/>
            <w:tcBorders>
              <w:bottom w:val="single" w:sz="8" w:color="E6E7E8"/>
            </w:tcBorders>
          </w:tcPr>
          <w:p>
            <w:pPr>
              <w:spacing w:after="0" w:line="214" w:lineRule="exact"/>
              <w:rPr>
                <w:sz w:val="20"/>
                <w:szCs w:val="20"/>
                <w:color w:val="auto"/>
              </w:rPr>
            </w:pPr>
            <w:r>
              <w:rPr>
                <w:rFonts w:ascii="Times New Roman" w:cs="Times New Roman" w:eastAsia="Times New Roman" w:hAnsi="Times New Roman"/>
                <w:sz w:val="19"/>
                <w:szCs w:val="19"/>
                <w:color w:val="231F20"/>
              </w:rPr>
              <w:t>Total Gas Operating Revenue</w:t>
            </w:r>
          </w:p>
        </w:tc>
        <w:tc>
          <w:tcPr>
            <w:tcW w:w="80" w:type="dxa"/>
            <w:vAlign w:val="bottom"/>
            <w:tcBorders>
              <w:bottom w:val="single" w:sz="8" w:color="E6E7E8"/>
            </w:tcBorders>
          </w:tcPr>
          <w:p>
            <w:pPr>
              <w:spacing w:after="0"/>
              <w:rPr>
                <w:sz w:val="18"/>
                <w:szCs w:val="18"/>
                <w:color w:val="auto"/>
              </w:rPr>
            </w:pPr>
          </w:p>
        </w:tc>
        <w:tc>
          <w:tcPr>
            <w:tcW w:w="140" w:type="dxa"/>
            <w:vAlign w:val="bottom"/>
            <w:tcBorders>
              <w:top w:val="single" w:sz="8" w:color="231F20"/>
              <w:bottom w:val="single" w:sz="8" w:color="231F20"/>
            </w:tcBorders>
          </w:tcPr>
          <w:p>
            <w:pPr>
              <w:spacing w:after="0"/>
              <w:rPr>
                <w:sz w:val="18"/>
                <w:szCs w:val="18"/>
                <w:color w:val="auto"/>
              </w:rPr>
            </w:pPr>
          </w:p>
        </w:tc>
        <w:tc>
          <w:tcPr>
            <w:tcW w:w="580" w:type="dxa"/>
            <w:vAlign w:val="bottom"/>
            <w:tcBorders>
              <w:top w:val="single" w:sz="8" w:color="231F20"/>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299.6</w:t>
            </w:r>
          </w:p>
        </w:tc>
        <w:tc>
          <w:tcPr>
            <w:tcW w:w="180" w:type="dxa"/>
            <w:vAlign w:val="bottom"/>
            <w:tcBorders>
              <w:bottom w:val="single" w:sz="8" w:color="E6E7E8"/>
            </w:tcBorders>
          </w:tcPr>
          <w:p>
            <w:pPr>
              <w:spacing w:after="0"/>
              <w:rPr>
                <w:sz w:val="18"/>
                <w:szCs w:val="18"/>
                <w:color w:val="auto"/>
              </w:rPr>
            </w:pPr>
          </w:p>
        </w:tc>
        <w:tc>
          <w:tcPr>
            <w:tcW w:w="140" w:type="dxa"/>
            <w:vAlign w:val="bottom"/>
            <w:tcBorders>
              <w:top w:val="single" w:sz="8" w:color="231F20"/>
              <w:bottom w:val="single" w:sz="8" w:color="231F20"/>
            </w:tcBorders>
          </w:tcPr>
          <w:p>
            <w:pPr>
              <w:spacing w:after="0"/>
              <w:rPr>
                <w:sz w:val="18"/>
                <w:szCs w:val="18"/>
                <w:color w:val="auto"/>
              </w:rPr>
            </w:pPr>
          </w:p>
        </w:tc>
        <w:tc>
          <w:tcPr>
            <w:tcW w:w="580" w:type="dxa"/>
            <w:vAlign w:val="bottom"/>
            <w:tcBorders>
              <w:top w:val="single" w:sz="8" w:color="231F20"/>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246.5</w:t>
            </w:r>
          </w:p>
        </w:tc>
        <w:tc>
          <w:tcPr>
            <w:tcW w:w="20" w:type="dxa"/>
            <w:vAlign w:val="bottom"/>
          </w:tcPr>
          <w:p>
            <w:pPr>
              <w:spacing w:after="0"/>
              <w:rPr>
                <w:sz w:val="18"/>
                <w:szCs w:val="18"/>
                <w:color w:val="auto"/>
              </w:rPr>
            </w:pPr>
          </w:p>
        </w:tc>
        <w:tc>
          <w:tcPr>
            <w:tcW w:w="160" w:type="dxa"/>
            <w:vAlign w:val="bottom"/>
            <w:tcBorders>
              <w:bottom w:val="single" w:sz="8" w:color="E6E7E8"/>
            </w:tcBorders>
          </w:tcPr>
          <w:p>
            <w:pPr>
              <w:spacing w:after="0"/>
              <w:rPr>
                <w:sz w:val="18"/>
                <w:szCs w:val="18"/>
                <w:color w:val="auto"/>
              </w:rPr>
            </w:pPr>
          </w:p>
        </w:tc>
        <w:tc>
          <w:tcPr>
            <w:tcW w:w="140" w:type="dxa"/>
            <w:vAlign w:val="bottom"/>
            <w:tcBorders>
              <w:top w:val="single" w:sz="8" w:color="231F20"/>
              <w:bottom w:val="single" w:sz="8" w:color="231F20"/>
            </w:tcBorders>
          </w:tcPr>
          <w:p>
            <w:pPr>
              <w:spacing w:after="0"/>
              <w:rPr>
                <w:sz w:val="18"/>
                <w:szCs w:val="18"/>
                <w:color w:val="auto"/>
              </w:rPr>
            </w:pPr>
          </w:p>
        </w:tc>
        <w:tc>
          <w:tcPr>
            <w:tcW w:w="580" w:type="dxa"/>
            <w:vAlign w:val="bottom"/>
            <w:tcBorders>
              <w:top w:val="single" w:sz="8" w:color="231F20"/>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250.6</w:t>
            </w:r>
          </w:p>
        </w:tc>
        <w:tc>
          <w:tcPr>
            <w:tcW w:w="180" w:type="dxa"/>
            <w:vAlign w:val="bottom"/>
            <w:tcBorders>
              <w:bottom w:val="single" w:sz="8" w:color="E6E7E8"/>
            </w:tcBorders>
          </w:tcPr>
          <w:p>
            <w:pPr>
              <w:spacing w:after="0"/>
              <w:rPr>
                <w:sz w:val="18"/>
                <w:szCs w:val="18"/>
                <w:color w:val="auto"/>
              </w:rPr>
            </w:pPr>
          </w:p>
        </w:tc>
        <w:tc>
          <w:tcPr>
            <w:tcW w:w="200" w:type="dxa"/>
            <w:vAlign w:val="bottom"/>
            <w:tcBorders>
              <w:top w:val="single" w:sz="8" w:color="231F20"/>
              <w:bottom w:val="single" w:sz="8" w:color="231F20"/>
            </w:tcBorders>
          </w:tcPr>
          <w:p>
            <w:pPr>
              <w:spacing w:after="0"/>
              <w:rPr>
                <w:sz w:val="18"/>
                <w:szCs w:val="18"/>
                <w:color w:val="auto"/>
              </w:rPr>
            </w:pPr>
          </w:p>
        </w:tc>
        <w:tc>
          <w:tcPr>
            <w:tcW w:w="500" w:type="dxa"/>
            <w:vAlign w:val="bottom"/>
            <w:tcBorders>
              <w:top w:val="single" w:sz="8" w:color="231F20"/>
              <w:bottom w:val="single" w:sz="8" w:color="231F20"/>
            </w:tcBorders>
          </w:tcPr>
          <w:p>
            <w:pPr>
              <w:ind w:left="180"/>
              <w:spacing w:after="0" w:line="214" w:lineRule="exact"/>
              <w:rPr>
                <w:sz w:val="20"/>
                <w:szCs w:val="20"/>
                <w:color w:val="auto"/>
              </w:rPr>
            </w:pPr>
            <w:r>
              <w:rPr>
                <w:rFonts w:ascii="Times New Roman" w:cs="Times New Roman" w:eastAsia="Times New Roman" w:hAnsi="Times New Roman"/>
                <w:sz w:val="19"/>
                <w:szCs w:val="19"/>
                <w:color w:val="231F20"/>
                <w:w w:val="90"/>
              </w:rPr>
              <w:t>53.1</w:t>
            </w:r>
          </w:p>
        </w:tc>
        <w:tc>
          <w:tcPr>
            <w:tcW w:w="20" w:type="dxa"/>
            <w:vAlign w:val="bottom"/>
          </w:tcPr>
          <w:p>
            <w:pPr>
              <w:spacing w:after="0"/>
              <w:rPr>
                <w:sz w:val="18"/>
                <w:szCs w:val="18"/>
                <w:color w:val="auto"/>
              </w:rPr>
            </w:pPr>
          </w:p>
        </w:tc>
        <w:tc>
          <w:tcPr>
            <w:tcW w:w="160" w:type="dxa"/>
            <w:vAlign w:val="bottom"/>
            <w:tcBorders>
              <w:bottom w:val="single" w:sz="8" w:color="E6E7E8"/>
            </w:tcBorders>
          </w:tcPr>
          <w:p>
            <w:pPr>
              <w:spacing w:after="0"/>
              <w:rPr>
                <w:sz w:val="18"/>
                <w:szCs w:val="18"/>
                <w:color w:val="auto"/>
              </w:rPr>
            </w:pPr>
          </w:p>
        </w:tc>
        <w:tc>
          <w:tcPr>
            <w:tcW w:w="920" w:type="dxa"/>
            <w:vAlign w:val="bottom"/>
            <w:tcBorders>
              <w:bottom w:val="single" w:sz="8" w:color="E6E7E8"/>
            </w:tcBorders>
            <w:gridSpan w:val="2"/>
          </w:tcPr>
          <w:p>
            <w:pPr>
              <w:jc w:val="right"/>
              <w:ind w:right="120"/>
              <w:spacing w:after="0" w:line="214" w:lineRule="exact"/>
              <w:rPr>
                <w:sz w:val="20"/>
                <w:szCs w:val="20"/>
                <w:color w:val="auto"/>
              </w:rPr>
            </w:pPr>
            <w:r>
              <w:rPr>
                <w:rFonts w:ascii="Times New Roman" w:cs="Times New Roman" w:eastAsia="Times New Roman" w:hAnsi="Times New Roman"/>
                <w:sz w:val="19"/>
                <w:szCs w:val="19"/>
                <w:color w:val="231F20"/>
              </w:rPr>
              <w:t>21.5%</w:t>
            </w:r>
          </w:p>
        </w:tc>
        <w:tc>
          <w:tcPr>
            <w:tcW w:w="220" w:type="dxa"/>
            <w:vAlign w:val="bottom"/>
            <w:tcBorders>
              <w:top w:val="single" w:sz="8" w:color="231F20"/>
              <w:bottom w:val="single" w:sz="8" w:color="231F20"/>
            </w:tcBorders>
          </w:tcPr>
          <w:p>
            <w:pPr>
              <w:spacing w:after="0"/>
              <w:rPr>
                <w:sz w:val="18"/>
                <w:szCs w:val="18"/>
                <w:color w:val="auto"/>
              </w:rPr>
            </w:pPr>
          </w:p>
        </w:tc>
        <w:tc>
          <w:tcPr>
            <w:tcW w:w="500" w:type="dxa"/>
            <w:vAlign w:val="bottom"/>
            <w:tcBorders>
              <w:top w:val="single" w:sz="8" w:color="231F20"/>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(4.1)</w:t>
            </w:r>
          </w:p>
        </w:tc>
        <w:tc>
          <w:tcPr>
            <w:tcW w:w="20" w:type="dxa"/>
            <w:vAlign w:val="bottom"/>
          </w:tcPr>
          <w:p>
            <w:pPr>
              <w:spacing w:after="0"/>
              <w:rPr>
                <w:sz w:val="18"/>
                <w:szCs w:val="18"/>
                <w:color w:val="auto"/>
              </w:rPr>
            </w:pPr>
          </w:p>
        </w:tc>
        <w:tc>
          <w:tcPr>
            <w:tcW w:w="160" w:type="dxa"/>
            <w:vAlign w:val="bottom"/>
            <w:tcBorders>
              <w:bottom w:val="single" w:sz="8" w:color="E6E7E8"/>
            </w:tcBorders>
          </w:tcPr>
          <w:p>
            <w:pPr>
              <w:spacing w:after="0"/>
              <w:rPr>
                <w:sz w:val="18"/>
                <w:szCs w:val="18"/>
                <w:color w:val="auto"/>
              </w:rPr>
            </w:pPr>
          </w:p>
        </w:tc>
        <w:tc>
          <w:tcPr>
            <w:tcW w:w="900" w:type="dxa"/>
            <w:vAlign w:val="bottom"/>
            <w:tcBorders>
              <w:bottom w:val="single" w:sz="8" w:color="E6E7E8"/>
            </w:tcBorders>
            <w:gridSpan w:val="2"/>
          </w:tcPr>
          <w:p>
            <w:pPr>
              <w:jc w:val="right"/>
              <w:ind w:right="60"/>
              <w:spacing w:after="0" w:line="214" w:lineRule="exact"/>
              <w:rPr>
                <w:sz w:val="20"/>
                <w:szCs w:val="20"/>
                <w:color w:val="auto"/>
              </w:rPr>
            </w:pPr>
            <w:r>
              <w:rPr>
                <w:rFonts w:ascii="Times New Roman" w:cs="Times New Roman" w:eastAsia="Times New Roman" w:hAnsi="Times New Roman"/>
                <w:sz w:val="19"/>
                <w:szCs w:val="19"/>
                <w:color w:val="231F20"/>
              </w:rPr>
              <w:t>(1.6)%</w:t>
            </w:r>
          </w:p>
        </w:tc>
        <w:tc>
          <w:tcPr>
            <w:tcW w:w="0" w:type="dxa"/>
            <w:vAlign w:val="bottom"/>
          </w:tcPr>
          <w:p>
            <w:pPr>
              <w:spacing w:after="0"/>
              <w:rPr>
                <w:sz w:val="1"/>
                <w:szCs w:val="1"/>
                <w:color w:val="auto"/>
              </w:rPr>
            </w:pPr>
          </w:p>
        </w:tc>
      </w:tr>
      <w:tr>
        <w:trPr>
          <w:trHeight w:val="213"/>
        </w:trPr>
        <w:tc>
          <w:tcPr>
            <w:tcW w:w="3340" w:type="dxa"/>
            <w:vAlign w:val="bottom"/>
            <w:shd w:val="clear" w:color="auto" w:fill="E6E7E8"/>
          </w:tcPr>
          <w:p>
            <w:pPr>
              <w:spacing w:after="0" w:line="214" w:lineRule="exact"/>
              <w:rPr>
                <w:sz w:val="20"/>
                <w:szCs w:val="20"/>
                <w:color w:val="auto"/>
              </w:rPr>
            </w:pPr>
            <w:r>
              <w:rPr>
                <w:rFonts w:ascii="Times New Roman" w:cs="Times New Roman" w:eastAsia="Times New Roman" w:hAnsi="Times New Roman"/>
                <w:sz w:val="19"/>
                <w:szCs w:val="19"/>
                <w:color w:val="231F20"/>
              </w:rPr>
              <w:t>Cost of Gas Sales</w:t>
            </w:r>
          </w:p>
        </w:tc>
        <w:tc>
          <w:tcPr>
            <w:tcW w:w="80" w:type="dxa"/>
            <w:vAlign w:val="bottom"/>
            <w:shd w:val="clear" w:color="auto" w:fill="E6E7E8"/>
          </w:tcPr>
          <w:p>
            <w:pPr>
              <w:spacing w:after="0"/>
              <w:rPr>
                <w:sz w:val="18"/>
                <w:szCs w:val="18"/>
                <w:color w:val="auto"/>
              </w:rPr>
            </w:pPr>
          </w:p>
        </w:tc>
        <w:tc>
          <w:tcPr>
            <w:tcW w:w="140" w:type="dxa"/>
            <w:vAlign w:val="bottom"/>
            <w:shd w:val="clear" w:color="auto" w:fill="E6E7E8"/>
          </w:tcPr>
          <w:p>
            <w:pPr>
              <w:spacing w:after="0"/>
              <w:rPr>
                <w:sz w:val="18"/>
                <w:szCs w:val="18"/>
                <w:color w:val="auto"/>
              </w:rPr>
            </w:pPr>
          </w:p>
        </w:tc>
        <w:tc>
          <w:tcPr>
            <w:tcW w:w="580" w:type="dxa"/>
            <w:vAlign w:val="bottom"/>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100.5</w:t>
            </w:r>
          </w:p>
        </w:tc>
        <w:tc>
          <w:tcPr>
            <w:tcW w:w="180" w:type="dxa"/>
            <w:vAlign w:val="bottom"/>
            <w:shd w:val="clear" w:color="auto" w:fill="E6E7E8"/>
          </w:tcPr>
          <w:p>
            <w:pPr>
              <w:spacing w:after="0"/>
              <w:rPr>
                <w:sz w:val="18"/>
                <w:szCs w:val="18"/>
                <w:color w:val="auto"/>
              </w:rPr>
            </w:pPr>
          </w:p>
        </w:tc>
        <w:tc>
          <w:tcPr>
            <w:tcW w:w="140" w:type="dxa"/>
            <w:vAlign w:val="bottom"/>
            <w:shd w:val="clear" w:color="auto" w:fill="E6E7E8"/>
          </w:tcPr>
          <w:p>
            <w:pPr>
              <w:spacing w:after="0"/>
              <w:rPr>
                <w:sz w:val="18"/>
                <w:szCs w:val="18"/>
                <w:color w:val="auto"/>
              </w:rPr>
            </w:pPr>
          </w:p>
        </w:tc>
        <w:tc>
          <w:tcPr>
            <w:tcW w:w="600" w:type="dxa"/>
            <w:vAlign w:val="bottom"/>
            <w:gridSpan w:val="2"/>
            <w:shd w:val="clear" w:color="auto" w:fill="E6E7E8"/>
          </w:tcPr>
          <w:p>
            <w:pPr>
              <w:jc w:val="right"/>
              <w:ind w:right="20"/>
              <w:spacing w:after="0" w:line="214" w:lineRule="exact"/>
              <w:rPr>
                <w:sz w:val="20"/>
                <w:szCs w:val="20"/>
                <w:color w:val="auto"/>
              </w:rPr>
            </w:pPr>
            <w:r>
              <w:rPr>
                <w:rFonts w:ascii="Times New Roman" w:cs="Times New Roman" w:eastAsia="Times New Roman" w:hAnsi="Times New Roman"/>
                <w:sz w:val="19"/>
                <w:szCs w:val="19"/>
                <w:color w:val="231F20"/>
              </w:rPr>
              <w:t>79.6</w:t>
            </w:r>
          </w:p>
        </w:tc>
        <w:tc>
          <w:tcPr>
            <w:tcW w:w="160" w:type="dxa"/>
            <w:vAlign w:val="bottom"/>
            <w:shd w:val="clear" w:color="auto" w:fill="E6E7E8"/>
          </w:tcPr>
          <w:p>
            <w:pPr>
              <w:spacing w:after="0"/>
              <w:rPr>
                <w:sz w:val="18"/>
                <w:szCs w:val="18"/>
                <w:color w:val="auto"/>
              </w:rPr>
            </w:pPr>
          </w:p>
        </w:tc>
        <w:tc>
          <w:tcPr>
            <w:tcW w:w="140" w:type="dxa"/>
            <w:vAlign w:val="bottom"/>
            <w:shd w:val="clear" w:color="auto" w:fill="E6E7E8"/>
          </w:tcPr>
          <w:p>
            <w:pPr>
              <w:spacing w:after="0"/>
              <w:rPr>
                <w:sz w:val="18"/>
                <w:szCs w:val="18"/>
                <w:color w:val="auto"/>
              </w:rPr>
            </w:pPr>
          </w:p>
        </w:tc>
        <w:tc>
          <w:tcPr>
            <w:tcW w:w="580" w:type="dxa"/>
            <w:vAlign w:val="bottom"/>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96.1</w:t>
            </w:r>
          </w:p>
        </w:tc>
        <w:tc>
          <w:tcPr>
            <w:tcW w:w="180" w:type="dxa"/>
            <w:vAlign w:val="bottom"/>
            <w:shd w:val="clear" w:color="auto" w:fill="E6E7E8"/>
          </w:tcPr>
          <w:p>
            <w:pPr>
              <w:spacing w:after="0"/>
              <w:rPr>
                <w:sz w:val="18"/>
                <w:szCs w:val="18"/>
                <w:color w:val="auto"/>
              </w:rPr>
            </w:pPr>
          </w:p>
        </w:tc>
        <w:tc>
          <w:tcPr>
            <w:tcW w:w="200" w:type="dxa"/>
            <w:vAlign w:val="bottom"/>
            <w:shd w:val="clear" w:color="auto" w:fill="E6E7E8"/>
          </w:tcPr>
          <w:p>
            <w:pPr>
              <w:spacing w:after="0"/>
              <w:rPr>
                <w:sz w:val="18"/>
                <w:szCs w:val="18"/>
                <w:color w:val="auto"/>
              </w:rPr>
            </w:pPr>
          </w:p>
        </w:tc>
        <w:tc>
          <w:tcPr>
            <w:tcW w:w="520" w:type="dxa"/>
            <w:vAlign w:val="bottom"/>
            <w:gridSpan w:val="2"/>
            <w:shd w:val="clear" w:color="auto" w:fill="E6E7E8"/>
          </w:tcPr>
          <w:p>
            <w:pPr>
              <w:ind w:left="180"/>
              <w:spacing w:after="0" w:line="214" w:lineRule="exact"/>
              <w:rPr>
                <w:sz w:val="20"/>
                <w:szCs w:val="20"/>
                <w:color w:val="auto"/>
              </w:rPr>
            </w:pPr>
            <w:r>
              <w:rPr>
                <w:rFonts w:ascii="Times New Roman" w:cs="Times New Roman" w:eastAsia="Times New Roman" w:hAnsi="Times New Roman"/>
                <w:sz w:val="19"/>
                <w:szCs w:val="19"/>
                <w:color w:val="231F20"/>
                <w:w w:val="96"/>
              </w:rPr>
              <w:t>20.9</w:t>
            </w:r>
          </w:p>
        </w:tc>
        <w:tc>
          <w:tcPr>
            <w:tcW w:w="160" w:type="dxa"/>
            <w:vAlign w:val="bottom"/>
            <w:shd w:val="clear" w:color="auto" w:fill="E6E7E8"/>
          </w:tcPr>
          <w:p>
            <w:pPr>
              <w:spacing w:after="0"/>
              <w:rPr>
                <w:sz w:val="18"/>
                <w:szCs w:val="18"/>
                <w:color w:val="auto"/>
              </w:rPr>
            </w:pPr>
          </w:p>
        </w:tc>
        <w:tc>
          <w:tcPr>
            <w:tcW w:w="920" w:type="dxa"/>
            <w:vAlign w:val="bottom"/>
            <w:gridSpan w:val="2"/>
            <w:shd w:val="clear" w:color="auto" w:fill="E6E7E8"/>
          </w:tcPr>
          <w:p>
            <w:pPr>
              <w:jc w:val="right"/>
              <w:ind w:right="120"/>
              <w:spacing w:after="0" w:line="214" w:lineRule="exact"/>
              <w:rPr>
                <w:sz w:val="20"/>
                <w:szCs w:val="20"/>
                <w:color w:val="auto"/>
              </w:rPr>
            </w:pPr>
            <w:r>
              <w:rPr>
                <w:rFonts w:ascii="Times New Roman" w:cs="Times New Roman" w:eastAsia="Times New Roman" w:hAnsi="Times New Roman"/>
                <w:sz w:val="19"/>
                <w:szCs w:val="19"/>
                <w:color w:val="231F20"/>
              </w:rPr>
              <w:t>26.3%</w:t>
            </w:r>
          </w:p>
        </w:tc>
        <w:tc>
          <w:tcPr>
            <w:tcW w:w="220" w:type="dxa"/>
            <w:vAlign w:val="bottom"/>
            <w:shd w:val="clear" w:color="auto" w:fill="E6E7E8"/>
          </w:tcPr>
          <w:p>
            <w:pPr>
              <w:spacing w:after="0"/>
              <w:rPr>
                <w:sz w:val="18"/>
                <w:szCs w:val="18"/>
                <w:color w:val="auto"/>
              </w:rPr>
            </w:pPr>
          </w:p>
        </w:tc>
        <w:tc>
          <w:tcPr>
            <w:tcW w:w="520" w:type="dxa"/>
            <w:vAlign w:val="bottom"/>
            <w:gridSpan w:val="2"/>
            <w:shd w:val="clear" w:color="auto" w:fill="E6E7E8"/>
          </w:tcPr>
          <w:p>
            <w:pPr>
              <w:jc w:val="right"/>
              <w:ind w:right="20"/>
              <w:spacing w:after="0" w:line="214" w:lineRule="exact"/>
              <w:rPr>
                <w:sz w:val="20"/>
                <w:szCs w:val="20"/>
                <w:color w:val="auto"/>
              </w:rPr>
            </w:pPr>
            <w:r>
              <w:rPr>
                <w:rFonts w:ascii="Times New Roman" w:cs="Times New Roman" w:eastAsia="Times New Roman" w:hAnsi="Times New Roman"/>
                <w:sz w:val="19"/>
                <w:szCs w:val="19"/>
                <w:color w:val="231F20"/>
              </w:rPr>
              <w:t>(16.5)</w:t>
            </w:r>
          </w:p>
        </w:tc>
        <w:tc>
          <w:tcPr>
            <w:tcW w:w="160" w:type="dxa"/>
            <w:vAlign w:val="bottom"/>
            <w:shd w:val="clear" w:color="auto" w:fill="E6E7E8"/>
          </w:tcPr>
          <w:p>
            <w:pPr>
              <w:spacing w:after="0"/>
              <w:rPr>
                <w:sz w:val="18"/>
                <w:szCs w:val="18"/>
                <w:color w:val="auto"/>
              </w:rPr>
            </w:pPr>
          </w:p>
        </w:tc>
        <w:tc>
          <w:tcPr>
            <w:tcW w:w="900" w:type="dxa"/>
            <w:vAlign w:val="bottom"/>
            <w:gridSpan w:val="2"/>
            <w:shd w:val="clear" w:color="auto" w:fill="E6E7E8"/>
          </w:tcPr>
          <w:p>
            <w:pPr>
              <w:jc w:val="right"/>
              <w:ind w:right="60"/>
              <w:spacing w:after="0" w:line="214" w:lineRule="exact"/>
              <w:rPr>
                <w:sz w:val="20"/>
                <w:szCs w:val="20"/>
                <w:color w:val="auto"/>
              </w:rPr>
            </w:pPr>
            <w:r>
              <w:rPr>
                <w:rFonts w:ascii="Times New Roman" w:cs="Times New Roman" w:eastAsia="Times New Roman" w:hAnsi="Times New Roman"/>
                <w:sz w:val="19"/>
                <w:szCs w:val="19"/>
                <w:color w:val="231F20"/>
              </w:rPr>
              <w:t>(17.2)%</w:t>
            </w:r>
          </w:p>
        </w:tc>
        <w:tc>
          <w:tcPr>
            <w:tcW w:w="0" w:type="dxa"/>
            <w:vAlign w:val="bottom"/>
          </w:tcPr>
          <w:p>
            <w:pPr>
              <w:spacing w:after="0"/>
              <w:rPr>
                <w:sz w:val="1"/>
                <w:szCs w:val="1"/>
                <w:color w:val="auto"/>
              </w:rPr>
            </w:pPr>
          </w:p>
        </w:tc>
      </w:tr>
      <w:tr>
        <w:trPr>
          <w:trHeight w:val="213"/>
        </w:trPr>
        <w:tc>
          <w:tcPr>
            <w:tcW w:w="3340" w:type="dxa"/>
            <w:vAlign w:val="bottom"/>
          </w:tcPr>
          <w:p>
            <w:pPr>
              <w:spacing w:after="0" w:line="214" w:lineRule="exact"/>
              <w:rPr>
                <w:sz w:val="20"/>
                <w:szCs w:val="20"/>
                <w:color w:val="auto"/>
              </w:rPr>
            </w:pPr>
            <w:r>
              <w:rPr>
                <w:rFonts w:ascii="Times New Roman" w:cs="Times New Roman" w:eastAsia="Times New Roman" w:hAnsi="Times New Roman"/>
                <w:sz w:val="19"/>
                <w:szCs w:val="19"/>
                <w:color w:val="231F20"/>
              </w:rPr>
              <w:t>Gas Adjusted Gross Margin</w:t>
            </w:r>
          </w:p>
        </w:tc>
        <w:tc>
          <w:tcPr>
            <w:tcW w:w="80" w:type="dxa"/>
            <w:vAlign w:val="bottom"/>
          </w:tcPr>
          <w:p>
            <w:pPr>
              <w:spacing w:after="0"/>
              <w:rPr>
                <w:sz w:val="18"/>
                <w:szCs w:val="18"/>
                <w:color w:val="auto"/>
              </w:rPr>
            </w:pPr>
          </w:p>
        </w:tc>
        <w:tc>
          <w:tcPr>
            <w:tcW w:w="140" w:type="dxa"/>
            <w:vAlign w:val="bottom"/>
            <w:tcBorders>
              <w:top w:val="single" w:sz="8" w:color="231F20"/>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w w:val="83"/>
              </w:rPr>
              <w:t>$</w:t>
            </w:r>
          </w:p>
        </w:tc>
        <w:tc>
          <w:tcPr>
            <w:tcW w:w="580" w:type="dxa"/>
            <w:vAlign w:val="bottom"/>
            <w:tcBorders>
              <w:top w:val="single" w:sz="8" w:color="231F20"/>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199.1</w:t>
            </w:r>
          </w:p>
        </w:tc>
        <w:tc>
          <w:tcPr>
            <w:tcW w:w="180" w:type="dxa"/>
            <w:vAlign w:val="bottom"/>
          </w:tcPr>
          <w:p>
            <w:pPr>
              <w:spacing w:after="0"/>
              <w:rPr>
                <w:sz w:val="18"/>
                <w:szCs w:val="18"/>
                <w:color w:val="auto"/>
              </w:rPr>
            </w:pPr>
          </w:p>
        </w:tc>
        <w:tc>
          <w:tcPr>
            <w:tcW w:w="140" w:type="dxa"/>
            <w:vAlign w:val="bottom"/>
            <w:tcBorders>
              <w:top w:val="single" w:sz="8" w:color="231F20"/>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w w:val="83"/>
              </w:rPr>
              <w:t>$</w:t>
            </w:r>
          </w:p>
        </w:tc>
        <w:tc>
          <w:tcPr>
            <w:tcW w:w="580" w:type="dxa"/>
            <w:vAlign w:val="bottom"/>
            <w:tcBorders>
              <w:top w:val="single" w:sz="8" w:color="231F20"/>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166.9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231F20"/>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w w:val="83"/>
              </w:rPr>
              <w:t>$</w:t>
            </w:r>
          </w:p>
        </w:tc>
        <w:tc>
          <w:tcPr>
            <w:tcW w:w="580" w:type="dxa"/>
            <w:vAlign w:val="bottom"/>
            <w:tcBorders>
              <w:top w:val="single" w:sz="8" w:color="231F20"/>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154.5</w:t>
            </w:r>
          </w:p>
        </w:tc>
        <w:tc>
          <w:tcPr>
            <w:tcW w:w="180" w:type="dxa"/>
            <w:vAlign w:val="bottom"/>
          </w:tcPr>
          <w:p>
            <w:pPr>
              <w:spacing w:after="0"/>
              <w:rPr>
                <w:sz w:val="18"/>
                <w:szCs w:val="18"/>
                <w:color w:val="auto"/>
              </w:rPr>
            </w:pPr>
          </w:p>
        </w:tc>
        <w:tc>
          <w:tcPr>
            <w:tcW w:w="200" w:type="dxa"/>
            <w:vAlign w:val="bottom"/>
            <w:tcBorders>
              <w:top w:val="single" w:sz="8" w:color="231F20"/>
              <w:bottom w:val="single" w:sz="8" w:color="231F20"/>
            </w:tcBorders>
          </w:tcPr>
          <w:p>
            <w:pPr>
              <w:jc w:val="right"/>
              <w:ind w:right="36"/>
              <w:spacing w:after="0"/>
              <w:rPr>
                <w:sz w:val="20"/>
                <w:szCs w:val="20"/>
                <w:color w:val="auto"/>
              </w:rPr>
            </w:pPr>
            <w:r>
              <w:rPr>
                <w:rFonts w:ascii="Times New Roman" w:cs="Times New Roman" w:eastAsia="Times New Roman" w:hAnsi="Times New Roman"/>
                <w:sz w:val="17"/>
                <w:szCs w:val="17"/>
                <w:color w:val="231F20"/>
                <w:w w:val="70"/>
              </w:rPr>
              <w:t>$</w:t>
            </w:r>
          </w:p>
        </w:tc>
        <w:tc>
          <w:tcPr>
            <w:tcW w:w="500" w:type="dxa"/>
            <w:vAlign w:val="bottom"/>
            <w:tcBorders>
              <w:top w:val="single" w:sz="8" w:color="231F20"/>
              <w:bottom w:val="single" w:sz="8" w:color="231F20"/>
            </w:tcBorders>
          </w:tcPr>
          <w:p>
            <w:pPr>
              <w:ind w:left="180"/>
              <w:spacing w:after="0" w:line="214" w:lineRule="exact"/>
              <w:rPr>
                <w:sz w:val="20"/>
                <w:szCs w:val="20"/>
                <w:color w:val="auto"/>
              </w:rPr>
            </w:pPr>
            <w:r>
              <w:rPr>
                <w:rFonts w:ascii="Times New Roman" w:cs="Times New Roman" w:eastAsia="Times New Roman" w:hAnsi="Times New Roman"/>
                <w:sz w:val="19"/>
                <w:szCs w:val="19"/>
                <w:color w:val="231F20"/>
                <w:w w:val="90"/>
              </w:rPr>
              <w:t>32.2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line="214" w:lineRule="exact"/>
              <w:rPr>
                <w:sz w:val="20"/>
                <w:szCs w:val="20"/>
                <w:color w:val="auto"/>
              </w:rPr>
            </w:pPr>
            <w:r>
              <w:rPr>
                <w:rFonts w:ascii="Times New Roman" w:cs="Times New Roman" w:eastAsia="Times New Roman" w:hAnsi="Times New Roman"/>
                <w:sz w:val="19"/>
                <w:szCs w:val="19"/>
                <w:color w:val="231F20"/>
              </w:rPr>
              <w:t>19.3%</w:t>
            </w:r>
          </w:p>
        </w:tc>
        <w:tc>
          <w:tcPr>
            <w:tcW w:w="220" w:type="dxa"/>
            <w:vAlign w:val="bottom"/>
            <w:tcBorders>
              <w:top w:val="single" w:sz="8" w:color="231F20"/>
              <w:bottom w:val="single" w:sz="8" w:color="231F20"/>
            </w:tcBorders>
          </w:tcPr>
          <w:p>
            <w:pPr>
              <w:jc w:val="right"/>
              <w:ind w:right="25"/>
              <w:spacing w:after="0" w:line="214" w:lineRule="exact"/>
              <w:rPr>
                <w:sz w:val="20"/>
                <w:szCs w:val="20"/>
                <w:color w:val="auto"/>
              </w:rPr>
            </w:pPr>
            <w:r>
              <w:rPr>
                <w:rFonts w:ascii="Times New Roman" w:cs="Times New Roman" w:eastAsia="Times New Roman" w:hAnsi="Times New Roman"/>
                <w:sz w:val="19"/>
                <w:szCs w:val="19"/>
                <w:color w:val="231F20"/>
                <w:w w:val="83"/>
              </w:rPr>
              <w:t>$</w:t>
            </w:r>
          </w:p>
        </w:tc>
        <w:tc>
          <w:tcPr>
            <w:tcW w:w="500" w:type="dxa"/>
            <w:vAlign w:val="bottom"/>
            <w:tcBorders>
              <w:top w:val="single" w:sz="8" w:color="231F20"/>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12.4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line="214" w:lineRule="exact"/>
              <w:rPr>
                <w:sz w:val="20"/>
                <w:szCs w:val="20"/>
                <w:color w:val="auto"/>
              </w:rPr>
            </w:pPr>
            <w:r>
              <w:rPr>
                <w:rFonts w:ascii="Times New Roman" w:cs="Times New Roman" w:eastAsia="Times New Roman" w:hAnsi="Times New Roman"/>
                <w:sz w:val="19"/>
                <w:szCs w:val="19"/>
                <w:color w:val="231F20"/>
              </w:rPr>
              <w:t>8.0%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50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50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4204970</wp:posOffset>
            </wp:positionH>
            <wp:positionV relativeFrom="paragraph">
              <wp:posOffset>-1282700</wp:posOffset>
            </wp:positionV>
            <wp:extent cx="215582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3">
                      <a:extLst>
                        <a:ext uri="{28A0092B-C50C-407E-A947-70E740481C1C}"/>
                      </a:extLst>
                    </a:blip>
                    <a:srcRect/>
                    <a:stretch>
                      <a:fillRect/>
                    </a:stretch>
                  </pic:blipFill>
                  <pic:spPr bwMode="auto">
                    <a:xfrm>
                      <a:off x="0" y="0"/>
                      <a:ext cx="2155825" cy="38100"/>
                    </a:xfrm>
                    <a:prstGeom prst="rect">
                      <a:avLst/>
                    </a:prstGeom>
                    <a:noFill/>
                  </pic:spPr>
                </pic:pic>
              </a:graphicData>
            </a:graphic>
          </wp:anchor>
        </w:drawing>
      </w:r>
    </w:p>
    <w:p>
      <w:pPr>
        <w:spacing w:after="0" w:line="199" w:lineRule="exact"/>
        <w:rPr>
          <w:sz w:val="20"/>
          <w:szCs w:val="20"/>
          <w:color w:val="auto"/>
        </w:rPr>
      </w:pPr>
    </w:p>
    <w:p>
      <w:pPr>
        <w:ind w:firstLine="612"/>
        <w:spacing w:after="0" w:line="259" w:lineRule="auto"/>
        <w:rPr>
          <w:sz w:val="20"/>
          <w:szCs w:val="20"/>
          <w:color w:val="auto"/>
        </w:rPr>
      </w:pPr>
      <w:r>
        <w:rPr>
          <w:rFonts w:ascii="Times New Roman" w:cs="Times New Roman" w:eastAsia="Times New Roman" w:hAnsi="Times New Roman"/>
          <w:sz w:val="21"/>
          <w:szCs w:val="21"/>
          <w:color w:val="231F20"/>
        </w:rPr>
        <w:t>The increase in Total Gas Operating Revenues of $ 53.1 million, or 21.5%, in 2025 compared to 2024 reflects $36.2 million of sales for Bangor and Maine Natural, higher gas distribution rates and customer growth, the favorable impact of colder winter weather in 2025 and higher costs of gas sales, which are tracked and reconciled as a pass-through to customers.</w:t>
      </w:r>
    </w:p>
    <w:p>
      <w:pPr>
        <w:spacing w:after="0" w:line="183" w:lineRule="exact"/>
        <w:rPr>
          <w:sz w:val="20"/>
          <w:szCs w:val="20"/>
          <w:color w:val="auto"/>
        </w:rPr>
      </w:pPr>
    </w:p>
    <w:p>
      <w:pPr>
        <w:ind w:right="1000" w:firstLine="612"/>
        <w:spacing w:after="0" w:line="279" w:lineRule="auto"/>
        <w:rPr>
          <w:sz w:val="20"/>
          <w:szCs w:val="20"/>
          <w:color w:val="auto"/>
        </w:rPr>
      </w:pPr>
      <w:r>
        <w:rPr>
          <w:rFonts w:ascii="Times New Roman" w:cs="Times New Roman" w:eastAsia="Times New Roman" w:hAnsi="Times New Roman"/>
          <w:sz w:val="21"/>
          <w:szCs w:val="21"/>
          <w:color w:val="231F20"/>
        </w:rPr>
        <w:t>Gas GAAP Gross Margin is discussed above in the section entitled “Use of GAAP and Non-GAAP Financial Measures”.</w:t>
      </w:r>
    </w:p>
    <w:p>
      <w:pPr>
        <w:spacing w:after="0" w:line="162" w:lineRule="exact"/>
        <w:rPr>
          <w:sz w:val="20"/>
          <w:szCs w:val="20"/>
          <w:color w:val="auto"/>
        </w:rPr>
      </w:pPr>
    </w:p>
    <w:p>
      <w:pPr>
        <w:ind w:right="180" w:firstLine="612"/>
        <w:spacing w:after="0" w:line="259" w:lineRule="auto"/>
        <w:rPr>
          <w:sz w:val="20"/>
          <w:szCs w:val="20"/>
          <w:color w:val="auto"/>
        </w:rPr>
      </w:pPr>
      <w:r>
        <w:rPr>
          <w:rFonts w:ascii="Times New Roman" w:cs="Times New Roman" w:eastAsia="Times New Roman" w:hAnsi="Times New Roman"/>
          <w:sz w:val="21"/>
          <w:szCs w:val="21"/>
          <w:color w:val="231F20"/>
        </w:rPr>
        <w:t>Gas Adjusted Gross Margin (a non-GAAP financial measure) was $199.1 million in 2025, an increase of $32.2 million compared to 2024. The increase includes $16.6 million for Bangor and Maine Natural, higher rates gas distribution rates, the favorable impact of winter weather in 2025 and customer growth.</w:t>
      </w:r>
    </w:p>
    <w:p>
      <w:pPr>
        <w:spacing w:after="0" w:line="183" w:lineRule="exact"/>
        <w:rPr>
          <w:sz w:val="20"/>
          <w:szCs w:val="20"/>
          <w:color w:val="auto"/>
        </w:rPr>
      </w:pPr>
    </w:p>
    <w:p>
      <w:pPr>
        <w:jc w:val="both"/>
        <w:ind w:right="180" w:firstLine="612"/>
        <w:spacing w:after="0" w:line="259" w:lineRule="auto"/>
        <w:rPr>
          <w:sz w:val="20"/>
          <w:szCs w:val="20"/>
          <w:color w:val="auto"/>
        </w:rPr>
      </w:pPr>
      <w:r>
        <w:rPr>
          <w:rFonts w:ascii="Times New Roman" w:cs="Times New Roman" w:eastAsia="Times New Roman" w:hAnsi="Times New Roman"/>
          <w:sz w:val="21"/>
          <w:szCs w:val="21"/>
          <w:color w:val="231F20"/>
        </w:rPr>
        <w:t>The decrease in Total Gas Operating Revenues of $4.1 million, or 1.6%, in 2024 compared to 2023 reflects lower costs of gas sales, which are tracked and reconciled as a pass-through to customers, and lower sales of gas, partially offset by higher gas distribution rates.</w:t>
      </w:r>
    </w:p>
    <w:p>
      <w:pPr>
        <w:spacing w:after="0" w:line="184" w:lineRule="exact"/>
        <w:rPr>
          <w:sz w:val="20"/>
          <w:szCs w:val="20"/>
          <w:color w:val="auto"/>
        </w:rPr>
      </w:pPr>
    </w:p>
    <w:p>
      <w:pPr>
        <w:jc w:val="both"/>
        <w:ind w:right="180" w:firstLine="612"/>
        <w:spacing w:after="0" w:line="279" w:lineRule="auto"/>
        <w:rPr>
          <w:sz w:val="20"/>
          <w:szCs w:val="20"/>
          <w:color w:val="auto"/>
        </w:rPr>
      </w:pPr>
      <w:r>
        <w:rPr>
          <w:rFonts w:ascii="Times New Roman" w:cs="Times New Roman" w:eastAsia="Times New Roman" w:hAnsi="Times New Roman"/>
          <w:sz w:val="21"/>
          <w:szCs w:val="21"/>
          <w:color w:val="231F20"/>
        </w:rPr>
        <w:t>Gas Adjusted Gross Margin (a non-GAAP financial measure) was $166.9 million in 2024, an increase of $12.4 million compared to 2023. The increase was driven primarily by higher rates, and customer growth.</w:t>
      </w:r>
    </w:p>
    <w:p>
      <w:pPr>
        <w:spacing w:after="0" w:line="162"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1"/>
          <w:szCs w:val="21"/>
          <w:b w:val="1"/>
          <w:bCs w:val="1"/>
          <w:i w:val="1"/>
          <w:iCs w:val="1"/>
          <w:color w:val="231F20"/>
        </w:rPr>
        <w:t>Therm Sales</w:t>
      </w:r>
      <w:r>
        <w:rPr>
          <w:rFonts w:ascii="Times New Roman" w:cs="Times New Roman" w:eastAsia="Times New Roman" w:hAnsi="Times New Roman"/>
          <w:sz w:val="21"/>
          <w:szCs w:val="21"/>
          <w:color w:val="231F20"/>
        </w:rPr>
        <w:t>—Unitil’s total gas therm sales increased 26.6% in 2025 compared to 2024. Sales to Residential customers</w:t>
      </w:r>
      <w:r>
        <w:rPr>
          <w:rFonts w:ascii="Times New Roman" w:cs="Times New Roman" w:eastAsia="Times New Roman" w:hAnsi="Times New Roman"/>
          <w:sz w:val="21"/>
          <w:szCs w:val="21"/>
          <w:b w:val="1"/>
          <w:bCs w:val="1"/>
          <w:i w:val="1"/>
          <w:iCs w:val="1"/>
          <w:color w:val="231F20"/>
        </w:rPr>
        <w:t xml:space="preserve"> </w:t>
      </w:r>
      <w:r>
        <w:rPr>
          <w:rFonts w:ascii="Times New Roman" w:cs="Times New Roman" w:eastAsia="Times New Roman" w:hAnsi="Times New Roman"/>
          <w:sz w:val="21"/>
          <w:szCs w:val="21"/>
          <w:color w:val="231F20"/>
        </w:rPr>
        <w:t>increased 34.0% and sales to C&amp;I customers increased 24.8% in 2025 compared to 2024, reflecting colder winter weather and customer growth. Total gas therm sales included 40.0 million therms related to Bangor and Maine Natural in 2025. Based on weather data collected in the Company’s gas service areas, on average there were 12.2% higher Effective Degree Days (EDD) in 2025 compared to 2024. The Company estimates weather-normalized gas therm sales for Northern Utilities' Maine division, the Company's largest non-decoupled gas service area, increased 3.5% in 2025 compared to 2024. As of December 31, 2025, the number of gas customers served increased by approximately 15,930 over the previous year, with 15,360 customers at Bangor and Maine Natural. Sales margins derived from decoupled unit sales (currently representing approximately 38% of total annual therm sales volume) are not sensitive to changes in gas therm sales, although those sales margins are sensitive to changes in the number of customers served. In 2025, there were 2.7% more EDD than normal. In 2024, there were 9.5% fewer EDD than normal.</w:t>
      </w:r>
    </w:p>
    <w:p>
      <w:pPr>
        <w:spacing w:after="0" w:line="207"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21"/>
          <w:szCs w:val="21"/>
          <w:color w:val="231F20"/>
        </w:rPr>
        <w:t>Unitil’s total gas therm sales decreased 0.7% in 2024 compared to 2023. Sales to Residential customers decreased 1.4% and sales to C&amp;I customers decreased 0.5% in 2024 compared to 2023, reflecting lower average usage, partially offset by customer growth. As of December 31, 2024, the number of gas customers served increased by approximately 730 over the previous year. Sales margins derived from decoupled unit sales (currently representing approximately 43% of total annual therm sales volume) are not sensitive to changes in gas therm sales, although those sales margins are sensitive to changes in the number of customers served. In 2024 and 2023, there were 9.5% and 11.0% fewer Effective Degree Days (EDD) than normal, respectively.</w:t>
      </w:r>
    </w:p>
    <w:p>
      <w:pPr>
        <w:sectPr>
          <w:pgSz w:w="12240" w:h="15840" w:orient="portrait"/>
          <w:cols w:equalWidth="0" w:num="1">
            <w:col w:w="10800"/>
          </w:cols>
          <w:pgMar w:left="720" w:top="924" w:right="72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28</w:t>
      </w:r>
    </w:p>
    <w:p>
      <w:pPr>
        <w:sectPr>
          <w:pgSz w:w="12240" w:h="15840" w:orient="portrait"/>
          <w:cols w:equalWidth="0" w:num="1">
            <w:col w:w="10800"/>
          </w:cols>
          <w:pgMar w:left="720" w:top="924" w:right="720" w:bottom="188" w:gutter="0" w:footer="0" w:header="0"/>
          <w:type w:val="continuous"/>
        </w:sectPr>
      </w:pPr>
    </w:p>
    <w:bookmarkStart w:id="48" w:name="page49"/>
    <w:bookmarkEnd w:id="48"/>
    <w:p>
      <w:pPr>
        <w:ind w:left="620"/>
        <w:spacing w:after="0"/>
        <w:rPr>
          <w:sz w:val="20"/>
          <w:szCs w:val="20"/>
          <w:color w:val="auto"/>
        </w:rPr>
      </w:pPr>
      <w:r>
        <w:rPr>
          <w:rFonts w:ascii="Times New Roman" w:cs="Times New Roman" w:eastAsia="Times New Roman" w:hAnsi="Times New Roman"/>
          <w:sz w:val="21"/>
          <w:szCs w:val="21"/>
          <w:color w:val="231F20"/>
        </w:rPr>
        <w:t>The following table details total therm sales for the last three years, by major customer class:</w:t>
      </w:r>
    </w:p>
    <w:p>
      <w:pPr>
        <w:spacing w:after="0" w:line="278" w:lineRule="exact"/>
        <w:rPr>
          <w:sz w:val="20"/>
          <w:szCs w:val="20"/>
          <w:color w:val="auto"/>
        </w:rPr>
      </w:pPr>
    </w:p>
    <w:tbl>
      <w:tblPr>
        <w:tblLayout w:type="fixed"/>
        <w:tblInd w:w="540" w:type="dxa"/>
        <w:tblCellMar>
          <w:top w:w="0" w:type="dxa"/>
          <w:left w:w="0" w:type="dxa"/>
          <w:bottom w:w="0" w:type="dxa"/>
          <w:right w:w="0" w:type="dxa"/>
        </w:tblCellMar>
      </w:tblPr>
      <w:tr>
        <w:trPr>
          <w:trHeight w:val="199"/>
        </w:trPr>
        <w:tc>
          <w:tcPr>
            <w:tcW w:w="15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5"/>
          </w:tcPr>
          <w:p>
            <w:pPr>
              <w:jc w:val="right"/>
              <w:ind w:right="760"/>
              <w:spacing w:after="0"/>
              <w:rPr>
                <w:sz w:val="20"/>
                <w:szCs w:val="20"/>
                <w:color w:val="auto"/>
              </w:rPr>
            </w:pPr>
            <w:r>
              <w:rPr>
                <w:rFonts w:ascii="Times New Roman" w:cs="Times New Roman" w:eastAsia="Times New Roman" w:hAnsi="Times New Roman"/>
                <w:sz w:val="16"/>
                <w:szCs w:val="16"/>
                <w:b w:val="1"/>
                <w:bCs w:val="1"/>
                <w:color w:val="231F20"/>
              </w:rPr>
              <w:t>Change</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Therm Sales (millions)</w:t>
            </w:r>
          </w:p>
        </w:tc>
        <w:tc>
          <w:tcPr>
            <w:tcW w:w="740" w:type="dxa"/>
            <w:vAlign w:val="bottom"/>
            <w:vMerge w:val="restart"/>
          </w:tcPr>
          <w:p>
            <w:pPr>
              <w:jc w:val="right"/>
              <w:ind w:right="109"/>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920" w:type="dxa"/>
            <w:vAlign w:val="bottom"/>
            <w:gridSpan w:val="3"/>
            <w:vMerge w:val="restart"/>
          </w:tcPr>
          <w:p>
            <w:pPr>
              <w:jc w:val="right"/>
              <w:ind w:right="125"/>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900" w:type="dxa"/>
            <w:vAlign w:val="bottom"/>
            <w:gridSpan w:val="2"/>
            <w:vMerge w:val="restart"/>
          </w:tcPr>
          <w:p>
            <w:pPr>
              <w:jc w:val="right"/>
              <w:ind w:right="105"/>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80" w:type="dxa"/>
            <w:vAlign w:val="bottom"/>
          </w:tcPr>
          <w:p>
            <w:pPr>
              <w:spacing w:after="0"/>
              <w:rPr>
                <w:sz w:val="17"/>
                <w:szCs w:val="17"/>
                <w:color w:val="auto"/>
              </w:rPr>
            </w:pPr>
          </w:p>
        </w:tc>
        <w:tc>
          <w:tcPr>
            <w:tcW w:w="178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231F20"/>
              </w:rPr>
              <w:t>2025 vs. 2024</w:t>
            </w:r>
          </w:p>
        </w:tc>
        <w:tc>
          <w:tcPr>
            <w:tcW w:w="1800" w:type="dxa"/>
            <w:vAlign w:val="bottom"/>
            <w:gridSpan w:val="4"/>
          </w:tcPr>
          <w:p>
            <w:pPr>
              <w:jc w:val="right"/>
              <w:ind w:right="600"/>
              <w:spacing w:after="0"/>
              <w:rPr>
                <w:sz w:val="20"/>
                <w:szCs w:val="20"/>
                <w:color w:val="auto"/>
              </w:rPr>
            </w:pPr>
            <w:r>
              <w:rPr>
                <w:rFonts w:ascii="Times New Roman" w:cs="Times New Roman" w:eastAsia="Times New Roman" w:hAnsi="Times New Roman"/>
                <w:sz w:val="16"/>
                <w:szCs w:val="16"/>
                <w:b w:val="1"/>
                <w:bCs w:val="1"/>
                <w:color w:val="231F20"/>
              </w:rPr>
              <w:t>2024 vs. 2023</w:t>
            </w:r>
          </w:p>
        </w:tc>
        <w:tc>
          <w:tcPr>
            <w:tcW w:w="0" w:type="dxa"/>
            <w:vAlign w:val="bottom"/>
          </w:tcPr>
          <w:p>
            <w:pPr>
              <w:spacing w:after="0"/>
              <w:rPr>
                <w:sz w:val="1"/>
                <w:szCs w:val="1"/>
                <w:color w:val="auto"/>
              </w:rPr>
            </w:pPr>
          </w:p>
        </w:tc>
      </w:tr>
      <w:tr>
        <w:trPr>
          <w:trHeight w:val="169"/>
        </w:trPr>
        <w:tc>
          <w:tcPr>
            <w:tcW w:w="340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Borders>
              <w:top w:val="single" w:sz="8" w:color="231F20"/>
            </w:tcBorders>
            <w:gridSpan w:val="2"/>
          </w:tcPr>
          <w:p>
            <w:pPr>
              <w:ind w:left="100"/>
              <w:spacing w:after="0" w:line="169" w:lineRule="exact"/>
              <w:rPr>
                <w:sz w:val="20"/>
                <w:szCs w:val="20"/>
                <w:color w:val="auto"/>
              </w:rPr>
            </w:pPr>
            <w:r>
              <w:rPr>
                <w:rFonts w:ascii="Times New Roman" w:cs="Times New Roman" w:eastAsia="Times New Roman" w:hAnsi="Times New Roman"/>
                <w:sz w:val="16"/>
                <w:szCs w:val="16"/>
                <w:b w:val="1"/>
                <w:bCs w:val="1"/>
                <w:color w:val="231F20"/>
              </w:rPr>
              <w:t>Therms</w:t>
            </w:r>
          </w:p>
        </w:tc>
        <w:tc>
          <w:tcPr>
            <w:tcW w:w="560" w:type="dxa"/>
            <w:vAlign w:val="bottom"/>
            <w:tcBorders>
              <w:top w:val="single" w:sz="8" w:color="231F20"/>
            </w:tcBorders>
          </w:tcPr>
          <w:p>
            <w:pPr>
              <w:jc w:val="right"/>
              <w:ind w:right="111"/>
              <w:spacing w:after="0" w:line="169" w:lineRule="exact"/>
              <w:rPr>
                <w:sz w:val="20"/>
                <w:szCs w:val="20"/>
                <w:color w:val="auto"/>
              </w:rPr>
            </w:pPr>
            <w:r>
              <w:rPr>
                <w:rFonts w:ascii="Times New Roman" w:cs="Times New Roman" w:eastAsia="Times New Roman" w:hAnsi="Times New Roman"/>
                <w:sz w:val="16"/>
                <w:szCs w:val="16"/>
                <w:b w:val="1"/>
                <w:bCs w:val="1"/>
                <w:color w:val="231F20"/>
              </w:rPr>
              <w:t>%</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top w:val="single" w:sz="8" w:color="231F20"/>
            </w:tcBorders>
            <w:gridSpan w:val="2"/>
          </w:tcPr>
          <w:p>
            <w:pPr>
              <w:jc w:val="right"/>
              <w:ind w:right="280"/>
              <w:spacing w:after="0" w:line="169" w:lineRule="exact"/>
              <w:rPr>
                <w:sz w:val="20"/>
                <w:szCs w:val="20"/>
                <w:color w:val="auto"/>
              </w:rPr>
            </w:pPr>
            <w:r>
              <w:rPr>
                <w:rFonts w:ascii="Times New Roman" w:cs="Times New Roman" w:eastAsia="Times New Roman" w:hAnsi="Times New Roman"/>
                <w:sz w:val="16"/>
                <w:szCs w:val="16"/>
                <w:b w:val="1"/>
                <w:bCs w:val="1"/>
                <w:color w:val="231F20"/>
              </w:rPr>
              <w:t>Therms</w:t>
            </w:r>
          </w:p>
        </w:tc>
        <w:tc>
          <w:tcPr>
            <w:tcW w:w="620" w:type="dxa"/>
            <w:vAlign w:val="bottom"/>
            <w:tcBorders>
              <w:top w:val="single" w:sz="8" w:color="231F20"/>
            </w:tcBorders>
          </w:tcPr>
          <w:p>
            <w:pPr>
              <w:jc w:val="right"/>
              <w:ind w:right="149"/>
              <w:spacing w:after="0" w:line="169" w:lineRule="exact"/>
              <w:rPr>
                <w:sz w:val="20"/>
                <w:szCs w:val="20"/>
                <w:color w:val="auto"/>
              </w:rPr>
            </w:pPr>
            <w:r>
              <w:rPr>
                <w:rFonts w:ascii="Times New Roman" w:cs="Times New Roman" w:eastAsia="Times New Roman" w:hAnsi="Times New Roman"/>
                <w:sz w:val="16"/>
                <w:szCs w:val="16"/>
                <w:b w:val="1"/>
                <w:bCs w:val="1"/>
                <w:color w:val="231F20"/>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40" w:type="dxa"/>
            <w:vAlign w:val="bottom"/>
            <w:tcBorders>
              <w:top w:val="single" w:sz="8" w:color="231F20"/>
            </w:tcBorders>
            <w:vMerge w:val="restart"/>
            <w:shd w:val="clear" w:color="auto" w:fill="E6E7E8"/>
          </w:tcPr>
          <w:p>
            <w:pPr>
              <w:spacing w:after="0"/>
              <w:rPr>
                <w:sz w:val="20"/>
                <w:szCs w:val="20"/>
                <w:color w:val="auto"/>
              </w:rPr>
            </w:pPr>
            <w:r>
              <w:rPr>
                <w:rFonts w:ascii="Times New Roman" w:cs="Times New Roman" w:eastAsia="Times New Roman" w:hAnsi="Times New Roman"/>
                <w:sz w:val="19"/>
                <w:szCs w:val="19"/>
                <w:color w:val="231F20"/>
              </w:rPr>
              <w:t>Residential</w:t>
            </w:r>
          </w:p>
        </w:tc>
        <w:tc>
          <w:tcPr>
            <w:tcW w:w="1860" w:type="dxa"/>
            <w:vAlign w:val="bottom"/>
            <w:tcBorders>
              <w:top w:val="single" w:sz="8" w:color="E6E7E8"/>
            </w:tcBorders>
            <w:vMerge w:val="restart"/>
            <w:shd w:val="clear" w:color="auto" w:fill="E6E7E8"/>
          </w:tcPr>
          <w:p>
            <w:pPr>
              <w:spacing w:after="0" w:line="20" w:lineRule="exact"/>
              <w:rPr>
                <w:sz w:val="1"/>
                <w:szCs w:val="1"/>
                <w:color w:val="auto"/>
              </w:rPr>
            </w:pPr>
          </w:p>
        </w:tc>
        <w:tc>
          <w:tcPr>
            <w:tcW w:w="740" w:type="dxa"/>
            <w:vAlign w:val="bottom"/>
            <w:tcBorders>
              <w:top w:val="single" w:sz="8" w:color="231F20"/>
            </w:tcBorders>
            <w:shd w:val="clear" w:color="auto" w:fill="231F20"/>
          </w:tcPr>
          <w:p>
            <w:pPr>
              <w:spacing w:after="0" w:line="20" w:lineRule="exact"/>
              <w:rPr>
                <w:sz w:val="1"/>
                <w:szCs w:val="1"/>
                <w:color w:val="auto"/>
              </w:rPr>
            </w:pPr>
          </w:p>
        </w:tc>
        <w:tc>
          <w:tcPr>
            <w:tcW w:w="20" w:type="dxa"/>
            <w:vAlign w:val="bottom"/>
            <w:tcBorders>
              <w:top w:val="single" w:sz="8" w:color="231F20"/>
            </w:tcBorders>
            <w:shd w:val="clear" w:color="auto" w:fill="231F20"/>
          </w:tcPr>
          <w:p>
            <w:pPr>
              <w:spacing w:after="0" w:line="20" w:lineRule="exact"/>
              <w:rPr>
                <w:sz w:val="1"/>
                <w:szCs w:val="1"/>
                <w:color w:val="auto"/>
              </w:rPr>
            </w:pPr>
          </w:p>
        </w:tc>
        <w:tc>
          <w:tcPr>
            <w:tcW w:w="160" w:type="dxa"/>
            <w:vAlign w:val="bottom"/>
            <w:tcBorders>
              <w:top w:val="single" w:sz="8" w:color="E6E7E8"/>
            </w:tcBorders>
            <w:vMerge w:val="restart"/>
            <w:shd w:val="clear" w:color="auto" w:fill="E6E7E8"/>
          </w:tcPr>
          <w:p>
            <w:pPr>
              <w:spacing w:after="0" w:line="20" w:lineRule="exact"/>
              <w:rPr>
                <w:sz w:val="1"/>
                <w:szCs w:val="1"/>
                <w:color w:val="auto"/>
              </w:rPr>
            </w:pPr>
          </w:p>
        </w:tc>
        <w:tc>
          <w:tcPr>
            <w:tcW w:w="740" w:type="dxa"/>
            <w:vAlign w:val="bottom"/>
            <w:tcBorders>
              <w:top w:val="single" w:sz="8" w:color="231F20"/>
              <w:left w:val="single" w:sz="8" w:color="E6E7E8"/>
            </w:tcBorders>
            <w:shd w:val="clear" w:color="auto" w:fill="231F20"/>
          </w:tcPr>
          <w:p>
            <w:pPr>
              <w:spacing w:after="0" w:line="20" w:lineRule="exact"/>
              <w:rPr>
                <w:sz w:val="1"/>
                <w:szCs w:val="1"/>
                <w:color w:val="auto"/>
              </w:rPr>
            </w:pPr>
          </w:p>
        </w:tc>
        <w:tc>
          <w:tcPr>
            <w:tcW w:w="180" w:type="dxa"/>
            <w:vAlign w:val="bottom"/>
            <w:tcBorders>
              <w:top w:val="single" w:sz="8" w:color="E6E7E8"/>
            </w:tcBorders>
            <w:vMerge w:val="restart"/>
            <w:shd w:val="clear" w:color="auto" w:fill="E6E7E8"/>
          </w:tcPr>
          <w:p>
            <w:pPr>
              <w:spacing w:after="0" w:line="20" w:lineRule="exact"/>
              <w:rPr>
                <w:sz w:val="1"/>
                <w:szCs w:val="1"/>
                <w:color w:val="auto"/>
              </w:rPr>
            </w:pPr>
          </w:p>
        </w:tc>
        <w:tc>
          <w:tcPr>
            <w:tcW w:w="720" w:type="dxa"/>
            <w:vAlign w:val="bottom"/>
            <w:tcBorders>
              <w:top w:val="single" w:sz="8" w:color="231F20"/>
              <w:left w:val="single" w:sz="8" w:color="E6E7E8"/>
            </w:tcBorders>
            <w:shd w:val="clear" w:color="auto" w:fill="231F20"/>
          </w:tcPr>
          <w:p>
            <w:pPr>
              <w:spacing w:after="0" w:line="20" w:lineRule="exact"/>
              <w:rPr>
                <w:sz w:val="1"/>
                <w:szCs w:val="1"/>
                <w:color w:val="auto"/>
              </w:rPr>
            </w:pPr>
          </w:p>
        </w:tc>
        <w:tc>
          <w:tcPr>
            <w:tcW w:w="180" w:type="dxa"/>
            <w:vAlign w:val="bottom"/>
            <w:tcBorders>
              <w:top w:val="single" w:sz="8" w:color="E6E7E8"/>
            </w:tcBorders>
            <w:vMerge w:val="restart"/>
            <w:shd w:val="clear" w:color="auto" w:fill="E6E7E8"/>
          </w:tcPr>
          <w:p>
            <w:pPr>
              <w:spacing w:after="0" w:line="20" w:lineRule="exact"/>
              <w:rPr>
                <w:sz w:val="1"/>
                <w:szCs w:val="1"/>
                <w:color w:val="auto"/>
              </w:rPr>
            </w:pPr>
          </w:p>
        </w:tc>
        <w:tc>
          <w:tcPr>
            <w:tcW w:w="720" w:type="dxa"/>
            <w:vAlign w:val="bottom"/>
            <w:tcBorders>
              <w:top w:val="single" w:sz="8" w:color="231F20"/>
              <w:left w:val="single" w:sz="8" w:color="E6E7E8"/>
            </w:tcBorders>
            <w:shd w:val="clear" w:color="auto" w:fill="231F20"/>
          </w:tcPr>
          <w:p>
            <w:pPr>
              <w:spacing w:after="0" w:line="20" w:lineRule="exact"/>
              <w:rPr>
                <w:sz w:val="1"/>
                <w:szCs w:val="1"/>
                <w:color w:val="auto"/>
              </w:rPr>
            </w:pPr>
          </w:p>
        </w:tc>
        <w:tc>
          <w:tcPr>
            <w:tcW w:w="180" w:type="dxa"/>
            <w:vAlign w:val="bottom"/>
            <w:tcBorders>
              <w:top w:val="single" w:sz="8" w:color="E6E7E8"/>
            </w:tcBorders>
            <w:vMerge w:val="restart"/>
            <w:shd w:val="clear" w:color="auto" w:fill="E6E7E8"/>
          </w:tcPr>
          <w:p>
            <w:pPr>
              <w:spacing w:after="0" w:line="20" w:lineRule="exact"/>
              <w:rPr>
                <w:sz w:val="1"/>
                <w:szCs w:val="1"/>
                <w:color w:val="auto"/>
              </w:rPr>
            </w:pPr>
          </w:p>
        </w:tc>
        <w:tc>
          <w:tcPr>
            <w:tcW w:w="560" w:type="dxa"/>
            <w:vAlign w:val="bottom"/>
            <w:tcBorders>
              <w:top w:val="single" w:sz="8" w:color="231F20"/>
            </w:tcBorders>
            <w:shd w:val="clear" w:color="auto" w:fill="231F2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231F20"/>
            </w:tcBorders>
            <w:shd w:val="clear" w:color="auto" w:fill="231F2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231F20"/>
            </w:tcBorders>
            <w:shd w:val="clear" w:color="auto" w:fill="231F2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40" w:type="dxa"/>
            <w:vAlign w:val="bottom"/>
            <w:vMerge w:val="continue"/>
            <w:shd w:val="clear" w:color="auto" w:fill="E6E7E8"/>
          </w:tcPr>
          <w:p>
            <w:pPr>
              <w:spacing w:after="0"/>
              <w:rPr>
                <w:sz w:val="17"/>
                <w:szCs w:val="17"/>
                <w:color w:val="auto"/>
              </w:rPr>
            </w:pPr>
          </w:p>
        </w:tc>
        <w:tc>
          <w:tcPr>
            <w:tcW w:w="1860" w:type="dxa"/>
            <w:vAlign w:val="bottom"/>
            <w:vMerge w:val="continue"/>
            <w:shd w:val="clear" w:color="auto" w:fill="E6E7E8"/>
          </w:tcPr>
          <w:p>
            <w:pPr>
              <w:spacing w:after="0"/>
              <w:rPr>
                <w:sz w:val="17"/>
                <w:szCs w:val="17"/>
                <w:color w:val="auto"/>
              </w:rPr>
            </w:pPr>
          </w:p>
        </w:tc>
        <w:tc>
          <w:tcPr>
            <w:tcW w:w="740" w:type="dxa"/>
            <w:vAlign w:val="bottom"/>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b w:val="1"/>
                <w:bCs w:val="1"/>
                <w:color w:val="231F20"/>
              </w:rPr>
              <w:t>56.7</w:t>
            </w:r>
          </w:p>
        </w:tc>
        <w:tc>
          <w:tcPr>
            <w:tcW w:w="20" w:type="dxa"/>
            <w:vAlign w:val="bottom"/>
          </w:tcPr>
          <w:p>
            <w:pPr>
              <w:spacing w:after="0"/>
              <w:rPr>
                <w:sz w:val="17"/>
                <w:szCs w:val="17"/>
                <w:color w:val="auto"/>
              </w:rPr>
            </w:pPr>
          </w:p>
        </w:tc>
        <w:tc>
          <w:tcPr>
            <w:tcW w:w="160" w:type="dxa"/>
            <w:vAlign w:val="bottom"/>
            <w:vMerge w:val="continue"/>
            <w:shd w:val="clear" w:color="auto" w:fill="E6E7E8"/>
          </w:tcPr>
          <w:p>
            <w:pPr>
              <w:spacing w:after="0"/>
              <w:rPr>
                <w:sz w:val="17"/>
                <w:szCs w:val="17"/>
                <w:color w:val="auto"/>
              </w:rPr>
            </w:pPr>
          </w:p>
        </w:tc>
        <w:tc>
          <w:tcPr>
            <w:tcW w:w="740" w:type="dxa"/>
            <w:vAlign w:val="bottom"/>
            <w:tcBorders>
              <w:left w:val="single" w:sz="8" w:color="E6E7E8"/>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color w:val="231F20"/>
              </w:rPr>
              <w:t>42.3</w:t>
            </w:r>
          </w:p>
        </w:tc>
        <w:tc>
          <w:tcPr>
            <w:tcW w:w="180" w:type="dxa"/>
            <w:vAlign w:val="bottom"/>
            <w:vMerge w:val="continue"/>
            <w:shd w:val="clear" w:color="auto" w:fill="E6E7E8"/>
          </w:tcPr>
          <w:p>
            <w:pPr>
              <w:spacing w:after="0"/>
              <w:rPr>
                <w:sz w:val="17"/>
                <w:szCs w:val="17"/>
                <w:color w:val="auto"/>
              </w:rPr>
            </w:pPr>
          </w:p>
        </w:tc>
        <w:tc>
          <w:tcPr>
            <w:tcW w:w="720" w:type="dxa"/>
            <w:vAlign w:val="bottom"/>
            <w:tcBorders>
              <w:left w:val="single" w:sz="8" w:color="E6E7E8"/>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color w:val="231F20"/>
              </w:rPr>
              <w:t>42.9</w:t>
            </w:r>
          </w:p>
        </w:tc>
        <w:tc>
          <w:tcPr>
            <w:tcW w:w="180" w:type="dxa"/>
            <w:vAlign w:val="bottom"/>
            <w:vMerge w:val="continue"/>
            <w:shd w:val="clear" w:color="auto" w:fill="E6E7E8"/>
          </w:tcPr>
          <w:p>
            <w:pPr>
              <w:spacing w:after="0"/>
              <w:rPr>
                <w:sz w:val="17"/>
                <w:szCs w:val="17"/>
                <w:color w:val="auto"/>
              </w:rPr>
            </w:pPr>
          </w:p>
        </w:tc>
        <w:tc>
          <w:tcPr>
            <w:tcW w:w="720" w:type="dxa"/>
            <w:vAlign w:val="bottom"/>
            <w:tcBorders>
              <w:left w:val="single" w:sz="8" w:color="E6E7E8"/>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color w:val="231F20"/>
              </w:rPr>
              <w:t>14.4</w:t>
            </w:r>
          </w:p>
        </w:tc>
        <w:tc>
          <w:tcPr>
            <w:tcW w:w="180" w:type="dxa"/>
            <w:vAlign w:val="bottom"/>
            <w:vMerge w:val="continue"/>
            <w:shd w:val="clear" w:color="auto" w:fill="E6E7E8"/>
          </w:tcPr>
          <w:p>
            <w:pPr>
              <w:spacing w:after="0"/>
              <w:rPr>
                <w:sz w:val="17"/>
                <w:szCs w:val="17"/>
                <w:color w:val="auto"/>
              </w:rPr>
            </w:pPr>
          </w:p>
        </w:tc>
        <w:tc>
          <w:tcPr>
            <w:tcW w:w="860" w:type="dxa"/>
            <w:vAlign w:val="bottom"/>
            <w:gridSpan w:val="2"/>
          </w:tcPr>
          <w:p>
            <w:pPr>
              <w:jc w:val="right"/>
              <w:ind w:right="140"/>
              <w:spacing w:after="0" w:line="204" w:lineRule="exact"/>
              <w:rPr>
                <w:sz w:val="20"/>
                <w:szCs w:val="20"/>
                <w:color w:val="auto"/>
              </w:rPr>
            </w:pPr>
            <w:r>
              <w:rPr>
                <w:rFonts w:ascii="Times New Roman" w:cs="Times New Roman" w:eastAsia="Times New Roman" w:hAnsi="Times New Roman"/>
                <w:sz w:val="19"/>
                <w:szCs w:val="19"/>
                <w:color w:val="231F20"/>
              </w:rPr>
              <w:t>34.0%</w:t>
            </w:r>
          </w:p>
        </w:tc>
        <w:tc>
          <w:tcPr>
            <w:tcW w:w="20" w:type="dxa"/>
            <w:vAlign w:val="bottom"/>
          </w:tcPr>
          <w:p>
            <w:pPr>
              <w:spacing w:after="0"/>
              <w:rPr>
                <w:sz w:val="17"/>
                <w:szCs w:val="17"/>
                <w:color w:val="auto"/>
              </w:rPr>
            </w:pPr>
          </w:p>
        </w:tc>
        <w:tc>
          <w:tcPr>
            <w:tcW w:w="900" w:type="dxa"/>
            <w:vAlign w:val="bottom"/>
            <w:gridSpan w:val="2"/>
          </w:tcPr>
          <w:p>
            <w:pPr>
              <w:jc w:val="right"/>
              <w:ind w:right="120"/>
              <w:spacing w:after="0" w:line="204" w:lineRule="exact"/>
              <w:rPr>
                <w:sz w:val="20"/>
                <w:szCs w:val="20"/>
                <w:color w:val="auto"/>
              </w:rPr>
            </w:pPr>
            <w:r>
              <w:rPr>
                <w:rFonts w:ascii="Times New Roman" w:cs="Times New Roman" w:eastAsia="Times New Roman" w:hAnsi="Times New Roman"/>
                <w:sz w:val="19"/>
                <w:szCs w:val="19"/>
                <w:color w:val="231F20"/>
              </w:rPr>
              <w:t>(0.6)</w:t>
            </w:r>
          </w:p>
        </w:tc>
        <w:tc>
          <w:tcPr>
            <w:tcW w:w="900" w:type="dxa"/>
            <w:vAlign w:val="bottom"/>
            <w:gridSpan w:val="2"/>
          </w:tcPr>
          <w:p>
            <w:pPr>
              <w:jc w:val="right"/>
              <w:ind w:right="60"/>
              <w:spacing w:after="0" w:line="204" w:lineRule="exact"/>
              <w:rPr>
                <w:sz w:val="20"/>
                <w:szCs w:val="20"/>
                <w:color w:val="auto"/>
              </w:rPr>
            </w:pPr>
            <w:r>
              <w:rPr>
                <w:rFonts w:ascii="Times New Roman" w:cs="Times New Roman" w:eastAsia="Times New Roman" w:hAnsi="Times New Roman"/>
                <w:sz w:val="19"/>
                <w:szCs w:val="19"/>
                <w:color w:val="231F20"/>
              </w:rPr>
              <w:t>(1.4)%</w:t>
            </w:r>
          </w:p>
        </w:tc>
        <w:tc>
          <w:tcPr>
            <w:tcW w:w="0" w:type="dxa"/>
            <w:vAlign w:val="bottom"/>
          </w:tcPr>
          <w:p>
            <w:pPr>
              <w:spacing w:after="0"/>
              <w:rPr>
                <w:sz w:val="1"/>
                <w:szCs w:val="1"/>
                <w:color w:val="auto"/>
              </w:rPr>
            </w:pPr>
          </w:p>
        </w:tc>
      </w:tr>
      <w:tr>
        <w:trPr>
          <w:trHeight w:val="218"/>
        </w:trPr>
        <w:tc>
          <w:tcPr>
            <w:tcW w:w="34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Commercial &amp; Industrial</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221.8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177.7</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178.6</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44.1</w:t>
            </w: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231F20"/>
              </w:rPr>
              <w:t>24.8%</w:t>
            </w:r>
          </w:p>
        </w:tc>
        <w:tc>
          <w:tcPr>
            <w:tcW w:w="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231F20"/>
              </w:rPr>
              <w:t>(0.9)</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231F20"/>
              </w:rPr>
              <w:t>(0.5)%</w:t>
            </w:r>
          </w:p>
        </w:tc>
        <w:tc>
          <w:tcPr>
            <w:tcW w:w="0" w:type="dxa"/>
            <w:vAlign w:val="bottom"/>
          </w:tcPr>
          <w:p>
            <w:pPr>
              <w:spacing w:after="0"/>
              <w:rPr>
                <w:sz w:val="1"/>
                <w:szCs w:val="1"/>
                <w:color w:val="auto"/>
              </w:rPr>
            </w:pPr>
          </w:p>
        </w:tc>
      </w:tr>
      <w:tr>
        <w:trPr>
          <w:trHeight w:val="20"/>
        </w:trPr>
        <w:tc>
          <w:tcPr>
            <w:tcW w:w="3400" w:type="dxa"/>
            <w:vAlign w:val="bottom"/>
            <w:gridSpan w:val="2"/>
            <w:vMerge w:val="restart"/>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Total Therm Sales</w:t>
            </w:r>
          </w:p>
        </w:tc>
        <w:tc>
          <w:tcPr>
            <w:tcW w:w="740" w:type="dxa"/>
            <w:vAlign w:val="bottom"/>
            <w:shd w:val="clear" w:color="auto" w:fill="231F2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shd w:val="clear" w:color="auto" w:fill="E6E7E8"/>
          </w:tcPr>
          <w:p>
            <w:pPr>
              <w:spacing w:after="0" w:line="20" w:lineRule="exact"/>
              <w:rPr>
                <w:sz w:val="1"/>
                <w:szCs w:val="1"/>
                <w:color w:val="auto"/>
              </w:rPr>
            </w:pPr>
          </w:p>
        </w:tc>
        <w:tc>
          <w:tcPr>
            <w:tcW w:w="740" w:type="dxa"/>
            <w:vAlign w:val="bottom"/>
            <w:tcBorders>
              <w:left w:val="single" w:sz="8" w:color="231F20"/>
            </w:tcBorders>
            <w:shd w:val="clear" w:color="auto" w:fill="231F20"/>
          </w:tcPr>
          <w:p>
            <w:pPr>
              <w:spacing w:after="0" w:line="20" w:lineRule="exact"/>
              <w:rPr>
                <w:sz w:val="1"/>
                <w:szCs w:val="1"/>
                <w:color w:val="auto"/>
              </w:rPr>
            </w:pPr>
          </w:p>
        </w:tc>
        <w:tc>
          <w:tcPr>
            <w:tcW w:w="180" w:type="dxa"/>
            <w:vAlign w:val="bottom"/>
            <w:vMerge w:val="restart"/>
            <w:shd w:val="clear" w:color="auto" w:fill="E6E7E8"/>
          </w:tcPr>
          <w:p>
            <w:pPr>
              <w:spacing w:after="0" w:line="20" w:lineRule="exact"/>
              <w:rPr>
                <w:sz w:val="1"/>
                <w:szCs w:val="1"/>
                <w:color w:val="auto"/>
              </w:rPr>
            </w:pPr>
          </w:p>
        </w:tc>
        <w:tc>
          <w:tcPr>
            <w:tcW w:w="720" w:type="dxa"/>
            <w:vAlign w:val="bottom"/>
            <w:tcBorders>
              <w:left w:val="single" w:sz="8" w:color="231F20"/>
            </w:tcBorders>
            <w:shd w:val="clear" w:color="auto" w:fill="231F20"/>
          </w:tcPr>
          <w:p>
            <w:pPr>
              <w:spacing w:after="0" w:line="20" w:lineRule="exact"/>
              <w:rPr>
                <w:sz w:val="1"/>
                <w:szCs w:val="1"/>
                <w:color w:val="auto"/>
              </w:rPr>
            </w:pPr>
          </w:p>
        </w:tc>
        <w:tc>
          <w:tcPr>
            <w:tcW w:w="180" w:type="dxa"/>
            <w:vAlign w:val="bottom"/>
            <w:vMerge w:val="restart"/>
            <w:shd w:val="clear" w:color="auto" w:fill="E6E7E8"/>
          </w:tcPr>
          <w:p>
            <w:pPr>
              <w:spacing w:after="0" w:line="20" w:lineRule="exact"/>
              <w:rPr>
                <w:sz w:val="1"/>
                <w:szCs w:val="1"/>
                <w:color w:val="auto"/>
              </w:rPr>
            </w:pPr>
          </w:p>
        </w:tc>
        <w:tc>
          <w:tcPr>
            <w:tcW w:w="720" w:type="dxa"/>
            <w:vAlign w:val="bottom"/>
            <w:tcBorders>
              <w:left w:val="single" w:sz="8" w:color="231F20"/>
            </w:tcBorders>
            <w:shd w:val="clear" w:color="auto" w:fill="231F20"/>
          </w:tcPr>
          <w:p>
            <w:pPr>
              <w:spacing w:after="0" w:line="20" w:lineRule="exact"/>
              <w:rPr>
                <w:sz w:val="1"/>
                <w:szCs w:val="1"/>
                <w:color w:val="auto"/>
              </w:rPr>
            </w:pPr>
          </w:p>
        </w:tc>
        <w:tc>
          <w:tcPr>
            <w:tcW w:w="180" w:type="dxa"/>
            <w:vAlign w:val="bottom"/>
            <w:vMerge w:val="restart"/>
            <w:shd w:val="clear" w:color="auto" w:fill="E6E7E8"/>
          </w:tcPr>
          <w:p>
            <w:pPr>
              <w:spacing w:after="0" w:line="20" w:lineRule="exact"/>
              <w:rPr>
                <w:sz w:val="1"/>
                <w:szCs w:val="1"/>
                <w:color w:val="auto"/>
              </w:rPr>
            </w:pPr>
          </w:p>
        </w:tc>
        <w:tc>
          <w:tcPr>
            <w:tcW w:w="860" w:type="dxa"/>
            <w:vAlign w:val="bottom"/>
            <w:gridSpan w:val="2"/>
            <w:vMerge w:val="restart"/>
            <w:shd w:val="clear" w:color="auto" w:fill="E6E7E8"/>
          </w:tcPr>
          <w:p>
            <w:pPr>
              <w:jc w:val="right"/>
              <w:ind w:right="140"/>
              <w:spacing w:after="0"/>
              <w:rPr>
                <w:sz w:val="20"/>
                <w:szCs w:val="20"/>
                <w:color w:val="auto"/>
              </w:rPr>
            </w:pPr>
            <w:r>
              <w:rPr>
                <w:rFonts w:ascii="Times New Roman" w:cs="Times New Roman" w:eastAsia="Times New Roman" w:hAnsi="Times New Roman"/>
                <w:sz w:val="19"/>
                <w:szCs w:val="19"/>
                <w:color w:val="231F20"/>
              </w:rPr>
              <w:t>26.6%</w:t>
            </w:r>
          </w:p>
        </w:tc>
        <w:tc>
          <w:tcPr>
            <w:tcW w:w="20" w:type="dxa"/>
            <w:vAlign w:val="bottom"/>
            <w:shd w:val="clear" w:color="auto" w:fill="231F20"/>
          </w:tcPr>
          <w:p>
            <w:pPr>
              <w:spacing w:after="0" w:line="20" w:lineRule="exact"/>
              <w:rPr>
                <w:sz w:val="1"/>
                <w:szCs w:val="1"/>
                <w:color w:val="auto"/>
              </w:rPr>
            </w:pPr>
          </w:p>
        </w:tc>
        <w:tc>
          <w:tcPr>
            <w:tcW w:w="720" w:type="dxa"/>
            <w:vAlign w:val="bottom"/>
            <w:shd w:val="clear" w:color="auto" w:fill="231F2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9"/>
                <w:szCs w:val="19"/>
                <w:color w:val="231F20"/>
              </w:rPr>
              <w:t>(0.7)%</w:t>
            </w:r>
          </w:p>
        </w:tc>
        <w:tc>
          <w:tcPr>
            <w:tcW w:w="0" w:type="dxa"/>
            <w:vAlign w:val="bottom"/>
          </w:tcPr>
          <w:p>
            <w:pPr>
              <w:spacing w:after="0" w:line="20" w:lineRule="exact"/>
              <w:rPr>
                <w:sz w:val="1"/>
                <w:szCs w:val="1"/>
                <w:color w:val="auto"/>
              </w:rPr>
            </w:pPr>
          </w:p>
        </w:tc>
      </w:tr>
      <w:tr>
        <w:trPr>
          <w:trHeight w:val="213"/>
        </w:trPr>
        <w:tc>
          <w:tcPr>
            <w:tcW w:w="3400" w:type="dxa"/>
            <w:vAlign w:val="bottom"/>
            <w:gridSpan w:val="2"/>
            <w:vMerge w:val="continue"/>
            <w:shd w:val="clear" w:color="auto" w:fill="E6E7E8"/>
          </w:tcPr>
          <w:p>
            <w:pPr>
              <w:spacing w:after="0"/>
              <w:rPr>
                <w:sz w:val="18"/>
                <w:szCs w:val="18"/>
                <w:color w:val="auto"/>
              </w:rPr>
            </w:pPr>
          </w:p>
        </w:tc>
        <w:tc>
          <w:tcPr>
            <w:tcW w:w="740" w:type="dxa"/>
            <w:vAlign w:val="bottom"/>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278.5</w:t>
            </w:r>
          </w:p>
        </w:tc>
        <w:tc>
          <w:tcPr>
            <w:tcW w:w="20" w:type="dxa"/>
            <w:vAlign w:val="bottom"/>
            <w:vMerge w:val="continue"/>
          </w:tcPr>
          <w:p>
            <w:pPr>
              <w:spacing w:after="0"/>
              <w:rPr>
                <w:sz w:val="18"/>
                <w:szCs w:val="18"/>
                <w:color w:val="auto"/>
              </w:rPr>
            </w:pPr>
          </w:p>
        </w:tc>
        <w:tc>
          <w:tcPr>
            <w:tcW w:w="160" w:type="dxa"/>
            <w:vAlign w:val="bottom"/>
            <w:vMerge w:val="continue"/>
            <w:shd w:val="clear" w:color="auto" w:fill="E6E7E8"/>
          </w:tcPr>
          <w:p>
            <w:pPr>
              <w:spacing w:after="0"/>
              <w:rPr>
                <w:sz w:val="18"/>
                <w:szCs w:val="18"/>
                <w:color w:val="auto"/>
              </w:rPr>
            </w:pPr>
          </w:p>
        </w:tc>
        <w:tc>
          <w:tcPr>
            <w:tcW w:w="740" w:type="dxa"/>
            <w:vAlign w:val="bottom"/>
            <w:tcBorders>
              <w:left w:val="single" w:sz="8" w:color="E6E7E8"/>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220.0</w:t>
            </w:r>
          </w:p>
        </w:tc>
        <w:tc>
          <w:tcPr>
            <w:tcW w:w="180" w:type="dxa"/>
            <w:vAlign w:val="bottom"/>
            <w:vMerge w:val="continue"/>
            <w:shd w:val="clear" w:color="auto" w:fill="E6E7E8"/>
          </w:tcPr>
          <w:p>
            <w:pPr>
              <w:spacing w:after="0"/>
              <w:rPr>
                <w:sz w:val="18"/>
                <w:szCs w:val="18"/>
                <w:color w:val="auto"/>
              </w:rPr>
            </w:pPr>
          </w:p>
        </w:tc>
        <w:tc>
          <w:tcPr>
            <w:tcW w:w="720" w:type="dxa"/>
            <w:vAlign w:val="bottom"/>
            <w:tcBorders>
              <w:left w:val="single" w:sz="8" w:color="E6E7E8"/>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221.5</w:t>
            </w:r>
          </w:p>
        </w:tc>
        <w:tc>
          <w:tcPr>
            <w:tcW w:w="180" w:type="dxa"/>
            <w:vAlign w:val="bottom"/>
            <w:vMerge w:val="continue"/>
            <w:shd w:val="clear" w:color="auto" w:fill="E6E7E8"/>
          </w:tcPr>
          <w:p>
            <w:pPr>
              <w:spacing w:after="0"/>
              <w:rPr>
                <w:sz w:val="18"/>
                <w:szCs w:val="18"/>
                <w:color w:val="auto"/>
              </w:rPr>
            </w:pPr>
          </w:p>
        </w:tc>
        <w:tc>
          <w:tcPr>
            <w:tcW w:w="720" w:type="dxa"/>
            <w:vAlign w:val="bottom"/>
            <w:tcBorders>
              <w:left w:val="single" w:sz="8" w:color="E6E7E8"/>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58.5</w:t>
            </w:r>
          </w:p>
        </w:tc>
        <w:tc>
          <w:tcPr>
            <w:tcW w:w="180" w:type="dxa"/>
            <w:vAlign w:val="bottom"/>
            <w:vMerge w:val="continue"/>
            <w:shd w:val="clear" w:color="auto" w:fill="E6E7E8"/>
          </w:tcPr>
          <w:p>
            <w:pPr>
              <w:spacing w:after="0"/>
              <w:rPr>
                <w:sz w:val="18"/>
                <w:szCs w:val="18"/>
                <w:color w:val="auto"/>
              </w:rPr>
            </w:pPr>
          </w:p>
        </w:tc>
        <w:tc>
          <w:tcPr>
            <w:tcW w:w="860" w:type="dxa"/>
            <w:vAlign w:val="bottom"/>
            <w:gridSpan w:val="2"/>
            <w:vMerge w:val="continue"/>
            <w:shd w:val="clear" w:color="auto" w:fill="E6E7E8"/>
          </w:tcPr>
          <w:p>
            <w:pPr>
              <w:spacing w:after="0"/>
              <w:rPr>
                <w:sz w:val="18"/>
                <w:szCs w:val="18"/>
                <w:color w:val="auto"/>
              </w:rPr>
            </w:pPr>
          </w:p>
        </w:tc>
        <w:tc>
          <w:tcPr>
            <w:tcW w:w="20" w:type="dxa"/>
            <w:vAlign w:val="bottom"/>
            <w:shd w:val="clear" w:color="auto" w:fill="E6E7E8"/>
          </w:tcPr>
          <w:p>
            <w:pPr>
              <w:spacing w:after="0"/>
              <w:rPr>
                <w:sz w:val="18"/>
                <w:szCs w:val="18"/>
                <w:color w:val="auto"/>
              </w:rPr>
            </w:pPr>
          </w:p>
        </w:tc>
        <w:tc>
          <w:tcPr>
            <w:tcW w:w="900" w:type="dxa"/>
            <w:vAlign w:val="bottom"/>
            <w:gridSpan w:val="2"/>
          </w:tcPr>
          <w:p>
            <w:pPr>
              <w:jc w:val="right"/>
              <w:ind w:right="120"/>
              <w:spacing w:after="0" w:line="214" w:lineRule="exact"/>
              <w:rPr>
                <w:sz w:val="20"/>
                <w:szCs w:val="20"/>
                <w:color w:val="auto"/>
              </w:rPr>
            </w:pPr>
            <w:r>
              <w:rPr>
                <w:rFonts w:ascii="Times New Roman" w:cs="Times New Roman" w:eastAsia="Times New Roman" w:hAnsi="Times New Roman"/>
                <w:sz w:val="19"/>
                <w:szCs w:val="19"/>
                <w:color w:val="231F20"/>
              </w:rPr>
              <w:t>(1.5)</w:t>
            </w: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4810760</wp:posOffset>
                </wp:positionH>
                <wp:positionV relativeFrom="paragraph">
                  <wp:posOffset>-454025</wp:posOffset>
                </wp:positionV>
                <wp:extent cx="359410" cy="139065"/>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9410" cy="139065"/>
                        </a:xfrm>
                        <a:prstGeom prst="rect">
                          <a:avLst/>
                        </a:prstGeom>
                        <a:solidFill>
                          <a:srgbClr val="E6E7E8"/>
                        </a:solidFill>
                      </wps:spPr>
                      <wps:bodyPr/>
                    </wps:wsp>
                  </a:graphicData>
                </a:graphic>
              </wp:anchor>
            </w:drawing>
          </mc:Choice>
          <mc:Fallback>
            <w:pict>
              <v:rect id="Shape 53" o:spid="_x0000_s1078" style="position:absolute;margin-left:378.8pt;margin-top:-35.7499pt;width:28.3pt;height:1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5361305</wp:posOffset>
                </wp:positionH>
                <wp:positionV relativeFrom="paragraph">
                  <wp:posOffset>-454025</wp:posOffset>
                </wp:positionV>
                <wp:extent cx="464185" cy="139065"/>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4185" cy="139065"/>
                        </a:xfrm>
                        <a:prstGeom prst="rect">
                          <a:avLst/>
                        </a:prstGeom>
                        <a:solidFill>
                          <a:srgbClr val="E6E7E8"/>
                        </a:solidFill>
                      </wps:spPr>
                      <wps:bodyPr/>
                    </wps:wsp>
                  </a:graphicData>
                </a:graphic>
              </wp:anchor>
            </w:drawing>
          </mc:Choice>
          <mc:Fallback>
            <w:pict>
              <v:rect id="Shape 54" o:spid="_x0000_s1079" style="position:absolute;margin-left:422.15pt;margin-top:-35.7499pt;width:36.55pt;height:1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5939155</wp:posOffset>
                </wp:positionH>
                <wp:positionV relativeFrom="paragraph">
                  <wp:posOffset>-454025</wp:posOffset>
                </wp:positionV>
                <wp:extent cx="397510" cy="139065"/>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7510" cy="139065"/>
                        </a:xfrm>
                        <a:prstGeom prst="rect">
                          <a:avLst/>
                        </a:prstGeom>
                        <a:solidFill>
                          <a:srgbClr val="E6E7E8"/>
                        </a:solidFill>
                      </wps:spPr>
                      <wps:bodyPr/>
                    </wps:wsp>
                  </a:graphicData>
                </a:graphic>
              </wp:anchor>
            </w:drawing>
          </mc:Choice>
          <mc:Fallback>
            <w:pict>
              <v:rect id="Shape 55" o:spid="_x0000_s1080" style="position:absolute;margin-left:467.65pt;margin-top:-35.7499pt;width:31.3pt;height:1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5361305</wp:posOffset>
                </wp:positionH>
                <wp:positionV relativeFrom="paragraph">
                  <wp:posOffset>-167005</wp:posOffset>
                </wp:positionV>
                <wp:extent cx="464185" cy="13843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4185" cy="138430"/>
                        </a:xfrm>
                        <a:prstGeom prst="rect">
                          <a:avLst/>
                        </a:prstGeom>
                        <a:solidFill>
                          <a:srgbClr val="E6E7E8"/>
                        </a:solidFill>
                      </wps:spPr>
                      <wps:bodyPr/>
                    </wps:wsp>
                  </a:graphicData>
                </a:graphic>
              </wp:anchor>
            </w:drawing>
          </mc:Choice>
          <mc:Fallback>
            <w:pict>
              <v:rect id="Shape 56" o:spid="_x0000_s1081" style="position:absolute;margin-left:422.15pt;margin-top:-13.1499pt;width:36.55pt;height:10.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5825490</wp:posOffset>
                </wp:positionH>
                <wp:positionV relativeFrom="paragraph">
                  <wp:posOffset>-176530</wp:posOffset>
                </wp:positionV>
                <wp:extent cx="689610" cy="147955"/>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 cy="147955"/>
                        </a:xfrm>
                        <a:prstGeom prst="rect">
                          <a:avLst/>
                        </a:prstGeom>
                        <a:solidFill>
                          <a:srgbClr val="E6E7E8"/>
                        </a:solidFill>
                      </wps:spPr>
                      <wps:bodyPr/>
                    </wps:wsp>
                  </a:graphicData>
                </a:graphic>
              </wp:anchor>
            </w:drawing>
          </mc:Choice>
          <mc:Fallback>
            <w:pict>
              <v:rect id="Shape 57" o:spid="_x0000_s1082" style="position:absolute;margin-left:458.7pt;margin-top:-13.8999pt;width:54.3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w:drawing>
          <wp:anchor simplePos="0" relativeHeight="251657728" behindDoc="1" locked="0" layoutInCell="0" allowOverlap="1">
            <wp:simplePos x="0" y="0"/>
            <wp:positionH relativeFrom="column">
              <wp:posOffset>4223385</wp:posOffset>
            </wp:positionH>
            <wp:positionV relativeFrom="paragraph">
              <wp:posOffset>-730250</wp:posOffset>
            </wp:positionV>
            <wp:extent cx="21329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4">
                      <a:extLst>
                        <a:ext uri="{28A0092B-C50C-407E-A947-70E740481C1C}"/>
                      </a:extLst>
                    </a:blip>
                    <a:srcRect/>
                    <a:stretch>
                      <a:fillRect/>
                    </a:stretch>
                  </pic:blipFill>
                  <pic:spPr bwMode="auto">
                    <a:xfrm>
                      <a:off x="0" y="0"/>
                      <a:ext cx="2132965" cy="38100"/>
                    </a:xfrm>
                    <a:prstGeom prst="rect">
                      <a:avLst/>
                    </a:prstGeom>
                    <a:noFill/>
                  </pic:spPr>
                </pic:pic>
              </a:graphicData>
            </a:graphic>
          </wp:anchor>
        </w:drawing>
      </w:r>
    </w:p>
    <w:p>
      <w:pPr>
        <w:spacing w:after="0" w:line="319" w:lineRule="exact"/>
        <w:rPr>
          <w:sz w:val="20"/>
          <w:szCs w:val="20"/>
          <w:color w:val="auto"/>
        </w:rPr>
      </w:pPr>
    </w:p>
    <w:p>
      <w:pPr>
        <w:ind w:right="200" w:firstLine="619"/>
        <w:spacing w:after="0" w:line="259" w:lineRule="auto"/>
        <w:rPr>
          <w:sz w:val="20"/>
          <w:szCs w:val="20"/>
          <w:color w:val="auto"/>
        </w:rPr>
      </w:pPr>
      <w:r>
        <w:rPr>
          <w:rFonts w:ascii="Times New Roman" w:cs="Times New Roman" w:eastAsia="Times New Roman" w:hAnsi="Times New Roman"/>
          <w:sz w:val="21"/>
          <w:szCs w:val="21"/>
          <w:color w:val="231F20"/>
        </w:rPr>
        <w:t>The Company transported 53.1 million therms in 2025 to two electric generation facilities in Maine. As these facilities were charged fixed fees and utilized third-party energy suppliers for natural gas, the therms were not included in the above table.</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231F20"/>
        </w:rPr>
        <w:t>Operating Expenses</w:t>
      </w:r>
    </w:p>
    <w:p>
      <w:pPr>
        <w:spacing w:after="0" w:line="132" w:lineRule="exact"/>
        <w:rPr>
          <w:sz w:val="20"/>
          <w:szCs w:val="20"/>
          <w:color w:val="auto"/>
        </w:rPr>
      </w:pPr>
    </w:p>
    <w:p>
      <w:pPr>
        <w:ind w:right="60" w:firstLine="619"/>
        <w:spacing w:after="0" w:line="250" w:lineRule="auto"/>
        <w:rPr>
          <w:sz w:val="20"/>
          <w:szCs w:val="20"/>
          <w:color w:val="auto"/>
        </w:rPr>
      </w:pPr>
      <w:r>
        <w:rPr>
          <w:rFonts w:ascii="Times New Roman" w:cs="Times New Roman" w:eastAsia="Times New Roman" w:hAnsi="Times New Roman"/>
          <w:sz w:val="21"/>
          <w:szCs w:val="21"/>
          <w:b w:val="1"/>
          <w:bCs w:val="1"/>
          <w:color w:val="231F20"/>
        </w:rPr>
        <w:t>Cost of Electric Sales</w:t>
      </w:r>
      <w:r>
        <w:rPr>
          <w:rFonts w:ascii="Times New Roman" w:cs="Times New Roman" w:eastAsia="Times New Roman" w:hAnsi="Times New Roman"/>
          <w:sz w:val="21"/>
          <w:szCs w:val="21"/>
          <w:color w:val="231F20"/>
        </w:rPr>
        <w:t>—Cost of Electric Sales includes the cost of electric supply as well as other energy supply related</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costs and spending on energy efficiency programs. Cost of Electric Sales decreased $19.2 million, or 13.6%, in 2025 compared to 2024. This decrease reflects an increase in the amount of electricity purchased by customers directly from third-party suppliers, partially offset by higher wholesale electricity prices. The Company reconciles and recovers the approved Cost of Electric Sales in its rates at cost on a pass through basis and therefore changes in approved expenses do not affect earnings.</w:t>
      </w:r>
    </w:p>
    <w:p>
      <w:pPr>
        <w:spacing w:after="0" w:line="194" w:lineRule="exact"/>
        <w:rPr>
          <w:sz w:val="20"/>
          <w:szCs w:val="20"/>
          <w:color w:val="auto"/>
        </w:rPr>
      </w:pPr>
    </w:p>
    <w:p>
      <w:pPr>
        <w:jc w:val="both"/>
        <w:ind w:right="580" w:firstLine="612"/>
        <w:spacing w:after="0" w:line="259" w:lineRule="auto"/>
        <w:rPr>
          <w:sz w:val="20"/>
          <w:szCs w:val="20"/>
          <w:color w:val="auto"/>
        </w:rPr>
      </w:pPr>
      <w:r>
        <w:rPr>
          <w:rFonts w:ascii="Times New Roman" w:cs="Times New Roman" w:eastAsia="Times New Roman" w:hAnsi="Times New Roman"/>
          <w:sz w:val="21"/>
          <w:szCs w:val="21"/>
          <w:color w:val="231F20"/>
        </w:rPr>
        <w:t>In 2024, Cost of Electric Sales decreased $61.4 million, or 30.3%, compared to 2023. This decrease reflects lower wholesale electricity prices and an increase in the amount of electricity purchased by customers directly from third-party suppliers, partially offset by higher electric sales.</w:t>
      </w:r>
    </w:p>
    <w:p>
      <w:pPr>
        <w:spacing w:after="0" w:line="179" w:lineRule="exact"/>
        <w:rPr>
          <w:sz w:val="20"/>
          <w:szCs w:val="20"/>
          <w:color w:val="auto"/>
        </w:rPr>
      </w:pPr>
    </w:p>
    <w:p>
      <w:pPr>
        <w:ind w:firstLine="612"/>
        <w:spacing w:after="0" w:line="250" w:lineRule="auto"/>
        <w:rPr>
          <w:sz w:val="20"/>
          <w:szCs w:val="20"/>
          <w:color w:val="auto"/>
        </w:rPr>
      </w:pPr>
      <w:r>
        <w:rPr>
          <w:rFonts w:ascii="Times New Roman" w:cs="Times New Roman" w:eastAsia="Times New Roman" w:hAnsi="Times New Roman"/>
          <w:sz w:val="21"/>
          <w:szCs w:val="21"/>
          <w:b w:val="1"/>
          <w:bCs w:val="1"/>
          <w:color w:val="231F20"/>
        </w:rPr>
        <w:t>Cost of Gas Sales—</w:t>
      </w:r>
      <w:r>
        <w:rPr>
          <w:rFonts w:ascii="Times New Roman" w:cs="Times New Roman" w:eastAsia="Times New Roman" w:hAnsi="Times New Roman"/>
          <w:sz w:val="21"/>
          <w:szCs w:val="21"/>
          <w:color w:val="231F20"/>
        </w:rPr>
        <w:t>Cost of Gas Sales includes the cost of natural gas purchased to supply the Company’s total gas</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supply requirements as well as other energy supply related costs and spending on energy efficiency programs. Cost of Gas Sales increased $20.9 million, or 26.3%, in 2025 compared to 2024. This increase reflects higher gas sales primarily from the Bangor and Maine Natural acquisitions. The Company reconciles and recovers the approved Cost of Gas Sales in its rates at cost on a pass through basis and therefore changes in approved expenses do not affect earnings.</w:t>
      </w:r>
    </w:p>
    <w:p>
      <w:pPr>
        <w:spacing w:after="0" w:line="194" w:lineRule="exact"/>
        <w:rPr>
          <w:sz w:val="20"/>
          <w:szCs w:val="20"/>
          <w:color w:val="auto"/>
        </w:rPr>
      </w:pPr>
    </w:p>
    <w:p>
      <w:pPr>
        <w:ind w:right="60" w:firstLine="612"/>
        <w:spacing w:after="0" w:line="259" w:lineRule="auto"/>
        <w:rPr>
          <w:sz w:val="20"/>
          <w:szCs w:val="20"/>
          <w:color w:val="auto"/>
        </w:rPr>
      </w:pPr>
      <w:r>
        <w:rPr>
          <w:rFonts w:ascii="Times New Roman" w:cs="Times New Roman" w:eastAsia="Times New Roman" w:hAnsi="Times New Roman"/>
          <w:sz w:val="21"/>
          <w:szCs w:val="21"/>
          <w:color w:val="231F20"/>
        </w:rPr>
        <w:t>In 2024, Cost of Gas Sales decreased $ 16.5 million, or 17.2%, compared to 2023. This decrease reflects lower gas sales, lower wholesale gas commodity prices and an increase in the amount of gas purchased by customers directly from third-party suppliers.</w:t>
      </w:r>
    </w:p>
    <w:p>
      <w:pPr>
        <w:spacing w:after="0" w:line="179" w:lineRule="exact"/>
        <w:rPr>
          <w:sz w:val="20"/>
          <w:szCs w:val="20"/>
          <w:color w:val="auto"/>
        </w:rPr>
      </w:pPr>
    </w:p>
    <w:p>
      <w:pPr>
        <w:ind w:right="60" w:firstLine="612"/>
        <w:spacing w:after="0" w:line="254" w:lineRule="auto"/>
        <w:rPr>
          <w:sz w:val="20"/>
          <w:szCs w:val="20"/>
          <w:color w:val="auto"/>
        </w:rPr>
      </w:pPr>
      <w:r>
        <w:rPr>
          <w:rFonts w:ascii="Times New Roman" w:cs="Times New Roman" w:eastAsia="Times New Roman" w:hAnsi="Times New Roman"/>
          <w:sz w:val="21"/>
          <w:szCs w:val="21"/>
          <w:b w:val="1"/>
          <w:bCs w:val="1"/>
          <w:color w:val="231F20"/>
        </w:rPr>
        <w:t>Operation and Maintenance—</w:t>
      </w:r>
      <w:r>
        <w:rPr>
          <w:rFonts w:ascii="Times New Roman" w:cs="Times New Roman" w:eastAsia="Times New Roman" w:hAnsi="Times New Roman"/>
          <w:sz w:val="21"/>
          <w:szCs w:val="21"/>
          <w:color w:val="231F20"/>
        </w:rPr>
        <w:t>O&amp;M expense includes electric and gas utility operating costs, and the operating costs</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of the Company’s other subsidiaries. Total O&amp;M expenses increased $14.9 million, or 19.2%, in 2025 compared to 2024, reflecting higher utility operating costs of $6.1 million, higher labor and other costs of $5.5 million and higher acquisition costs of $3.3 million. O&amp;M expenses included $4.2 million of utility operating costs for Bangor and Maine Natural in 2025.</w:t>
      </w:r>
    </w:p>
    <w:p>
      <w:pPr>
        <w:spacing w:after="0" w:line="188" w:lineRule="exact"/>
        <w:rPr>
          <w:sz w:val="20"/>
          <w:szCs w:val="20"/>
          <w:color w:val="auto"/>
        </w:rPr>
      </w:pPr>
    </w:p>
    <w:p>
      <w:pPr>
        <w:ind w:right="260" w:firstLine="612"/>
        <w:spacing w:after="0" w:line="279" w:lineRule="auto"/>
        <w:rPr>
          <w:sz w:val="20"/>
          <w:szCs w:val="20"/>
          <w:color w:val="auto"/>
        </w:rPr>
      </w:pPr>
      <w:r>
        <w:rPr>
          <w:rFonts w:ascii="Times New Roman" w:cs="Times New Roman" w:eastAsia="Times New Roman" w:hAnsi="Times New Roman"/>
          <w:sz w:val="21"/>
          <w:szCs w:val="21"/>
          <w:color w:val="231F20"/>
        </w:rPr>
        <w:t>In 2024, total O&amp;M expenses increased $2.0 million, or 2.6%, compared to 2023, reflecting higher labor costs of $2.5 million, partially offset by lower utility operating costs of $0.5 million.</w:t>
      </w:r>
    </w:p>
    <w:p>
      <w:pPr>
        <w:spacing w:after="0" w:line="158" w:lineRule="exact"/>
        <w:rPr>
          <w:sz w:val="20"/>
          <w:szCs w:val="20"/>
          <w:color w:val="auto"/>
        </w:rPr>
      </w:pPr>
    </w:p>
    <w:p>
      <w:pPr>
        <w:ind w:right="140" w:firstLine="612"/>
        <w:spacing w:after="0" w:line="254" w:lineRule="auto"/>
        <w:rPr>
          <w:sz w:val="20"/>
          <w:szCs w:val="20"/>
          <w:color w:val="auto"/>
        </w:rPr>
      </w:pPr>
      <w:r>
        <w:rPr>
          <w:rFonts w:ascii="Times New Roman" w:cs="Times New Roman" w:eastAsia="Times New Roman" w:hAnsi="Times New Roman"/>
          <w:sz w:val="21"/>
          <w:szCs w:val="21"/>
          <w:b w:val="1"/>
          <w:bCs w:val="1"/>
          <w:color w:val="231F20"/>
        </w:rPr>
        <w:t>Depreciation and Amortization—</w:t>
      </w:r>
      <w:r>
        <w:rPr>
          <w:rFonts w:ascii="Times New Roman" w:cs="Times New Roman" w:eastAsia="Times New Roman" w:hAnsi="Times New Roman"/>
          <w:sz w:val="21"/>
          <w:szCs w:val="21"/>
          <w:color w:val="231F20"/>
        </w:rPr>
        <w:t>Depreciation and Amortization expense increased $12.6 million, or 16.6%, in 2025</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compared to 2024, reflecting higher depreciation rates from recent base rate cases, additional depreciation associated with higher levels of utility plant in service and higher amortization of other deferred costs. Depreciation and Amortization expense included $3.3 million related to Bangor and Maine Natural in 2025.</w:t>
      </w:r>
    </w:p>
    <w:p>
      <w:pPr>
        <w:spacing w:after="0" w:line="188" w:lineRule="exact"/>
        <w:rPr>
          <w:sz w:val="20"/>
          <w:szCs w:val="20"/>
          <w:color w:val="auto"/>
        </w:rPr>
      </w:pPr>
    </w:p>
    <w:p>
      <w:pPr>
        <w:ind w:firstLine="612"/>
        <w:spacing w:after="0" w:line="259" w:lineRule="auto"/>
        <w:rPr>
          <w:sz w:val="20"/>
          <w:szCs w:val="20"/>
          <w:color w:val="auto"/>
        </w:rPr>
      </w:pPr>
      <w:r>
        <w:rPr>
          <w:rFonts w:ascii="Times New Roman" w:cs="Times New Roman" w:eastAsia="Times New Roman" w:hAnsi="Times New Roman"/>
          <w:sz w:val="21"/>
          <w:szCs w:val="21"/>
          <w:color w:val="231F20"/>
        </w:rPr>
        <w:t>In 2024, Depreciation and Amortization expense increased $8.7 million, or 12.9%, compared to 2023, reflecting higher depreciation rates from recent base rate cases, additional depreciation associated with higher levels of utility plant in service and higher amortization of rate case and other deferred costs.</w:t>
      </w:r>
    </w:p>
    <w:p>
      <w:pPr>
        <w:spacing w:after="0" w:line="179" w:lineRule="exact"/>
        <w:rPr>
          <w:sz w:val="20"/>
          <w:szCs w:val="20"/>
          <w:color w:val="auto"/>
        </w:rPr>
      </w:pPr>
    </w:p>
    <w:p>
      <w:pPr>
        <w:ind w:right="640" w:firstLine="612"/>
        <w:spacing w:after="0" w:line="261" w:lineRule="auto"/>
        <w:rPr>
          <w:sz w:val="20"/>
          <w:szCs w:val="20"/>
          <w:color w:val="auto"/>
        </w:rPr>
      </w:pPr>
      <w:r>
        <w:rPr>
          <w:rFonts w:ascii="Times New Roman" w:cs="Times New Roman" w:eastAsia="Times New Roman" w:hAnsi="Times New Roman"/>
          <w:sz w:val="21"/>
          <w:szCs w:val="21"/>
          <w:b w:val="1"/>
          <w:bCs w:val="1"/>
          <w:color w:val="231F20"/>
        </w:rPr>
        <w:t>Taxes Other Than Income Taxes—</w:t>
      </w:r>
      <w:r>
        <w:rPr>
          <w:rFonts w:ascii="Times New Roman" w:cs="Times New Roman" w:eastAsia="Times New Roman" w:hAnsi="Times New Roman"/>
          <w:sz w:val="21"/>
          <w:szCs w:val="21"/>
          <w:color w:val="231F20"/>
        </w:rPr>
        <w:t>Taxes Other Than Income Taxes increased $ 1.4 million, or 4.7%, in 2025</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compared to 2024, reflecting higher local property taxes on higher utility plant in service associated with the Company’s completed acquisitions of Bangor and Maine Natural.</w:t>
      </w:r>
    </w:p>
    <w:p>
      <w:pPr>
        <w:sectPr>
          <w:pgSz w:w="12240" w:h="15840" w:orient="portrait"/>
          <w:cols w:equalWidth="0" w:num="1">
            <w:col w:w="10780"/>
          </w:cols>
          <w:pgMar w:left="720" w:top="928" w:right="740" w:bottom="188"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29</w:t>
      </w:r>
    </w:p>
    <w:p>
      <w:pPr>
        <w:sectPr>
          <w:pgSz w:w="12240" w:h="15840" w:orient="portrait"/>
          <w:cols w:equalWidth="0" w:num="1">
            <w:col w:w="10780"/>
          </w:cols>
          <w:pgMar w:left="720" w:top="928" w:right="740" w:bottom="188" w:gutter="0" w:footer="0" w:header="0"/>
          <w:type w:val="continuous"/>
        </w:sectPr>
      </w:pPr>
    </w:p>
    <w:bookmarkStart w:id="49" w:name="page50"/>
    <w:bookmarkEnd w:id="49"/>
    <w:p>
      <w:pPr>
        <w:ind w:right="380" w:firstLine="612"/>
        <w:spacing w:after="0" w:line="279" w:lineRule="auto"/>
        <w:rPr>
          <w:sz w:val="20"/>
          <w:szCs w:val="20"/>
          <w:color w:val="auto"/>
        </w:rPr>
      </w:pPr>
      <w:r>
        <w:rPr>
          <w:rFonts w:ascii="Times New Roman" w:cs="Times New Roman" w:eastAsia="Times New Roman" w:hAnsi="Times New Roman"/>
          <w:sz w:val="21"/>
          <w:szCs w:val="21"/>
          <w:color w:val="231F20"/>
        </w:rPr>
        <w:t>In 2024, Taxes Other Than Income Taxes increased $1.4 million, or 4.9%, compared to 2023, reflecting higher local property taxes on higher utility plant in service and higher payroll taxes.</w:t>
      </w:r>
    </w:p>
    <w:p>
      <w:pPr>
        <w:spacing w:after="0" w:line="158" w:lineRule="exact"/>
        <w:rPr>
          <w:sz w:val="20"/>
          <w:szCs w:val="20"/>
          <w:color w:val="auto"/>
        </w:rPr>
      </w:pPr>
    </w:p>
    <w:p>
      <w:pPr>
        <w:ind w:right="100" w:firstLine="619"/>
        <w:spacing w:after="0" w:line="254" w:lineRule="auto"/>
        <w:rPr>
          <w:sz w:val="20"/>
          <w:szCs w:val="20"/>
          <w:color w:val="auto"/>
        </w:rPr>
      </w:pPr>
      <w:r>
        <w:rPr>
          <w:rFonts w:ascii="Times New Roman" w:cs="Times New Roman" w:eastAsia="Times New Roman" w:hAnsi="Times New Roman"/>
          <w:sz w:val="21"/>
          <w:szCs w:val="21"/>
          <w:b w:val="1"/>
          <w:bCs w:val="1"/>
          <w:color w:val="231F20"/>
        </w:rPr>
        <w:t>Interest Expense, Net—</w:t>
      </w:r>
      <w:r>
        <w:rPr>
          <w:rFonts w:ascii="Times New Roman" w:cs="Times New Roman" w:eastAsia="Times New Roman" w:hAnsi="Times New Roman"/>
          <w:sz w:val="21"/>
          <w:szCs w:val="21"/>
          <w:color w:val="231F20"/>
        </w:rPr>
        <w:t>Interest expense is presented in the Consolidated Financial Statements net of interest income.</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Interest expense is mainly comprised of interest on long-term debt and short-term borrowings (See Note 4 (Debt and Financing Arrangements) to the accompanying Consolidated Financial Statements). Certain reconciling rate mechanisms used by the Company’s distribution utilities give rise to regulatory assets and regulatory liabilities on which interest is calculated.</w:t>
      </w:r>
    </w:p>
    <w:p>
      <w:pPr>
        <w:spacing w:after="0" w:line="188" w:lineRule="exact"/>
        <w:rPr>
          <w:sz w:val="20"/>
          <w:szCs w:val="20"/>
          <w:color w:val="auto"/>
        </w:rPr>
      </w:pPr>
    </w:p>
    <w:p>
      <w:pPr>
        <w:ind w:right="40" w:firstLine="612"/>
        <w:spacing w:after="0" w:line="259" w:lineRule="auto"/>
        <w:rPr>
          <w:sz w:val="20"/>
          <w:szCs w:val="20"/>
          <w:color w:val="auto"/>
        </w:rPr>
      </w:pPr>
      <w:r>
        <w:rPr>
          <w:rFonts w:ascii="Times New Roman" w:cs="Times New Roman" w:eastAsia="Times New Roman" w:hAnsi="Times New Roman"/>
          <w:sz w:val="21"/>
          <w:szCs w:val="21"/>
          <w:color w:val="231F20"/>
        </w:rPr>
        <w:t>Interest Expense, Net increased $7.4 million, or 25.3%, in 2025 compared to 2024 primarily reflecting higher interest on higher levels of debt from the acquisitions of Bangor and Maine Natural and lower interest income on regulatory assets and allowance for funds used during construction.</w:t>
      </w:r>
    </w:p>
    <w:p>
      <w:pPr>
        <w:spacing w:after="0" w:line="183" w:lineRule="exact"/>
        <w:rPr>
          <w:sz w:val="20"/>
          <w:szCs w:val="20"/>
          <w:color w:val="auto"/>
        </w:rPr>
      </w:pPr>
    </w:p>
    <w:p>
      <w:pPr>
        <w:ind w:right="140" w:firstLine="619"/>
        <w:spacing w:after="0" w:line="259" w:lineRule="auto"/>
        <w:rPr>
          <w:sz w:val="20"/>
          <w:szCs w:val="20"/>
          <w:color w:val="auto"/>
        </w:rPr>
      </w:pPr>
      <w:r>
        <w:rPr>
          <w:rFonts w:ascii="Times New Roman" w:cs="Times New Roman" w:eastAsia="Times New Roman" w:hAnsi="Times New Roman"/>
          <w:sz w:val="21"/>
          <w:szCs w:val="21"/>
          <w:color w:val="231F20"/>
        </w:rPr>
        <w:t>Interest Expense, Net increased $0.6 million, or 2.1%, in 2024 compared to 2023 primarily reflecting higher interest on higher levels of long-term debt and higher interest on short-term borrowings, partially offset by higher interest income on regulatory assets and other.</w:t>
      </w:r>
    </w:p>
    <w:p>
      <w:pPr>
        <w:spacing w:after="0" w:line="179" w:lineRule="exact"/>
        <w:rPr>
          <w:sz w:val="20"/>
          <w:szCs w:val="20"/>
          <w:color w:val="auto"/>
        </w:rPr>
      </w:pPr>
    </w:p>
    <w:p>
      <w:pPr>
        <w:ind w:right="600" w:firstLine="619"/>
        <w:spacing w:after="0" w:line="283" w:lineRule="auto"/>
        <w:rPr>
          <w:sz w:val="20"/>
          <w:szCs w:val="20"/>
          <w:color w:val="auto"/>
        </w:rPr>
      </w:pPr>
      <w:r>
        <w:rPr>
          <w:rFonts w:ascii="Times New Roman" w:cs="Times New Roman" w:eastAsia="Times New Roman" w:hAnsi="Times New Roman"/>
          <w:sz w:val="21"/>
          <w:szCs w:val="21"/>
          <w:b w:val="1"/>
          <w:bCs w:val="1"/>
          <w:color w:val="231F20"/>
        </w:rPr>
        <w:t>Other (Income) Expense, Net—</w:t>
      </w:r>
      <w:r>
        <w:rPr>
          <w:rFonts w:ascii="Times New Roman" w:cs="Times New Roman" w:eastAsia="Times New Roman" w:hAnsi="Times New Roman"/>
          <w:sz w:val="21"/>
          <w:szCs w:val="21"/>
          <w:color w:val="231F20"/>
        </w:rPr>
        <w:t>Other Expense (Income), Net decreased $1.2 million in 2025 compared to 2024,</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reflecting lower retirement benefit costs.</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231F20"/>
        </w:rPr>
        <w:t>Other Expense (Income), Net increased $0.2 million in 2024 compared to 2023, reflecting lower retirement benefit costs.</w:t>
      </w:r>
    </w:p>
    <w:p>
      <w:pPr>
        <w:spacing w:after="0" w:line="248" w:lineRule="exact"/>
        <w:rPr>
          <w:sz w:val="20"/>
          <w:szCs w:val="20"/>
          <w:color w:val="auto"/>
        </w:rPr>
      </w:pPr>
    </w:p>
    <w:p>
      <w:pPr>
        <w:ind w:right="560" w:firstLine="619"/>
        <w:spacing w:after="0" w:line="283" w:lineRule="auto"/>
        <w:rPr>
          <w:sz w:val="20"/>
          <w:szCs w:val="20"/>
          <w:color w:val="auto"/>
        </w:rPr>
      </w:pPr>
      <w:r>
        <w:rPr>
          <w:rFonts w:ascii="Times New Roman" w:cs="Times New Roman" w:eastAsia="Times New Roman" w:hAnsi="Times New Roman"/>
          <w:sz w:val="21"/>
          <w:szCs w:val="21"/>
          <w:b w:val="1"/>
          <w:bCs w:val="1"/>
          <w:color w:val="231F20"/>
        </w:rPr>
        <w:t>Provision for Income Taxes—</w:t>
      </w:r>
      <w:r>
        <w:rPr>
          <w:rFonts w:ascii="Times New Roman" w:cs="Times New Roman" w:eastAsia="Times New Roman" w:hAnsi="Times New Roman"/>
          <w:sz w:val="21"/>
          <w:szCs w:val="21"/>
          <w:color w:val="231F20"/>
        </w:rPr>
        <w:t>Federal and State Income Taxes increased $1.3 million in 2025 compared to 2024,</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reflecting higher pre-tax earnings in 2025.</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231F20"/>
        </w:rPr>
        <w:t>Federal and State Income Taxes increased $0.8 million in 2024 compared to 2023, reflecting higher pre-tax earnings in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231F20"/>
        </w:rPr>
        <w:t>2024.</w:t>
      </w:r>
    </w:p>
    <w:p>
      <w:pPr>
        <w:spacing w:after="0" w:line="332" w:lineRule="exact"/>
        <w:rPr>
          <w:sz w:val="20"/>
          <w:szCs w:val="20"/>
          <w:color w:val="auto"/>
        </w:rPr>
      </w:pPr>
    </w:p>
    <w:p>
      <w:pPr>
        <w:ind w:right="4220" w:firstLine="612"/>
        <w:spacing w:after="0" w:line="396" w:lineRule="auto"/>
        <w:rPr>
          <w:sz w:val="20"/>
          <w:szCs w:val="20"/>
          <w:color w:val="auto"/>
        </w:rPr>
      </w:pPr>
      <w:r>
        <w:rPr>
          <w:rFonts w:ascii="Times New Roman" w:cs="Times New Roman" w:eastAsia="Times New Roman" w:hAnsi="Times New Roman"/>
          <w:sz w:val="21"/>
          <w:szCs w:val="21"/>
          <w:b w:val="1"/>
          <w:bCs w:val="1"/>
          <w:i w:val="1"/>
          <w:iCs w:val="1"/>
          <w:color w:val="231F20"/>
        </w:rPr>
        <w:t>LIQUIDITY, COMMITMENTS AND CAPITAL REQUIREMENTS Sources of Capital</w:t>
      </w:r>
    </w:p>
    <w:p>
      <w:pPr>
        <w:spacing w:after="0" w:line="44"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1"/>
          <w:szCs w:val="21"/>
          <w:color w:val="231F20"/>
        </w:rPr>
        <w:t>Unitil requires capital to fund utility plant additions, working capital and other utility expenditures recovered in subsequent periods through regulated rates. The capital necessary to meet these requirements is derived primarily from internally generated funds, which consist of cash flows from operating activities. The Company initially supplements internally generated funds through short-term bank borrowings, as needed, under its unsecured revolving Credit Facility. Periodically, the Company replaces portions of its short-term debt with long-term financings more closely matched to the long-term nature of its utility assets. Additionally, from time to time the Company has accessed the public capital markets through public offerings of equity securities. The Company’s utility operations are seasonal in nature and are therefore subject to seasonal fluctuations in cash flows. The amount, type and timing of any future financing will vary from year to year based on capital needs and maturity or redemptions of securities.</w:t>
      </w:r>
    </w:p>
    <w:p>
      <w:pPr>
        <w:spacing w:after="0" w:line="204"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21"/>
          <w:szCs w:val="21"/>
          <w:color w:val="231F20"/>
        </w:rPr>
        <w:t>On August 18, 2025, the Company issued and sold 1,602,358 shares of its common stock at a price of $46.65 per share in a registered public offering (Offering). The Company’s net increase to Common Equity and Cash proceeds from the Offering was approximately $71.8 million. The proceeds were used to make equity capital contributions to the Company’s regulated utility subsidiaries, to repay debt and for other general corporate purposes. Overall, the results of operations and earnings in 2025 reflect the higher number of average shares outstanding.</w:t>
      </w:r>
    </w:p>
    <w:p>
      <w:pPr>
        <w:spacing w:after="0" w:line="195" w:lineRule="exact"/>
        <w:rPr>
          <w:sz w:val="20"/>
          <w:szCs w:val="20"/>
          <w:color w:val="auto"/>
        </w:rPr>
      </w:pPr>
    </w:p>
    <w:p>
      <w:pPr>
        <w:ind w:right="200" w:firstLine="619"/>
        <w:spacing w:after="0" w:line="246" w:lineRule="auto"/>
        <w:rPr>
          <w:sz w:val="20"/>
          <w:szCs w:val="20"/>
          <w:color w:val="auto"/>
        </w:rPr>
      </w:pPr>
      <w:r>
        <w:rPr>
          <w:rFonts w:ascii="Times New Roman" w:cs="Times New Roman" w:eastAsia="Times New Roman" w:hAnsi="Times New Roman"/>
          <w:sz w:val="21"/>
          <w:szCs w:val="21"/>
          <w:color w:val="231F20"/>
        </w:rPr>
        <w:t>On June 3, 2025, the Company entered into an at-the-market equity offering program (the ATM program) with sales agents under which the Company may, from time to time, offer and sell shares of Unitil's common stock having an aggregate offering price of up to $50 million. Sales of common stock under the ATM program, if any, are made pursuant to a shelf registration statement on Form S-3 (File No. 333-287753) and a related prospectus supplement filed with the Securities and Exchange Commission. As of December 31, 2025, the Company had sold an aggregate of 27,620 shares under the ATM program for net proceeds of $1.4 million. As of December 31, 2025, approximately $48.5 million remains available for future sales under the program.</w:t>
      </w:r>
    </w:p>
    <w:p>
      <w:pPr>
        <w:sectPr>
          <w:pgSz w:w="12240" w:h="15840" w:orient="portrait"/>
          <w:cols w:equalWidth="0" w:num="1">
            <w:col w:w="10780"/>
          </w:cols>
          <w:pgMar w:left="720" w:top="929" w:right="74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30</w:t>
      </w:r>
    </w:p>
    <w:p>
      <w:pPr>
        <w:sectPr>
          <w:pgSz w:w="12240" w:h="15840" w:orient="portrait"/>
          <w:cols w:equalWidth="0" w:num="1">
            <w:col w:w="10780"/>
          </w:cols>
          <w:pgMar w:left="720" w:top="929" w:right="740" w:bottom="188" w:gutter="0" w:footer="0" w:header="0"/>
          <w:type w:val="continuous"/>
        </w:sectPr>
      </w:pPr>
    </w:p>
    <w:bookmarkStart w:id="50" w:name="page51"/>
    <w:bookmarkEnd w:id="50"/>
    <w:p>
      <w:pPr>
        <w:ind w:firstLine="619"/>
        <w:spacing w:after="0" w:line="247" w:lineRule="auto"/>
        <w:rPr>
          <w:sz w:val="20"/>
          <w:szCs w:val="20"/>
          <w:color w:val="auto"/>
        </w:rPr>
      </w:pPr>
      <w:r>
        <w:rPr>
          <w:rFonts w:ascii="Times New Roman" w:cs="Times New Roman" w:eastAsia="Times New Roman" w:hAnsi="Times New Roman"/>
          <w:sz w:val="21"/>
          <w:szCs w:val="21"/>
          <w:color w:val="231F20"/>
        </w:rPr>
        <w:t>The Company and its subsidiaries are individually and collectively members of the Unitil Cash Pool (Cash Pool). The Cash Pool is the financing vehicle for day-to-day cash borrowing and investing. The Cash Pool allows for an efficient exchange of cash among the Company and its subsidiaries. The interest rates charged to the subsidiaries for borrowing from the Cash Pool are based on actual interest costs from lenders under the Company’s revolving Credit Facility. At December 31, 2025 and December 31, 2024, the Company and all of its subsidiaries were in compliance with the regulatory requirements governing participation in the Cash Pool.</w:t>
      </w:r>
    </w:p>
    <w:p>
      <w:pPr>
        <w:spacing w:after="0" w:line="198" w:lineRule="exact"/>
        <w:rPr>
          <w:sz w:val="20"/>
          <w:szCs w:val="20"/>
          <w:color w:val="auto"/>
        </w:rPr>
      </w:pPr>
    </w:p>
    <w:p>
      <w:pPr>
        <w:ind w:right="40" w:firstLine="619"/>
        <w:spacing w:after="0" w:line="252" w:lineRule="exact"/>
        <w:rPr>
          <w:sz w:val="20"/>
          <w:szCs w:val="20"/>
          <w:color w:val="auto"/>
        </w:rPr>
      </w:pPr>
      <w:r>
        <w:rPr>
          <w:rFonts w:ascii="Times New Roman" w:cs="Times New Roman" w:eastAsia="Times New Roman" w:hAnsi="Times New Roman"/>
          <w:sz w:val="21"/>
          <w:szCs w:val="21"/>
          <w:color w:val="231F20"/>
        </w:rPr>
        <w:t>On September 29, 2022, the Company entered into a Third Amended and Restated Credit Agreement with a syndicate of lenders (collectively, the “Credit Facility”), which amended and restated the prior facility in full, and on January 29, 2025, the Company executed an amendment that increased the borrowing limit from $200 million to $275 million and extended the maturity date from September 29, 2027 to September 29, 2028. Unitil may borrow under the Credit Facility through September 29, 2028, with the option for two additional one</w:t>
      </w:r>
      <w:r>
        <w:rPr>
          <w:rFonts w:ascii="MS Gothic" w:cs="MS Gothic" w:eastAsia="MS Gothic" w:hAnsi="MS Gothic"/>
          <w:sz w:val="21"/>
          <w:szCs w:val="21"/>
          <w:color w:val="231F20"/>
        </w:rPr>
        <w:t>‑</w:t>
      </w:r>
      <w:r>
        <w:rPr>
          <w:rFonts w:ascii="Times New Roman" w:cs="Times New Roman" w:eastAsia="Times New Roman" w:hAnsi="Times New Roman"/>
          <w:sz w:val="21"/>
          <w:szCs w:val="21"/>
          <w:color w:val="231F20"/>
        </w:rPr>
        <w:t>year extensions under certain conditions. The Credit Facility provides for a $275 million borrowing limit, including a $25 million sublimit for standby letters of credit, and permits Unitil to increase the borrowing limit by up to an additional $75 million under certain circumstances. Borrowings under the Credit Facility may bear interest at various rate options, including a daily fluctuating rate equal to the forward</w:t>
      </w:r>
      <w:r>
        <w:rPr>
          <w:rFonts w:ascii="MS Gothic" w:cs="MS Gothic" w:eastAsia="MS Gothic" w:hAnsi="MS Gothic"/>
          <w:sz w:val="21"/>
          <w:szCs w:val="21"/>
          <w:color w:val="231F20"/>
        </w:rPr>
        <w:t>‑</w:t>
      </w:r>
      <w:r>
        <w:rPr>
          <w:rFonts w:ascii="Times New Roman" w:cs="Times New Roman" w:eastAsia="Times New Roman" w:hAnsi="Times New Roman"/>
          <w:sz w:val="21"/>
          <w:szCs w:val="21"/>
          <w:color w:val="231F20"/>
        </w:rPr>
        <w:t>looking one</w:t>
      </w:r>
      <w:r>
        <w:rPr>
          <w:rFonts w:ascii="MS Gothic" w:cs="MS Gothic" w:eastAsia="MS Gothic" w:hAnsi="MS Gothic"/>
          <w:sz w:val="21"/>
          <w:szCs w:val="21"/>
          <w:color w:val="231F20"/>
        </w:rPr>
        <w:t>‑</w:t>
      </w:r>
      <w:r>
        <w:rPr>
          <w:rFonts w:ascii="Times New Roman" w:cs="Times New Roman" w:eastAsia="Times New Roman" w:hAnsi="Times New Roman"/>
          <w:sz w:val="21"/>
          <w:szCs w:val="21"/>
          <w:color w:val="231F20"/>
        </w:rPr>
        <w:t>month SOFR term rate (as administered by the Federal Reserve Bank of New York), plus 0.1000%, plus a margin ranging from 1.125% to 1.375% based on Unitil’s credit rating.</w:t>
      </w:r>
    </w:p>
    <w:p>
      <w:pPr>
        <w:spacing w:after="0" w:line="239"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21"/>
          <w:szCs w:val="21"/>
          <w:color w:val="231F20"/>
        </w:rPr>
        <w:t>The Company utilizes the Credit Facility for cash management purposes related to its short -term operating activities. Total gross borrowings were $476.4 million and $308.4 million for the years ended December 31, 2025 and December 31, 2024, respectively. Total gross repayments were $412.5 million and $364.6 million for the years ended December 31, 2025 and December 31, 2024, respectively. The following table details the borrowing limits, amounts outstanding and amounts available under the revolving Credit Facility as of December 31, 2025 and December 31, 2024:</w:t>
      </w:r>
    </w:p>
    <w:p>
      <w:pPr>
        <w:spacing w:after="0" w:line="200" w:lineRule="exact"/>
        <w:rPr>
          <w:sz w:val="20"/>
          <w:szCs w:val="20"/>
          <w:color w:val="auto"/>
        </w:rPr>
      </w:pPr>
    </w:p>
    <w:p>
      <w:pPr>
        <w:spacing w:after="0" w:line="263"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1780" w:type="dxa"/>
            <w:vAlign w:val="bottom"/>
            <w:tcBorders>
              <w:bottom w:val="single" w:sz="8" w:color="231F20"/>
            </w:tcBorders>
            <w:gridSpan w:val="3"/>
          </w:tcPr>
          <w:p>
            <w:pPr>
              <w:jc w:val="right"/>
              <w:ind w:right="5"/>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960" w:type="dxa"/>
            <w:vAlign w:val="bottom"/>
            <w:tcBorders>
              <w:bottom w:val="single" w:sz="8" w:color="231F20"/>
            </w:tcBorders>
          </w:tcPr>
          <w:p>
            <w:pPr>
              <w:spacing w:after="0"/>
              <w:rPr>
                <w:sz w:val="17"/>
                <w:szCs w:val="17"/>
                <w:color w:val="auto"/>
              </w:rPr>
            </w:pPr>
          </w:p>
        </w:tc>
        <w:tc>
          <w:tcPr>
            <w:tcW w:w="60" w:type="dxa"/>
            <w:vAlign w:val="bottom"/>
          </w:tcPr>
          <w:p>
            <w:pPr>
              <w:spacing w:after="0"/>
              <w:rPr>
                <w:sz w:val="17"/>
                <w:szCs w:val="17"/>
                <w:color w:val="auto"/>
              </w:rPr>
            </w:pPr>
          </w:p>
        </w:tc>
      </w:tr>
      <w:tr>
        <w:trPr>
          <w:trHeight w:val="235"/>
        </w:trPr>
        <w:tc>
          <w:tcPr>
            <w:tcW w:w="4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Revolving Credit Facility (millions)</w:t>
            </w:r>
          </w:p>
        </w:tc>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ind w:right="449"/>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20"/>
                <w:szCs w:val="20"/>
                <w:color w:val="auto"/>
              </w:rPr>
            </w:pPr>
          </w:p>
        </w:tc>
      </w:tr>
      <w:tr>
        <w:trPr>
          <w:trHeight w:val="203"/>
        </w:trPr>
        <w:tc>
          <w:tcPr>
            <w:tcW w:w="2420" w:type="dxa"/>
            <w:vAlign w:val="bottom"/>
            <w:tcBorders>
              <w:top w:val="single" w:sz="8" w:color="231F20"/>
            </w:tcBorders>
            <w:shd w:val="clear" w:color="auto" w:fill="E6E7E8"/>
          </w:tcPr>
          <w:p>
            <w:pPr>
              <w:spacing w:after="0" w:line="204" w:lineRule="exact"/>
              <w:rPr>
                <w:sz w:val="20"/>
                <w:szCs w:val="20"/>
                <w:color w:val="auto"/>
              </w:rPr>
            </w:pPr>
            <w:r>
              <w:rPr>
                <w:rFonts w:ascii="Times New Roman" w:cs="Times New Roman" w:eastAsia="Times New Roman" w:hAnsi="Times New Roman"/>
                <w:sz w:val="19"/>
                <w:szCs w:val="19"/>
                <w:color w:val="231F20"/>
              </w:rPr>
              <w:t>Limit</w:t>
            </w:r>
          </w:p>
        </w:tc>
        <w:tc>
          <w:tcPr>
            <w:tcW w:w="2280" w:type="dxa"/>
            <w:vAlign w:val="bottom"/>
            <w:tcBorders>
              <w:top w:val="single" w:sz="8" w:color="E6E7E8"/>
            </w:tcBorders>
            <w:shd w:val="clear" w:color="auto" w:fill="E6E7E8"/>
          </w:tcPr>
          <w:p>
            <w:pPr>
              <w:spacing w:after="0"/>
              <w:rPr>
                <w:sz w:val="17"/>
                <w:szCs w:val="17"/>
                <w:color w:val="auto"/>
              </w:rPr>
            </w:pPr>
          </w:p>
        </w:tc>
        <w:tc>
          <w:tcPr>
            <w:tcW w:w="1920" w:type="dxa"/>
            <w:vAlign w:val="bottom"/>
            <w:tcBorders>
              <w:top w:val="single" w:sz="8" w:color="E6E7E8"/>
            </w:tcBorders>
            <w:shd w:val="clear" w:color="auto" w:fill="E6E7E8"/>
          </w:tcPr>
          <w:p>
            <w:pPr>
              <w:spacing w:after="0"/>
              <w:rPr>
                <w:sz w:val="17"/>
                <w:szCs w:val="17"/>
                <w:color w:val="auto"/>
              </w:rPr>
            </w:pPr>
          </w:p>
        </w:tc>
        <w:tc>
          <w:tcPr>
            <w:tcW w:w="300" w:type="dxa"/>
            <w:vAlign w:val="bottom"/>
            <w:tcBorders>
              <w:top w:val="single" w:sz="8" w:color="231F20"/>
            </w:tcBorders>
            <w:shd w:val="clear" w:color="auto" w:fill="E6E7E8"/>
          </w:tcPr>
          <w:p>
            <w:pPr>
              <w:jc w:val="right"/>
              <w:ind w:right="136"/>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110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b w:val="1"/>
                <w:bCs w:val="1"/>
                <w:color w:val="231F20"/>
              </w:rPr>
              <w:t>275.0</w:t>
            </w:r>
          </w:p>
        </w:tc>
        <w:tc>
          <w:tcPr>
            <w:tcW w:w="240" w:type="dxa"/>
            <w:vAlign w:val="bottom"/>
            <w:tcBorders>
              <w:top w:val="single" w:sz="8" w:color="E6E7E8"/>
            </w:tcBorders>
            <w:shd w:val="clear" w:color="auto" w:fill="E6E7E8"/>
          </w:tcPr>
          <w:p>
            <w:pPr>
              <w:spacing w:after="0"/>
              <w:rPr>
                <w:sz w:val="17"/>
                <w:szCs w:val="17"/>
                <w:color w:val="auto"/>
              </w:rPr>
            </w:pPr>
          </w:p>
        </w:tc>
        <w:tc>
          <w:tcPr>
            <w:tcW w:w="440" w:type="dxa"/>
            <w:vAlign w:val="bottom"/>
            <w:tcBorders>
              <w:top w:val="single" w:sz="8" w:color="231F20"/>
            </w:tcBorders>
            <w:shd w:val="clear" w:color="auto" w:fill="E6E7E8"/>
          </w:tcPr>
          <w:p>
            <w:pPr>
              <w:jc w:val="right"/>
              <w:ind w:right="245"/>
              <w:spacing w:after="0" w:line="204" w:lineRule="exact"/>
              <w:rPr>
                <w:sz w:val="20"/>
                <w:szCs w:val="20"/>
                <w:color w:val="auto"/>
              </w:rPr>
            </w:pPr>
            <w:r>
              <w:rPr>
                <w:rFonts w:ascii="Times New Roman" w:cs="Times New Roman" w:eastAsia="Times New Roman" w:hAnsi="Times New Roman"/>
                <w:sz w:val="19"/>
                <w:szCs w:val="19"/>
                <w:color w:val="231F20"/>
                <w:w w:val="83"/>
              </w:rPr>
              <w:t>$</w:t>
            </w:r>
          </w:p>
        </w:tc>
        <w:tc>
          <w:tcPr>
            <w:tcW w:w="96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color w:val="231F20"/>
              </w:rPr>
              <w:t>200.0</w:t>
            </w:r>
          </w:p>
        </w:tc>
        <w:tc>
          <w:tcPr>
            <w:tcW w:w="60" w:type="dxa"/>
            <w:vAlign w:val="bottom"/>
            <w:tcBorders>
              <w:top w:val="single" w:sz="8" w:color="E6E7E8"/>
            </w:tcBorders>
            <w:shd w:val="clear" w:color="auto" w:fill="E6E7E8"/>
          </w:tcPr>
          <w:p>
            <w:pPr>
              <w:spacing w:after="0"/>
              <w:rPr>
                <w:sz w:val="17"/>
                <w:szCs w:val="17"/>
                <w:color w:val="auto"/>
              </w:rPr>
            </w:pPr>
          </w:p>
        </w:tc>
      </w:tr>
      <w:tr>
        <w:trPr>
          <w:trHeight w:val="219"/>
        </w:trPr>
        <w:tc>
          <w:tcPr>
            <w:tcW w:w="47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Short-Term Borrowings Outstanding</w:t>
            </w:r>
          </w:p>
        </w:tc>
        <w:tc>
          <w:tcPr>
            <w:tcW w:w="192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169.7</w:t>
            </w:r>
          </w:p>
        </w:tc>
        <w:tc>
          <w:tcPr>
            <w:tcW w:w="240" w:type="dxa"/>
            <w:vAlign w:val="bottom"/>
          </w:tcPr>
          <w:p>
            <w:pPr>
              <w:spacing w:after="0"/>
              <w:rPr>
                <w:sz w:val="19"/>
                <w:szCs w:val="19"/>
                <w:color w:val="auto"/>
              </w:rPr>
            </w:pPr>
          </w:p>
        </w:tc>
        <w:tc>
          <w:tcPr>
            <w:tcW w:w="440" w:type="dxa"/>
            <w:vAlign w:val="bottom"/>
          </w:tcPr>
          <w:p>
            <w:pPr>
              <w:jc w:val="right"/>
              <w:ind w:right="245"/>
              <w:spacing w:after="0"/>
              <w:rPr>
                <w:sz w:val="20"/>
                <w:szCs w:val="20"/>
                <w:color w:val="auto"/>
              </w:rPr>
            </w:pPr>
            <w:r>
              <w:rPr>
                <w:rFonts w:ascii="Times New Roman" w:cs="Times New Roman" w:eastAsia="Times New Roman" w:hAnsi="Times New Roman"/>
                <w:sz w:val="19"/>
                <w:szCs w:val="19"/>
                <w:color w:val="231F20"/>
                <w:w w:val="8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105.8</w:t>
            </w:r>
          </w:p>
        </w:tc>
        <w:tc>
          <w:tcPr>
            <w:tcW w:w="60" w:type="dxa"/>
            <w:vAlign w:val="bottom"/>
          </w:tcPr>
          <w:p>
            <w:pPr>
              <w:spacing w:after="0"/>
              <w:rPr>
                <w:sz w:val="19"/>
                <w:szCs w:val="19"/>
                <w:color w:val="auto"/>
              </w:rPr>
            </w:pPr>
          </w:p>
        </w:tc>
      </w:tr>
      <w:tr>
        <w:trPr>
          <w:trHeight w:val="218"/>
        </w:trPr>
        <w:tc>
          <w:tcPr>
            <w:tcW w:w="470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19"/>
                <w:szCs w:val="19"/>
                <w:color w:val="231F20"/>
              </w:rPr>
              <w:t>Available</w:t>
            </w:r>
          </w:p>
        </w:tc>
        <w:tc>
          <w:tcPr>
            <w:tcW w:w="2220" w:type="dxa"/>
            <w:vAlign w:val="bottom"/>
            <w:gridSpan w:val="2"/>
            <w:shd w:val="clear" w:color="auto" w:fill="E6E7E8"/>
          </w:tcPr>
          <w:p>
            <w:pPr>
              <w:jc w:val="right"/>
              <w:ind w:right="136"/>
              <w:spacing w:after="0"/>
              <w:rPr>
                <w:sz w:val="20"/>
                <w:szCs w:val="20"/>
                <w:color w:val="auto"/>
              </w:rPr>
            </w:pPr>
            <w:r>
              <w:rPr>
                <w:rFonts w:ascii="Times New Roman" w:cs="Times New Roman" w:eastAsia="Times New Roman" w:hAnsi="Times New Roman"/>
                <w:sz w:val="19"/>
                <w:szCs w:val="19"/>
                <w:b w:val="1"/>
                <w:bCs w:val="1"/>
                <w:color w:val="231F20"/>
              </w:rPr>
              <w:t>$</w:t>
            </w:r>
          </w:p>
        </w:tc>
        <w:tc>
          <w:tcPr>
            <w:tcW w:w="11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105.3</w:t>
            </w:r>
          </w:p>
        </w:tc>
        <w:tc>
          <w:tcPr>
            <w:tcW w:w="680" w:type="dxa"/>
            <w:vAlign w:val="bottom"/>
            <w:gridSpan w:val="2"/>
            <w:shd w:val="clear" w:color="auto" w:fill="E6E7E8"/>
          </w:tcPr>
          <w:p>
            <w:pPr>
              <w:jc w:val="right"/>
              <w:ind w:right="245"/>
              <w:spacing w:after="0"/>
              <w:rPr>
                <w:sz w:val="20"/>
                <w:szCs w:val="20"/>
                <w:color w:val="auto"/>
              </w:rPr>
            </w:pPr>
            <w:r>
              <w:rPr>
                <w:rFonts w:ascii="Times New Roman" w:cs="Times New Roman" w:eastAsia="Times New Roman" w:hAnsi="Times New Roman"/>
                <w:sz w:val="19"/>
                <w:szCs w:val="19"/>
                <w:color w:val="231F20"/>
              </w:rPr>
              <w:t>$</w:t>
            </w:r>
          </w:p>
        </w:tc>
        <w:tc>
          <w:tcPr>
            <w:tcW w:w="9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94.2</w:t>
            </w:r>
          </w:p>
        </w:tc>
        <w:tc>
          <w:tcPr>
            <w:tcW w:w="60" w:type="dxa"/>
            <w:vAlign w:val="bottom"/>
            <w:shd w:val="clear" w:color="auto" w:fill="E6E7E8"/>
          </w:tcPr>
          <w:p>
            <w:pPr>
              <w:spacing w:after="0"/>
              <w:rPr>
                <w:sz w:val="19"/>
                <w:szCs w:val="19"/>
                <w:color w:val="auto"/>
              </w:rPr>
            </w:pPr>
          </w:p>
        </w:tc>
      </w:tr>
    </w:tbl>
    <w:p>
      <w:pPr>
        <w:spacing w:after="0" w:line="255" w:lineRule="exact"/>
        <w:rPr>
          <w:sz w:val="20"/>
          <w:szCs w:val="20"/>
          <w:color w:val="auto"/>
        </w:rPr>
      </w:pPr>
    </w:p>
    <w:p>
      <w:pPr>
        <w:ind w:right="180" w:firstLine="619"/>
        <w:spacing w:after="0" w:line="249" w:lineRule="auto"/>
        <w:rPr>
          <w:sz w:val="20"/>
          <w:szCs w:val="20"/>
          <w:color w:val="auto"/>
        </w:rPr>
      </w:pPr>
      <w:r>
        <w:rPr>
          <w:rFonts w:ascii="Times New Roman" w:cs="Times New Roman" w:eastAsia="Times New Roman" w:hAnsi="Times New Roman"/>
          <w:sz w:val="21"/>
          <w:szCs w:val="21"/>
          <w:color w:val="231F20"/>
        </w:rPr>
        <w:t>The Credit Facility contains customary terms and conditions for credit facilities of this type, including affirmative and negative covenants. There are restrictions on, among other things, Unitil’s and its subsidiaries’ ability to permit liens or incur indebtedness, and restrictions on Unitil’s ability to merge or consolidate with another entity or change its line of business. The affirmative and negative covenants under the Credit Facility shall apply to Unitil until the Credit Facility terminates and all amounts borrowed under the Credit Facility are paid in full (or with respect to letters of credit, they are cash collateralized).</w:t>
      </w:r>
    </w:p>
    <w:p>
      <w:pPr>
        <w:spacing w:after="0" w:line="231" w:lineRule="exact"/>
        <w:rPr>
          <w:sz w:val="20"/>
          <w:szCs w:val="20"/>
          <w:color w:val="auto"/>
        </w:rPr>
      </w:pPr>
    </w:p>
    <w:p>
      <w:pPr>
        <w:ind w:right="200" w:firstLine="619"/>
        <w:spacing w:after="0" w:line="253" w:lineRule="auto"/>
        <w:rPr>
          <w:sz w:val="20"/>
          <w:szCs w:val="20"/>
          <w:color w:val="auto"/>
        </w:rPr>
      </w:pPr>
      <w:r>
        <w:rPr>
          <w:rFonts w:ascii="Times New Roman" w:cs="Times New Roman" w:eastAsia="Times New Roman" w:hAnsi="Times New Roman"/>
          <w:sz w:val="21"/>
          <w:szCs w:val="21"/>
          <w:color w:val="231F20"/>
        </w:rPr>
        <w:t>The only financial covenant in the Credit Facility provides that Unitil’s Funded Debt to Capitalization (as each term is defined in the Credit Facility) cannot exceed 65%, tested on a quarterly basis. At December 31, 2025 and December 31, 2024, the Company was in compliance with the covenants contained in the Credit Facility in effect on that date. (See also “Credit Arrangements” in Note 4 Debt and Financing Arrangements.)</w:t>
      </w:r>
    </w:p>
    <w:p>
      <w:pPr>
        <w:spacing w:after="0" w:line="188" w:lineRule="exact"/>
        <w:rPr>
          <w:sz w:val="20"/>
          <w:szCs w:val="20"/>
          <w:color w:val="auto"/>
        </w:rPr>
      </w:pPr>
    </w:p>
    <w:p>
      <w:pPr>
        <w:ind w:right="60" w:firstLine="619"/>
        <w:spacing w:after="0" w:line="245" w:lineRule="auto"/>
        <w:rPr>
          <w:sz w:val="20"/>
          <w:szCs w:val="20"/>
          <w:color w:val="auto"/>
        </w:rPr>
      </w:pPr>
      <w:r>
        <w:rPr>
          <w:rFonts w:ascii="Times New Roman" w:cs="Times New Roman" w:eastAsia="Times New Roman" w:hAnsi="Times New Roman"/>
          <w:sz w:val="21"/>
          <w:szCs w:val="21"/>
          <w:color w:val="231F20"/>
        </w:rPr>
        <w:t>On October 31, 2025, the Company entered into a senior unsecured delayed-draw term loan facility with The Bank of Nova Scotia. The proceeds of the $86.0 million facility were used to initially fund the acquisition of Maine Natural on October 31, 2025. The facility provides that the Company has an option for determining whether interest on loans under the facility will bear interest based on a Base Rate plus an applicable margin of 0.25% or based on a one month Term SOFR plus a SOFR adjustment of 0.10% plus an applicable margin of 1.25%. The Base Rate is equal to the highest of the (a) Federal Funds Rate plus 0.50%, (b) the rate of interest in effect for such day as publicly announced from time to time by The Bank of Nova Scotia as its "prime rate", or (c) one month Term SOFR plus a SOFR adjustment of 0.10% plus 1.00%. The facility has a maturity date of October 31, 2026.</w:t>
      </w:r>
    </w:p>
    <w:p>
      <w:pPr>
        <w:spacing w:after="0" w:line="224" w:lineRule="exact"/>
        <w:rPr>
          <w:sz w:val="20"/>
          <w:szCs w:val="20"/>
          <w:color w:val="auto"/>
        </w:rPr>
      </w:pPr>
    </w:p>
    <w:p>
      <w:pPr>
        <w:ind w:right="20" w:firstLine="679"/>
        <w:spacing w:after="0" w:line="256" w:lineRule="auto"/>
        <w:rPr>
          <w:sz w:val="20"/>
          <w:szCs w:val="20"/>
          <w:color w:val="auto"/>
        </w:rPr>
      </w:pPr>
      <w:r>
        <w:rPr>
          <w:rFonts w:ascii="Times New Roman" w:cs="Times New Roman" w:eastAsia="Times New Roman" w:hAnsi="Times New Roman"/>
          <w:sz w:val="21"/>
          <w:szCs w:val="21"/>
          <w:b w:val="1"/>
          <w:bCs w:val="1"/>
          <w:color w:val="231F20"/>
        </w:rPr>
        <w:t>Issuance of Long-Term Debt—</w:t>
      </w:r>
      <w:r>
        <w:rPr>
          <w:rFonts w:ascii="Times New Roman" w:cs="Times New Roman" w:eastAsia="Times New Roman" w:hAnsi="Times New Roman"/>
          <w:sz w:val="21"/>
          <w:szCs w:val="21"/>
          <w:color w:val="231F20"/>
        </w:rPr>
        <w:t>On July 8, 2025, Bangor issued $14.0 million of Notes due 2030 at 5.70% and $18.0</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million of Notes due 2035 at 6.31%. Bangor used the net proceeds to refinance existing debt and for general corporate purposes. Approximately $0.2 million of costs associated with this issuance were recorded as a reduction of Long-Term Debt for presentation purposes on the Consolidated Balance Sheet in the third quarter of 2025.</w:t>
      </w:r>
    </w:p>
    <w:p>
      <w:pPr>
        <w:sectPr>
          <w:pgSz w:w="12240" w:h="15840" w:orient="portrait"/>
          <w:cols w:equalWidth="0" w:num="1">
            <w:col w:w="10800"/>
          </w:cols>
          <w:pgMar w:left="720" w:top="928" w:right="720" w:bottom="188"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31</w:t>
      </w:r>
    </w:p>
    <w:p>
      <w:pPr>
        <w:sectPr>
          <w:pgSz w:w="12240" w:h="15840" w:orient="portrait"/>
          <w:cols w:equalWidth="0" w:num="1">
            <w:col w:w="10800"/>
          </w:cols>
          <w:pgMar w:left="720" w:top="928" w:right="720" w:bottom="188" w:gutter="0" w:footer="0" w:header="0"/>
          <w:type w:val="continuous"/>
        </w:sectPr>
      </w:pPr>
    </w:p>
    <w:bookmarkStart w:id="51" w:name="page52"/>
    <w:bookmarkEnd w:id="51"/>
    <w:p>
      <w:pPr>
        <w:ind w:right="20" w:firstLine="619"/>
        <w:spacing w:after="0" w:line="246" w:lineRule="auto"/>
        <w:rPr>
          <w:sz w:val="20"/>
          <w:szCs w:val="20"/>
          <w:color w:val="auto"/>
        </w:rPr>
      </w:pPr>
      <w:r>
        <w:rPr>
          <w:rFonts w:ascii="Times New Roman" w:cs="Times New Roman" w:eastAsia="Times New Roman" w:hAnsi="Times New Roman"/>
          <w:sz w:val="21"/>
          <w:szCs w:val="21"/>
          <w:color w:val="231F20"/>
        </w:rPr>
        <w:t>On August 21, 2024, Unitil Corporation issued $20.0 million of Notes due 2034 at 5.99%. Fitchburg issued $12.5 million of Notes due 2034 at 5.54% and $12.5 million of Notes due 2044 at 5.99%. Unitil Energy issued $40.0 million of Bonds due 2054 at 5.69%. Northern Utilities issued $25.0 million of Notes due 2034 at 5.54% and $15.0 million of Notes due 2039 at 5.74%. Granite State issued $10.0 million of Notes due 2034 at 5.74%. The Company used the net proceeds from these offerings to refinance existing debt and for general corporate purposes. Approximately $1.0 million of costs associated with this issuance were recorded as a reduction of Long-Term Debt for presentation purposes on the Consolidated Balance Sheet in the third quarter of 2024.</w:t>
      </w:r>
    </w:p>
    <w:p>
      <w:pPr>
        <w:spacing w:after="0" w:line="198" w:lineRule="exact"/>
        <w:rPr>
          <w:sz w:val="20"/>
          <w:szCs w:val="20"/>
          <w:color w:val="auto"/>
        </w:rPr>
      </w:pPr>
    </w:p>
    <w:p>
      <w:pPr>
        <w:ind w:firstLine="619"/>
        <w:spacing w:after="0" w:line="253" w:lineRule="auto"/>
        <w:rPr>
          <w:sz w:val="20"/>
          <w:szCs w:val="20"/>
          <w:color w:val="auto"/>
        </w:rPr>
      </w:pPr>
      <w:r>
        <w:rPr>
          <w:rFonts w:ascii="Times New Roman" w:cs="Times New Roman" w:eastAsia="Times New Roman" w:hAnsi="Times New Roman"/>
          <w:sz w:val="21"/>
          <w:szCs w:val="21"/>
          <w:color w:val="231F20"/>
        </w:rPr>
        <w:t xml:space="preserve">Unitil Corporation and its utility subsidiaries, Fitchburg, Unitil Energy, Northern Utilities, and Granite State are currently rated “BBB+” and </w:t>
      </w:r>
      <w:r>
        <w:rPr>
          <w:rFonts w:ascii="Times New Roman" w:cs="Times New Roman" w:eastAsia="Times New Roman" w:hAnsi="Times New Roman"/>
          <w:sz w:val="20"/>
          <w:szCs w:val="20"/>
          <w:color w:val="231F20"/>
        </w:rPr>
        <w:t>Bangor is rated “BBB”</w:t>
      </w:r>
      <w:r>
        <w:rPr>
          <w:rFonts w:ascii="Times New Roman" w:cs="Times New Roman" w:eastAsia="Times New Roman" w:hAnsi="Times New Roman"/>
          <w:sz w:val="21"/>
          <w:szCs w:val="21"/>
          <w:color w:val="231F20"/>
        </w:rPr>
        <w:t xml:space="preserve"> by Standard &amp; Poor’s Ratings Services. Unitil Corporation and Granite State are currently rated “Baa2”, and Fitchburg, Unitil Energy and Northern Utilities are currently rated “Baa1” by Moody’s Investors Services.</w:t>
      </w:r>
    </w:p>
    <w:p>
      <w:pPr>
        <w:spacing w:after="0" w:line="188" w:lineRule="exact"/>
        <w:rPr>
          <w:sz w:val="20"/>
          <w:szCs w:val="20"/>
          <w:color w:val="auto"/>
        </w:rPr>
      </w:pPr>
    </w:p>
    <w:p>
      <w:pPr>
        <w:ind w:right="120" w:firstLine="619"/>
        <w:spacing w:after="0" w:line="249" w:lineRule="auto"/>
        <w:rPr>
          <w:sz w:val="20"/>
          <w:szCs w:val="20"/>
          <w:color w:val="auto"/>
        </w:rPr>
      </w:pPr>
      <w:r>
        <w:rPr>
          <w:rFonts w:ascii="Times New Roman" w:cs="Times New Roman" w:eastAsia="Times New Roman" w:hAnsi="Times New Roman"/>
          <w:sz w:val="21"/>
          <w:szCs w:val="21"/>
          <w:color w:val="231F20"/>
        </w:rPr>
        <w:t>The continued availability of various methods of financing, as well as the choice of a specific form of security for such financing, will depend on many factors, including, but not limited to: security market conditions; general economic climate; regulatory approvals; the ability to meet covenant issuance restrictions; the level of earnings, cash flows and financial position; and the competitive pricing offered by financing sources. The Company believes it has sufficient sources of working capital to fund its operations.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231F20"/>
        </w:rPr>
        <w:t>Contractual Obligations</w:t>
      </w:r>
    </w:p>
    <w:p>
      <w:pPr>
        <w:spacing w:after="0" w:line="136" w:lineRule="exact"/>
        <w:rPr>
          <w:sz w:val="20"/>
          <w:szCs w:val="20"/>
          <w:color w:val="auto"/>
        </w:rPr>
      </w:pPr>
    </w:p>
    <w:p>
      <w:pPr>
        <w:ind w:right="220" w:firstLine="619"/>
        <w:spacing w:after="0" w:line="279" w:lineRule="auto"/>
        <w:rPr>
          <w:sz w:val="20"/>
          <w:szCs w:val="20"/>
          <w:color w:val="auto"/>
        </w:rPr>
      </w:pPr>
      <w:r>
        <w:rPr>
          <w:rFonts w:ascii="Times New Roman" w:cs="Times New Roman" w:eastAsia="Times New Roman" w:hAnsi="Times New Roman"/>
          <w:sz w:val="21"/>
          <w:szCs w:val="21"/>
          <w:color w:val="231F20"/>
        </w:rPr>
        <w:t>The Company and its subsidiaries have material obligations for payment of principal and interest on its long-term debt as well as for operating and capital leases that are discussed in Note 4 (Debt and Financing Arrangements).</w:t>
      </w:r>
    </w:p>
    <w:p>
      <w:pPr>
        <w:spacing w:after="0" w:line="198"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21"/>
          <w:szCs w:val="21"/>
          <w:color w:val="231F20"/>
        </w:rPr>
        <w:t>The Company and its subsidiaries have material energy supply commitments that are discussed in Note 6 (Energy Supply) and Note 8 (Commitments and Contingencies) to the accompanying Consolidated Financial Statements. Cash outlays for the purchase of electricity and natural gas to serve customers are subject to reconciling recovery through periodic changes in rates, with carrying charges on deferred balances. From year to year, there are likely to be timing differences associated with the cash recovery of such costs, creating under- or over-recovery situations at any point in time. Rate recovery mechanisms are typically designed to collect the under-recovered cash or refund the over-collected cash over subsequent periods of less than one year.</w:t>
      </w:r>
    </w:p>
    <w:p>
      <w:pPr>
        <w:spacing w:after="0" w:line="199" w:lineRule="exact"/>
        <w:rPr>
          <w:sz w:val="20"/>
          <w:szCs w:val="20"/>
          <w:color w:val="auto"/>
        </w:rPr>
      </w:pPr>
    </w:p>
    <w:p>
      <w:pPr>
        <w:ind w:right="60" w:firstLine="619"/>
        <w:spacing w:after="0" w:line="259" w:lineRule="auto"/>
        <w:rPr>
          <w:sz w:val="20"/>
          <w:szCs w:val="20"/>
          <w:color w:val="auto"/>
        </w:rPr>
      </w:pPr>
      <w:r>
        <w:rPr>
          <w:rFonts w:ascii="Times New Roman" w:cs="Times New Roman" w:eastAsia="Times New Roman" w:hAnsi="Times New Roman"/>
          <w:sz w:val="21"/>
          <w:szCs w:val="21"/>
          <w:color w:val="231F20"/>
        </w:rPr>
        <w:t>The Company provides limited guarantees on certain energy and natural gas asset management contracts entered into by the distribution utilities. The Company’s policy is to limit the duration of these guarantees. As of December 31, 2025, there were $50.3 million of guarantees outstanding.</w:t>
      </w:r>
    </w:p>
    <w:p>
      <w:pPr>
        <w:spacing w:after="0" w:line="183" w:lineRule="exact"/>
        <w:rPr>
          <w:sz w:val="20"/>
          <w:szCs w:val="20"/>
          <w:color w:val="auto"/>
        </w:rPr>
      </w:pPr>
    </w:p>
    <w:p>
      <w:pPr>
        <w:ind w:right="80" w:firstLine="619"/>
        <w:spacing w:after="0" w:line="246" w:lineRule="auto"/>
        <w:rPr>
          <w:sz w:val="20"/>
          <w:szCs w:val="20"/>
          <w:color w:val="auto"/>
        </w:rPr>
      </w:pPr>
      <w:r>
        <w:rPr>
          <w:rFonts w:ascii="Times New Roman" w:cs="Times New Roman" w:eastAsia="Times New Roman" w:hAnsi="Times New Roman"/>
          <w:sz w:val="21"/>
          <w:szCs w:val="21"/>
          <w:color w:val="231F20"/>
        </w:rPr>
        <w:t>Northern Utilities and Bangor enter into asset management agreements under which Northern Utilities and Bangor release certain natural gas pipeline and storage assets, resell the natural gas storage inventory to an asset manager and subsequently repurchase the inventory over the course of the natural gas heating season at the same price at which it sold the natural gas inventory to the asset manager. There was $9.3 million of natural gas storage inventory and corresponding obligations at December 31, 2025, related to these asset management agreements. The amount of natural gas inventory released in December 2025, which was payable in January 2026, was $3.0 million and was recorded in Accounts Payable at December 31, 2025.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231F20"/>
        </w:rPr>
        <w:t>Benefit Plan Funding</w:t>
      </w:r>
    </w:p>
    <w:p>
      <w:pPr>
        <w:spacing w:after="0" w:line="118" w:lineRule="exact"/>
        <w:rPr>
          <w:sz w:val="20"/>
          <w:szCs w:val="20"/>
          <w:color w:val="auto"/>
        </w:rPr>
      </w:pPr>
    </w:p>
    <w:p>
      <w:pPr>
        <w:ind w:right="200" w:firstLine="720"/>
        <w:spacing w:after="0" w:line="249" w:lineRule="auto"/>
        <w:rPr>
          <w:sz w:val="20"/>
          <w:szCs w:val="20"/>
          <w:color w:val="auto"/>
        </w:rPr>
      </w:pPr>
      <w:r>
        <w:rPr>
          <w:rFonts w:ascii="Times New Roman" w:cs="Times New Roman" w:eastAsia="Times New Roman" w:hAnsi="Times New Roman"/>
          <w:sz w:val="21"/>
          <w:szCs w:val="21"/>
          <w:color w:val="231F20"/>
        </w:rPr>
        <w:t>The Company, along with its subsidiaries, made cash contributions to its Pension Plan in the amounts of $3.9 million and $3.8 million in 2025 and 2024, respectively. The Company, along with its subsidiaries, contributed $2.2 million and $2.5 million to Voluntary Employee Benefit Trusts (VEBTs) in 2025 and 2024, respectively. The Company, along with its subsidiaries, expects to continue to make contributions to its Pension Plan and the VEBTs in 2026 and future years at least at minimum required amounts. See Note 10 (Retirement Benefit Plans) to the accompanying Consolidated Financial Statements.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231F20"/>
        </w:rPr>
        <w:t>Off-Balance Sheet Arrangements</w:t>
      </w:r>
    </w:p>
    <w:p>
      <w:pPr>
        <w:spacing w:after="0" w:line="136" w:lineRule="exact"/>
        <w:rPr>
          <w:sz w:val="20"/>
          <w:szCs w:val="20"/>
          <w:color w:val="auto"/>
        </w:rPr>
      </w:pPr>
    </w:p>
    <w:p>
      <w:pPr>
        <w:ind w:right="20" w:firstLine="720"/>
        <w:spacing w:after="0" w:line="279" w:lineRule="auto"/>
        <w:rPr>
          <w:sz w:val="20"/>
          <w:szCs w:val="20"/>
          <w:color w:val="auto"/>
        </w:rPr>
      </w:pPr>
      <w:r>
        <w:rPr>
          <w:rFonts w:ascii="Times New Roman" w:cs="Times New Roman" w:eastAsia="Times New Roman" w:hAnsi="Times New Roman"/>
          <w:sz w:val="21"/>
          <w:szCs w:val="21"/>
          <w:color w:val="231F20"/>
        </w:rPr>
        <w:t>The Company and its subsidiaries do not currently use, and are not dependent on the use of, off-balance sheet financing arrangements such as securitization of receivables or obtaining access to assets or cash through special purpose entities or</w:t>
      </w:r>
    </w:p>
    <w:p>
      <w:pPr>
        <w:sectPr>
          <w:pgSz w:w="12240" w:h="15840" w:orient="portrait"/>
          <w:cols w:equalWidth="0" w:num="1">
            <w:col w:w="10800"/>
          </w:cols>
          <w:pgMar w:left="720" w:top="929" w:right="720" w:bottom="188" w:gutter="0" w:footer="0" w:header="0"/>
        </w:sect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32</w:t>
      </w:r>
    </w:p>
    <w:p>
      <w:pPr>
        <w:sectPr>
          <w:pgSz w:w="12240" w:h="15840" w:orient="portrait"/>
          <w:cols w:equalWidth="0" w:num="1">
            <w:col w:w="10800"/>
          </w:cols>
          <w:pgMar w:left="720" w:top="929" w:right="720" w:bottom="188" w:gutter="0" w:footer="0" w:header="0"/>
          <w:type w:val="continuous"/>
        </w:sectPr>
      </w:pPr>
    </w:p>
    <w:bookmarkStart w:id="52" w:name="page53"/>
    <w:bookmarkEnd w:id="52"/>
    <w:p>
      <w:pPr>
        <w:jc w:val="both"/>
        <w:ind w:right="40"/>
        <w:spacing w:after="0" w:line="259" w:lineRule="auto"/>
        <w:rPr>
          <w:sz w:val="20"/>
          <w:szCs w:val="20"/>
          <w:color w:val="auto"/>
        </w:rPr>
      </w:pPr>
      <w:r>
        <w:rPr>
          <w:rFonts w:ascii="Times New Roman" w:cs="Times New Roman" w:eastAsia="Times New Roman" w:hAnsi="Times New Roman"/>
          <w:sz w:val="21"/>
          <w:szCs w:val="21"/>
          <w:color w:val="231F20"/>
        </w:rPr>
        <w:t>variable interest entities. As of December 31, 2025, other than the energy and natural gas asset management contract guarantees noted above, there were no other guarantees outstanding. See Note 4 (Debt and Financing Arrangements) to the accompanying Consolidated Financial Statements.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231F20"/>
        </w:rPr>
        <w:t>Cash Flows</w:t>
      </w:r>
    </w:p>
    <w:p>
      <w:pPr>
        <w:spacing w:after="0" w:line="136" w:lineRule="exact"/>
        <w:rPr>
          <w:sz w:val="20"/>
          <w:szCs w:val="20"/>
          <w:color w:val="auto"/>
        </w:rPr>
      </w:pPr>
    </w:p>
    <w:p>
      <w:pPr>
        <w:ind w:right="20" w:firstLine="619"/>
        <w:spacing w:after="0" w:line="279" w:lineRule="auto"/>
        <w:rPr>
          <w:sz w:val="20"/>
          <w:szCs w:val="20"/>
          <w:color w:val="auto"/>
        </w:rPr>
      </w:pPr>
      <w:r>
        <w:rPr>
          <w:rFonts w:ascii="Times New Roman" w:cs="Times New Roman" w:eastAsia="Times New Roman" w:hAnsi="Times New Roman"/>
          <w:sz w:val="21"/>
          <w:szCs w:val="21"/>
          <w:color w:val="231F20"/>
        </w:rPr>
        <w:t>Unitil’s utility operations, taken as a whole, are seasonal in nature and subject to seasonal fluctuations in cash flows. The tables below summarize the major sources and uses of cash (in millions) for 2025 and 2024.</w:t>
      </w:r>
    </w:p>
    <w:p>
      <w:pPr>
        <w:spacing w:after="0" w:line="199" w:lineRule="exact"/>
        <w:rPr>
          <w:sz w:val="20"/>
          <w:szCs w:val="20"/>
          <w:color w:val="auto"/>
        </w:rPr>
      </w:pPr>
    </w:p>
    <w:p>
      <w:pPr>
        <w:ind w:left="7700"/>
        <w:spacing w:after="0"/>
        <w:tabs>
          <w:tab w:leader="none" w:pos="9320" w:val="left"/>
        </w:tabs>
        <w:rPr>
          <w:sz w:val="20"/>
          <w:szCs w:val="20"/>
          <w:color w:val="auto"/>
        </w:rPr>
      </w:pPr>
      <w:r>
        <w:rPr>
          <w:rFonts w:ascii="Times New Roman" w:cs="Times New Roman" w:eastAsia="Times New Roman" w:hAnsi="Times New Roman"/>
          <w:sz w:val="16"/>
          <w:szCs w:val="16"/>
          <w:b w:val="1"/>
          <w:bCs w:val="1"/>
          <w:color w:val="231F20"/>
        </w:rPr>
        <w:t>2025</w:t>
      </w:r>
      <w:r>
        <w:rPr>
          <w:sz w:val="20"/>
          <w:szCs w:val="20"/>
          <w:color w:val="auto"/>
        </w:rPr>
        <w:tab/>
      </w:r>
      <w:r>
        <w:rPr>
          <w:rFonts w:ascii="Times New Roman" w:cs="Times New Roman" w:eastAsia="Times New Roman" w:hAnsi="Times New Roman"/>
          <w:sz w:val="16"/>
          <w:szCs w:val="16"/>
          <w:b w:val="1"/>
          <w:bCs w:val="1"/>
          <w:color w:val="231F20"/>
        </w:rPr>
        <w:t>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4547235</wp:posOffset>
                </wp:positionH>
                <wp:positionV relativeFrom="paragraph">
                  <wp:posOffset>16510</wp:posOffset>
                </wp:positionV>
                <wp:extent cx="88773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73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8.05pt,1.3pt" to="427.95pt,1.3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5588000</wp:posOffset>
                </wp:positionH>
                <wp:positionV relativeFrom="paragraph">
                  <wp:posOffset>16510</wp:posOffset>
                </wp:positionV>
                <wp:extent cx="88773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73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0pt,1.3pt" to="509.9pt,1.3pt" o:allowincell="f" strokecolor="#231F20" strokeweight="0.75pt"/>
            </w:pict>
          </mc:Fallback>
        </mc:AlternateContent>
      </w:r>
    </w:p>
    <w:p>
      <w:pPr>
        <w:spacing w:after="0" w:line="17" w:lineRule="exact"/>
        <w:rPr>
          <w:sz w:val="20"/>
          <w:szCs w:val="20"/>
          <w:color w:val="auto"/>
        </w:rPr>
      </w:pPr>
    </w:p>
    <w:p>
      <w:pPr>
        <w:ind w:left="540"/>
        <w:spacing w:after="0"/>
        <w:tabs>
          <w:tab w:leader="none" w:pos="7140" w:val="left"/>
          <w:tab w:leader="none" w:pos="8120" w:val="left"/>
          <w:tab w:leader="none" w:pos="8780" w:val="left"/>
          <w:tab w:leader="none" w:pos="9760" w:val="left"/>
        </w:tabs>
        <w:rPr>
          <w:sz w:val="20"/>
          <w:szCs w:val="20"/>
          <w:color w:val="auto"/>
        </w:rPr>
      </w:pPr>
      <w:r>
        <w:rPr>
          <w:rFonts w:ascii="Times New Roman" w:cs="Times New Roman" w:eastAsia="Times New Roman" w:hAnsi="Times New Roman"/>
          <w:sz w:val="19"/>
          <w:szCs w:val="19"/>
          <w:color w:val="231F20"/>
        </w:rPr>
        <w:t>Cash Provided by Operating Activities</w:t>
      </w:r>
      <w:r>
        <w:rPr>
          <w:sz w:val="20"/>
          <w:szCs w:val="20"/>
          <w:color w:val="auto"/>
        </w:rPr>
        <w:tab/>
      </w:r>
      <w:r>
        <w:rPr>
          <w:rFonts w:ascii="Times New Roman" w:cs="Times New Roman" w:eastAsia="Times New Roman" w:hAnsi="Times New Roman"/>
          <w:sz w:val="19"/>
          <w:szCs w:val="19"/>
          <w:b w:val="1"/>
          <w:bCs w:val="1"/>
          <w:color w:val="231F20"/>
        </w:rPr>
        <w:t>$</w:t>
      </w:r>
      <w:r>
        <w:rPr>
          <w:sz w:val="20"/>
          <w:szCs w:val="20"/>
          <w:color w:val="auto"/>
        </w:rPr>
        <w:tab/>
      </w:r>
      <w:r>
        <w:rPr>
          <w:rFonts w:ascii="Times New Roman" w:cs="Times New Roman" w:eastAsia="Times New Roman" w:hAnsi="Times New Roman"/>
          <w:sz w:val="19"/>
          <w:szCs w:val="19"/>
          <w:b w:val="1"/>
          <w:bCs w:val="1"/>
          <w:color w:val="231F20"/>
        </w:rPr>
        <w:t>131.3</w:t>
      </w:r>
      <w:r>
        <w:rPr>
          <w:sz w:val="20"/>
          <w:szCs w:val="20"/>
          <w:color w:val="auto"/>
        </w:rPr>
        <w:tab/>
      </w:r>
      <w:r>
        <w:rPr>
          <w:rFonts w:ascii="Times New Roman" w:cs="Times New Roman" w:eastAsia="Times New Roman" w:hAnsi="Times New Roman"/>
          <w:sz w:val="19"/>
          <w:szCs w:val="19"/>
          <w:color w:val="231F20"/>
        </w:rPr>
        <w:t>$</w:t>
      </w:r>
      <w:r>
        <w:rPr>
          <w:sz w:val="20"/>
          <w:szCs w:val="20"/>
          <w:color w:val="auto"/>
        </w:rPr>
        <w:tab/>
      </w:r>
      <w:r>
        <w:rPr>
          <w:rFonts w:ascii="Times New Roman" w:cs="Times New Roman" w:eastAsia="Times New Roman" w:hAnsi="Times New Roman"/>
          <w:sz w:val="18"/>
          <w:szCs w:val="18"/>
          <w:color w:val="231F20"/>
        </w:rPr>
        <w:t>125.9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4547235</wp:posOffset>
                </wp:positionH>
                <wp:positionV relativeFrom="paragraph">
                  <wp:posOffset>22225</wp:posOffset>
                </wp:positionV>
                <wp:extent cx="88773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73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8.05pt,1.75pt" to="427.95pt,1.7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4547235</wp:posOffset>
                </wp:positionH>
                <wp:positionV relativeFrom="paragraph">
                  <wp:posOffset>3175</wp:posOffset>
                </wp:positionV>
                <wp:extent cx="88773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73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8.05pt,0.25pt" to="427.95pt,0.2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5588000</wp:posOffset>
                </wp:positionH>
                <wp:positionV relativeFrom="paragraph">
                  <wp:posOffset>22225</wp:posOffset>
                </wp:positionV>
                <wp:extent cx="88773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73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0pt,1.75pt" to="509.9pt,1.7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5588000</wp:posOffset>
                </wp:positionH>
                <wp:positionV relativeFrom="paragraph">
                  <wp:posOffset>3175</wp:posOffset>
                </wp:positionV>
                <wp:extent cx="88773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73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0pt,0.25pt" to="509.9pt,0.25pt" o:allowincell="f" strokecolor="#231F20" strokeweight="0.75pt"/>
            </w:pict>
          </mc:Fallback>
        </mc:AlternateContent>
      </w:r>
    </w:p>
    <w:p>
      <w:pPr>
        <w:spacing w:after="0" w:line="274" w:lineRule="exact"/>
        <w:rPr>
          <w:sz w:val="20"/>
          <w:szCs w:val="20"/>
          <w:color w:val="auto"/>
        </w:rPr>
      </w:pPr>
    </w:p>
    <w:p>
      <w:pPr>
        <w:ind w:right="640" w:firstLine="612"/>
        <w:spacing w:after="0" w:line="283" w:lineRule="auto"/>
        <w:rPr>
          <w:sz w:val="20"/>
          <w:szCs w:val="20"/>
          <w:color w:val="auto"/>
        </w:rPr>
      </w:pPr>
      <w:r>
        <w:rPr>
          <w:rFonts w:ascii="Times New Roman" w:cs="Times New Roman" w:eastAsia="Times New Roman" w:hAnsi="Times New Roman"/>
          <w:sz w:val="21"/>
          <w:szCs w:val="21"/>
          <w:b w:val="1"/>
          <w:bCs w:val="1"/>
          <w:color w:val="231F20"/>
        </w:rPr>
        <w:t xml:space="preserve">Cash Provided by Operating Activities - </w:t>
      </w:r>
      <w:r>
        <w:rPr>
          <w:rFonts w:ascii="Times New Roman" w:cs="Times New Roman" w:eastAsia="Times New Roman" w:hAnsi="Times New Roman"/>
          <w:sz w:val="21"/>
          <w:szCs w:val="21"/>
          <w:color w:val="231F20"/>
        </w:rPr>
        <w:t>Cash Provided by Operating Activities was $131.3 million in 2025, an</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increase of $5.4 million compared to 2024.</w:t>
      </w:r>
    </w:p>
    <w:p>
      <w:pPr>
        <w:spacing w:after="0" w:line="194"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1"/>
          <w:szCs w:val="21"/>
          <w:color w:val="231F20"/>
        </w:rPr>
        <w:t>Cash flow from Net Income, adjusted for the total of non-cash charges was $148.5 million in 2025 compared to $136.4 million in 2024, an increase of $12.1 million. The change to Net Income is primarily attributable to increases in electric and gas sales margin partially offset by higher operating expense. The increase in depreciation and amortization of $12.6 million in 2025 compared to 2024 reflects higher rates and additional depreciation on higher utility plant in service. The decrease in the deferred tax provision of ($3.6) million in 2025 compared to 2024 is primarily driven by lower tax depreciation in 2025.</w:t>
      </w:r>
    </w:p>
    <w:p>
      <w:pPr>
        <w:spacing w:after="0" w:line="231"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1"/>
          <w:szCs w:val="21"/>
          <w:color w:val="231F20"/>
        </w:rPr>
        <w:t>Changes in working capital items resulted in a ($20.6) million use of cash in 2025 compared to a ($1.6) million use of cash in 2024, representing a decrease in use of cash of ($19.0) million. The change in working capital in 2025 compared to 2024 is primarily related to the net change in accounts receivable, exchange gas receivable, and regulatory liabilities and is reflective of the effect of the current macroeconomic environment and the timing of cash receipts and disbursements in the normal course of business.</w:t>
      </w:r>
    </w:p>
    <w:p>
      <w:pPr>
        <w:spacing w:after="0" w:line="231" w:lineRule="exact"/>
        <w:rPr>
          <w:sz w:val="20"/>
          <w:szCs w:val="20"/>
          <w:color w:val="auto"/>
        </w:rPr>
      </w:pPr>
    </w:p>
    <w:p>
      <w:pPr>
        <w:ind w:right="620" w:firstLine="720"/>
        <w:spacing w:after="0" w:line="279" w:lineRule="auto"/>
        <w:rPr>
          <w:sz w:val="20"/>
          <w:szCs w:val="20"/>
          <w:color w:val="auto"/>
        </w:rPr>
      </w:pPr>
      <w:r>
        <w:rPr>
          <w:rFonts w:ascii="Times New Roman" w:cs="Times New Roman" w:eastAsia="Times New Roman" w:hAnsi="Times New Roman"/>
          <w:sz w:val="21"/>
          <w:szCs w:val="21"/>
          <w:color w:val="231F20"/>
        </w:rPr>
        <w:t>Deferred Regulatory and Other Charges changed by $3.3 million in 2025 compared to 2024, primarily driven by changes in Regulatory Assets and Liabilities, and the change in Other, net in 2025 compared to 2024 was $9.0 million.</w:t>
      </w:r>
    </w:p>
    <w:p>
      <w:pPr>
        <w:spacing w:after="0" w:line="199" w:lineRule="exact"/>
        <w:rPr>
          <w:sz w:val="20"/>
          <w:szCs w:val="20"/>
          <w:color w:val="auto"/>
        </w:rPr>
      </w:pPr>
    </w:p>
    <w:p>
      <w:pPr>
        <w:ind w:left="7700"/>
        <w:spacing w:after="0"/>
        <w:tabs>
          <w:tab w:leader="none" w:pos="9300" w:val="left"/>
        </w:tabs>
        <w:rPr>
          <w:sz w:val="20"/>
          <w:szCs w:val="20"/>
          <w:color w:val="auto"/>
        </w:rPr>
      </w:pPr>
      <w:r>
        <w:rPr>
          <w:rFonts w:ascii="Times New Roman" w:cs="Times New Roman" w:eastAsia="Times New Roman" w:hAnsi="Times New Roman"/>
          <w:sz w:val="16"/>
          <w:szCs w:val="16"/>
          <w:b w:val="1"/>
          <w:bCs w:val="1"/>
          <w:color w:val="231F20"/>
        </w:rPr>
        <w:t>2025</w:t>
      </w:r>
      <w:r>
        <w:rPr>
          <w:sz w:val="20"/>
          <w:szCs w:val="20"/>
          <w:color w:val="auto"/>
        </w:rPr>
        <w:tab/>
      </w:r>
      <w:r>
        <w:rPr>
          <w:rFonts w:ascii="Times New Roman" w:cs="Times New Roman" w:eastAsia="Times New Roman" w:hAnsi="Times New Roman"/>
          <w:sz w:val="16"/>
          <w:szCs w:val="16"/>
          <w:b w:val="1"/>
          <w:bCs w:val="1"/>
          <w:color w:val="231F20"/>
        </w:rPr>
        <w:t>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4545965</wp:posOffset>
                </wp:positionH>
                <wp:positionV relativeFrom="paragraph">
                  <wp:posOffset>16510</wp:posOffset>
                </wp:positionV>
                <wp:extent cx="88138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138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7.95pt,1.3pt" to="427.35pt,1.3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5579745</wp:posOffset>
                </wp:positionH>
                <wp:positionV relativeFrom="paragraph">
                  <wp:posOffset>16510</wp:posOffset>
                </wp:positionV>
                <wp:extent cx="88074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074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9.35pt,1.3pt" to="508.7pt,1.3pt" o:allowincell="f" strokecolor="#231F20" strokeweight="0.75pt"/>
            </w:pict>
          </mc:Fallback>
        </mc:AlternateContent>
      </w:r>
    </w:p>
    <w:p>
      <w:pPr>
        <w:spacing w:after="0" w:line="17" w:lineRule="exact"/>
        <w:rPr>
          <w:sz w:val="20"/>
          <w:szCs w:val="20"/>
          <w:color w:val="auto"/>
        </w:rPr>
      </w:pPr>
    </w:p>
    <w:p>
      <w:pPr>
        <w:ind w:left="540"/>
        <w:spacing w:after="0"/>
        <w:tabs>
          <w:tab w:leader="none" w:pos="7140" w:val="left"/>
          <w:tab w:leader="none" w:pos="8020" w:val="left"/>
          <w:tab w:leader="none" w:pos="8760" w:val="left"/>
          <w:tab w:leader="none" w:pos="9640" w:val="left"/>
        </w:tabs>
        <w:rPr>
          <w:sz w:val="20"/>
          <w:szCs w:val="20"/>
          <w:color w:val="auto"/>
        </w:rPr>
      </w:pPr>
      <w:r>
        <w:rPr>
          <w:rFonts w:ascii="Times New Roman" w:cs="Times New Roman" w:eastAsia="Times New Roman" w:hAnsi="Times New Roman"/>
          <w:sz w:val="20"/>
          <w:szCs w:val="20"/>
          <w:color w:val="231F20"/>
        </w:rPr>
        <w:t>Cash Used in Investing Activities</w:t>
      </w:r>
      <w:r>
        <w:rPr>
          <w:sz w:val="20"/>
          <w:szCs w:val="20"/>
          <w:color w:val="auto"/>
        </w:rPr>
        <w:tab/>
      </w:r>
      <w:r>
        <w:rPr>
          <w:rFonts w:ascii="Times New Roman" w:cs="Times New Roman" w:eastAsia="Times New Roman" w:hAnsi="Times New Roman"/>
          <w:sz w:val="20"/>
          <w:szCs w:val="20"/>
          <w:b w:val="1"/>
          <w:bCs w:val="1"/>
          <w:color w:val="231F20"/>
        </w:rPr>
        <w:t>$</w:t>
      </w:r>
      <w:r>
        <w:rPr>
          <w:sz w:val="20"/>
          <w:szCs w:val="20"/>
          <w:color w:val="auto"/>
        </w:rPr>
        <w:tab/>
      </w:r>
      <w:r>
        <w:rPr>
          <w:rFonts w:ascii="Times New Roman" w:cs="Times New Roman" w:eastAsia="Times New Roman" w:hAnsi="Times New Roman"/>
          <w:sz w:val="20"/>
          <w:szCs w:val="20"/>
          <w:b w:val="1"/>
          <w:bCs w:val="1"/>
          <w:color w:val="231F20"/>
        </w:rPr>
        <w:t>(345.5)</w:t>
      </w:r>
      <w:r>
        <w:rPr>
          <w:sz w:val="20"/>
          <w:szCs w:val="20"/>
          <w:color w:val="auto"/>
        </w:rPr>
        <w:tab/>
      </w:r>
      <w:r>
        <w:rPr>
          <w:rFonts w:ascii="Times New Roman" w:cs="Times New Roman" w:eastAsia="Times New Roman" w:hAnsi="Times New Roman"/>
          <w:sz w:val="20"/>
          <w:szCs w:val="20"/>
          <w:color w:val="231F20"/>
        </w:rPr>
        <w:t>$</w:t>
      </w:r>
      <w:r>
        <w:rPr>
          <w:sz w:val="20"/>
          <w:szCs w:val="20"/>
          <w:color w:val="auto"/>
        </w:rPr>
        <w:tab/>
      </w:r>
      <w:r>
        <w:rPr>
          <w:rFonts w:ascii="Times New Roman" w:cs="Times New Roman" w:eastAsia="Times New Roman" w:hAnsi="Times New Roman"/>
          <w:sz w:val="19"/>
          <w:szCs w:val="19"/>
          <w:color w:val="231F20"/>
        </w:rPr>
        <w:t>(169.9)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4545965</wp:posOffset>
                </wp:positionH>
                <wp:positionV relativeFrom="paragraph">
                  <wp:posOffset>22225</wp:posOffset>
                </wp:positionV>
                <wp:extent cx="88138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138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7.95pt,1.75pt" to="427.35pt,1.7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4545965</wp:posOffset>
                </wp:positionH>
                <wp:positionV relativeFrom="paragraph">
                  <wp:posOffset>3175</wp:posOffset>
                </wp:positionV>
                <wp:extent cx="88138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138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7.95pt,0.25pt" to="427.35pt,0.2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5579745</wp:posOffset>
                </wp:positionH>
                <wp:positionV relativeFrom="paragraph">
                  <wp:posOffset>22225</wp:posOffset>
                </wp:positionV>
                <wp:extent cx="88074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074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9.35pt,1.75pt" to="508.7pt,1.7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5579745</wp:posOffset>
                </wp:positionH>
                <wp:positionV relativeFrom="paragraph">
                  <wp:posOffset>3175</wp:posOffset>
                </wp:positionV>
                <wp:extent cx="88074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074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9.35pt,0.25pt" to="508.7pt,0.25pt" o:allowincell="f" strokecolor="#231F20" strokeweight="0.75pt"/>
            </w:pict>
          </mc:Fallback>
        </mc:AlternateContent>
      </w:r>
    </w:p>
    <w:p>
      <w:pPr>
        <w:spacing w:after="0" w:line="2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231F20"/>
        </w:rPr>
        <w:t xml:space="preserve">Cash Used in Investing Activities - </w:t>
      </w:r>
      <w:r>
        <w:rPr>
          <w:rFonts w:ascii="Times New Roman" w:cs="Times New Roman" w:eastAsia="Times New Roman" w:hAnsi="Times New Roman"/>
          <w:sz w:val="21"/>
          <w:szCs w:val="21"/>
          <w:color w:val="231F20"/>
        </w:rPr>
        <w:t>Cash Used in Investing Activities was ($345.5) million in 2025 compared to</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231F20"/>
        </w:rPr>
        <w:t>($169.9) million in 2024, an increase of $175.6 million. The higher spending in 2025 is primarily related to $160.4 million for</w:t>
      </w:r>
    </w:p>
    <w:p>
      <w:pPr>
        <w:spacing w:after="0"/>
        <w:rPr>
          <w:sz w:val="20"/>
          <w:szCs w:val="20"/>
          <w:color w:val="auto"/>
        </w:rPr>
      </w:pPr>
      <w:r>
        <w:rPr>
          <w:rFonts w:ascii="Times New Roman" w:cs="Times New Roman" w:eastAsia="Times New Roman" w:hAnsi="Times New Roman"/>
          <w:sz w:val="21"/>
          <w:szCs w:val="21"/>
          <w:color w:val="231F20"/>
        </w:rPr>
        <w:t>the acquisitions of Bangor Natural Gas and Maine Natural Gas. Normal utility capital expenditures for electric and gas utility</w:t>
      </w:r>
    </w:p>
    <w:p>
      <w:pPr>
        <w:spacing w:after="0"/>
        <w:rPr>
          <w:sz w:val="20"/>
          <w:szCs w:val="20"/>
          <w:color w:val="auto"/>
        </w:rPr>
      </w:pPr>
      <w:r>
        <w:rPr>
          <w:rFonts w:ascii="Times New Roman" w:cs="Times New Roman" w:eastAsia="Times New Roman" w:hAnsi="Times New Roman"/>
          <w:sz w:val="21"/>
          <w:szCs w:val="21"/>
          <w:color w:val="231F20"/>
        </w:rPr>
        <w:t>system additions increased $15.2 million compared to 2024. The Company’s projected capital spending for 2026 is $221</w:t>
      </w:r>
    </w:p>
    <w:p>
      <w:pPr>
        <w:spacing w:after="0"/>
        <w:rPr>
          <w:sz w:val="20"/>
          <w:szCs w:val="20"/>
          <w:color w:val="auto"/>
        </w:rPr>
      </w:pPr>
      <w:r>
        <w:rPr>
          <w:rFonts w:ascii="Times New Roman" w:cs="Times New Roman" w:eastAsia="Times New Roman" w:hAnsi="Times New Roman"/>
          <w:sz w:val="21"/>
          <w:szCs w:val="21"/>
          <w:color w:val="231F20"/>
        </w:rPr>
        <w:t>million.</w:t>
      </w:r>
    </w:p>
    <w:p>
      <w:pPr>
        <w:spacing w:after="0" w:line="248" w:lineRule="exact"/>
        <w:rPr>
          <w:sz w:val="20"/>
          <w:szCs w:val="20"/>
          <w:color w:val="auto"/>
        </w:rPr>
      </w:pPr>
    </w:p>
    <w:p>
      <w:pPr>
        <w:ind w:left="7700"/>
        <w:spacing w:after="0"/>
        <w:tabs>
          <w:tab w:leader="none" w:pos="9320" w:val="left"/>
        </w:tabs>
        <w:rPr>
          <w:sz w:val="20"/>
          <w:szCs w:val="20"/>
          <w:color w:val="auto"/>
        </w:rPr>
      </w:pPr>
      <w:r>
        <w:rPr>
          <w:rFonts w:ascii="Times New Roman" w:cs="Times New Roman" w:eastAsia="Times New Roman" w:hAnsi="Times New Roman"/>
          <w:sz w:val="16"/>
          <w:szCs w:val="16"/>
          <w:b w:val="1"/>
          <w:bCs w:val="1"/>
          <w:color w:val="231F20"/>
        </w:rPr>
        <w:t>2025</w:t>
      </w:r>
      <w:r>
        <w:rPr>
          <w:sz w:val="20"/>
          <w:szCs w:val="20"/>
          <w:color w:val="auto"/>
        </w:rPr>
        <w:tab/>
      </w:r>
      <w:r>
        <w:rPr>
          <w:rFonts w:ascii="Times New Roman" w:cs="Times New Roman" w:eastAsia="Times New Roman" w:hAnsi="Times New Roman"/>
          <w:sz w:val="16"/>
          <w:szCs w:val="16"/>
          <w:b w:val="1"/>
          <w:bCs w:val="1"/>
          <w:color w:val="231F20"/>
        </w:rPr>
        <w:t>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4540250</wp:posOffset>
                </wp:positionH>
                <wp:positionV relativeFrom="paragraph">
                  <wp:posOffset>16510</wp:posOffset>
                </wp:positionV>
                <wp:extent cx="89090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090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7.5pt,1.3pt" to="427.65pt,1.3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5583555</wp:posOffset>
                </wp:positionH>
                <wp:positionV relativeFrom="paragraph">
                  <wp:posOffset>16510</wp:posOffset>
                </wp:positionV>
                <wp:extent cx="89027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027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9.65pt,1.3pt" to="509.75pt,1.3pt" o:allowincell="f" strokecolor="#231F20" strokeweight="0.75pt"/>
            </w:pict>
          </mc:Fallback>
        </mc:AlternateContent>
      </w:r>
    </w:p>
    <w:p>
      <w:pPr>
        <w:spacing w:after="0" w:line="17" w:lineRule="exact"/>
        <w:rPr>
          <w:sz w:val="20"/>
          <w:szCs w:val="20"/>
          <w:color w:val="auto"/>
        </w:rPr>
      </w:pPr>
    </w:p>
    <w:p>
      <w:pPr>
        <w:ind w:left="540"/>
        <w:spacing w:after="0"/>
        <w:tabs>
          <w:tab w:leader="none" w:pos="7140" w:val="left"/>
          <w:tab w:leader="none" w:pos="8080" w:val="left"/>
          <w:tab w:leader="none" w:pos="8780" w:val="left"/>
          <w:tab w:leader="none" w:pos="9820" w:val="left"/>
        </w:tabs>
        <w:rPr>
          <w:sz w:val="20"/>
          <w:szCs w:val="20"/>
          <w:color w:val="auto"/>
        </w:rPr>
      </w:pPr>
      <w:r>
        <w:rPr>
          <w:rFonts w:ascii="Times New Roman" w:cs="Times New Roman" w:eastAsia="Times New Roman" w:hAnsi="Times New Roman"/>
          <w:sz w:val="20"/>
          <w:szCs w:val="20"/>
          <w:color w:val="231F20"/>
        </w:rPr>
        <w:t>Cash Provided by Financing Activities</w:t>
      </w:r>
      <w:r>
        <w:rPr>
          <w:sz w:val="20"/>
          <w:szCs w:val="20"/>
          <w:color w:val="auto"/>
        </w:rPr>
        <w:tab/>
      </w:r>
      <w:r>
        <w:rPr>
          <w:rFonts w:ascii="Times New Roman" w:cs="Times New Roman" w:eastAsia="Times New Roman" w:hAnsi="Times New Roman"/>
          <w:sz w:val="20"/>
          <w:szCs w:val="20"/>
          <w:b w:val="1"/>
          <w:bCs w:val="1"/>
          <w:color w:val="231F20"/>
        </w:rPr>
        <w:t>$</w:t>
      </w:r>
      <w:r>
        <w:rPr>
          <w:sz w:val="20"/>
          <w:szCs w:val="20"/>
          <w:color w:val="auto"/>
        </w:rPr>
        <w:tab/>
      </w:r>
      <w:r>
        <w:rPr>
          <w:rFonts w:ascii="Times New Roman" w:cs="Times New Roman" w:eastAsia="Times New Roman" w:hAnsi="Times New Roman"/>
          <w:sz w:val="20"/>
          <w:szCs w:val="20"/>
          <w:b w:val="1"/>
          <w:bCs w:val="1"/>
          <w:color w:val="231F20"/>
        </w:rPr>
        <w:t>223.5</w:t>
      </w:r>
      <w:r>
        <w:rPr>
          <w:sz w:val="20"/>
          <w:szCs w:val="20"/>
          <w:color w:val="auto"/>
        </w:rPr>
        <w:tab/>
      </w:r>
      <w:r>
        <w:rPr>
          <w:rFonts w:ascii="Times New Roman" w:cs="Times New Roman" w:eastAsia="Times New Roman" w:hAnsi="Times New Roman"/>
          <w:sz w:val="20"/>
          <w:szCs w:val="20"/>
          <w:color w:val="231F20"/>
        </w:rPr>
        <w:t>$</w:t>
      </w:r>
      <w:r>
        <w:rPr>
          <w:sz w:val="20"/>
          <w:szCs w:val="20"/>
          <w:color w:val="auto"/>
        </w:rPr>
        <w:tab/>
      </w:r>
      <w:r>
        <w:rPr>
          <w:rFonts w:ascii="Times New Roman" w:cs="Times New Roman" w:eastAsia="Times New Roman" w:hAnsi="Times New Roman"/>
          <w:sz w:val="20"/>
          <w:szCs w:val="20"/>
          <w:color w:val="231F20"/>
        </w:rPr>
        <w:t>43.8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4540250</wp:posOffset>
                </wp:positionH>
                <wp:positionV relativeFrom="paragraph">
                  <wp:posOffset>22225</wp:posOffset>
                </wp:positionV>
                <wp:extent cx="89090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090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7.5pt,1.75pt" to="427.65pt,1.7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4540250</wp:posOffset>
                </wp:positionH>
                <wp:positionV relativeFrom="paragraph">
                  <wp:posOffset>3175</wp:posOffset>
                </wp:positionV>
                <wp:extent cx="89090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090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7.5pt,0.25pt" to="427.65pt,0.2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5583555</wp:posOffset>
                </wp:positionH>
                <wp:positionV relativeFrom="paragraph">
                  <wp:posOffset>22225</wp:posOffset>
                </wp:positionV>
                <wp:extent cx="89027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027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9.65pt,1.75pt" to="509.75pt,1.7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5583555</wp:posOffset>
                </wp:positionH>
                <wp:positionV relativeFrom="paragraph">
                  <wp:posOffset>3175</wp:posOffset>
                </wp:positionV>
                <wp:extent cx="89027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027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9.65pt,0.25pt" to="509.75pt,0.25pt" o:allowincell="f" strokecolor="#231F20" strokeweight="0.75pt"/>
            </w:pict>
          </mc:Fallback>
        </mc:AlternateContent>
      </w:r>
    </w:p>
    <w:p>
      <w:pPr>
        <w:spacing w:after="0" w:line="274" w:lineRule="exact"/>
        <w:rPr>
          <w:sz w:val="20"/>
          <w:szCs w:val="20"/>
          <w:color w:val="auto"/>
        </w:rPr>
      </w:pPr>
    </w:p>
    <w:p>
      <w:pPr>
        <w:ind w:right="80" w:firstLine="612"/>
        <w:spacing w:after="0" w:line="248" w:lineRule="auto"/>
        <w:rPr>
          <w:sz w:val="20"/>
          <w:szCs w:val="20"/>
          <w:color w:val="auto"/>
        </w:rPr>
      </w:pPr>
      <w:r>
        <w:rPr>
          <w:rFonts w:ascii="Times New Roman" w:cs="Times New Roman" w:eastAsia="Times New Roman" w:hAnsi="Times New Roman"/>
          <w:sz w:val="21"/>
          <w:szCs w:val="21"/>
          <w:b w:val="1"/>
          <w:bCs w:val="1"/>
          <w:color w:val="231F20"/>
        </w:rPr>
        <w:t xml:space="preserve">Cash Provided by Financing Activities - </w:t>
      </w:r>
      <w:r>
        <w:rPr>
          <w:rFonts w:ascii="Times New Roman" w:cs="Times New Roman" w:eastAsia="Times New Roman" w:hAnsi="Times New Roman"/>
          <w:sz w:val="21"/>
          <w:szCs w:val="21"/>
          <w:color w:val="231F20"/>
        </w:rPr>
        <w:t>Cash Provided by Financing Activities was $223.5 million in 2025 compared</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to cash provided of $43.8 million in 2024. The higher cash provided from financing activities in 2025 compared to 2024 of $179.7 million is primarily attributable to higher proceeds from short-term debt of $206.1 million and higher proceeds from issuance of common stock of $72.4 million. Offsetting these cash sources was lower proceeds from the issuance of long-term debt of $103.0 million compared to 2024. Other changes in financing activities in 2025 provided higher cash of $4.2 million compared to 2024.</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231F20"/>
        </w:rPr>
        <w:t>FINANCIAL COVENANTS AND RESTRICTIONS</w:t>
      </w:r>
    </w:p>
    <w:p>
      <w:pPr>
        <w:spacing w:after="0" w:line="136" w:lineRule="exact"/>
        <w:rPr>
          <w:sz w:val="20"/>
          <w:szCs w:val="20"/>
          <w:color w:val="auto"/>
        </w:rPr>
      </w:pPr>
    </w:p>
    <w:p>
      <w:pPr>
        <w:ind w:right="220" w:firstLine="720"/>
        <w:spacing w:after="0" w:line="253" w:lineRule="auto"/>
        <w:rPr>
          <w:sz w:val="20"/>
          <w:szCs w:val="20"/>
          <w:color w:val="auto"/>
        </w:rPr>
      </w:pPr>
      <w:r>
        <w:rPr>
          <w:rFonts w:ascii="Times New Roman" w:cs="Times New Roman" w:eastAsia="Times New Roman" w:hAnsi="Times New Roman"/>
          <w:sz w:val="21"/>
          <w:szCs w:val="21"/>
          <w:color w:val="231F20"/>
        </w:rPr>
        <w:t>The agreements under which the Company and its subsidiaries issue long-term debt contain various covenants and restrictions. These agreements do not contain any covenants or restrictions pertaining to the maintenance of financial ratios or the issuance of short-term debt. These agreements do contain covenants relating to, among other things, the issuance of additional long-term debt, cross-default provisions, business combinations and covenants restricting the ability to (i) pay</w:t>
      </w:r>
    </w:p>
    <w:p>
      <w:pPr>
        <w:sectPr>
          <w:pgSz w:w="12240" w:h="15840" w:orient="portrait"/>
          <w:cols w:equalWidth="0" w:num="1">
            <w:col w:w="10800"/>
          </w:cols>
          <w:pgMar w:left="720" w:top="928" w:right="720" w:bottom="188" w:gutter="0" w:footer="0" w:header="0"/>
        </w:sect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33</w:t>
      </w:r>
    </w:p>
    <w:p>
      <w:pPr>
        <w:sectPr>
          <w:pgSz w:w="12240" w:h="15840" w:orient="portrait"/>
          <w:cols w:equalWidth="0" w:num="1">
            <w:col w:w="10800"/>
          </w:cols>
          <w:pgMar w:left="720" w:top="928" w:right="720" w:bottom="188" w:gutter="0" w:footer="0" w:header="0"/>
          <w:type w:val="continuous"/>
        </w:sectPr>
      </w:pPr>
    </w:p>
    <w:bookmarkStart w:id="53" w:name="page54"/>
    <w:bookmarkEnd w:id="53"/>
    <w:p>
      <w:pPr>
        <w:ind w:right="80"/>
        <w:spacing w:after="0" w:line="259" w:lineRule="auto"/>
        <w:rPr>
          <w:sz w:val="20"/>
          <w:szCs w:val="20"/>
          <w:color w:val="auto"/>
        </w:rPr>
      </w:pPr>
      <w:r>
        <w:rPr>
          <w:rFonts w:ascii="Times New Roman" w:cs="Times New Roman" w:eastAsia="Times New Roman" w:hAnsi="Times New Roman"/>
          <w:sz w:val="21"/>
          <w:szCs w:val="21"/>
          <w:color w:val="231F20"/>
        </w:rPr>
        <w:t>dividends, (ii) incur indebtedness and liens, (iii) merge or consolidate with another entity or (iv) sell, lease or otherwise dispose of all or substantially all assets. See Note 4 (Debt and Financing Arrangements) to the accompanying Consolidated Financial Statements.</w:t>
      </w:r>
    </w:p>
    <w:p>
      <w:pPr>
        <w:spacing w:after="0" w:line="219"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1"/>
          <w:szCs w:val="21"/>
          <w:color w:val="231F20"/>
        </w:rPr>
        <w:t>Unitil’s Credit Facility contains customary terms and conditions for credit facilities of this type, including affirmative and negative covenants. There are restrictions on, among other things, Unitil’s and its subsidiaries’ ability to permit liens or incur indebtedness, and restrictions on Unitil’s ability to merge or consolidate with another entity or change its line of business. The affirmative and negative covenants under the Credit Facility apply to Unitil until the Credit Facility terminates and all amounts borrowed under the Credit Facility are paid in full (or with respect to letters of credit, they are cash collateralized). The only financial covenant in the Credit Facility provides that Unitil’s Funded Debt to Capitalization (as each term is defined in the Credit Facility) cannot exceed 65%, tested on a quarterly basis. At December 31, 2025 and December 31, 2024, the Company was in compliance with the covenants contained in the Credit Facility in effect on that date.</w:t>
      </w: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231F20"/>
        </w:rPr>
        <w:t>The Company and its subsidiaries are currently in compliance with all such covenants in these debt instruments.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231F20"/>
        </w:rPr>
        <w:t>DIVIDENDS</w:t>
      </w:r>
    </w:p>
    <w:p>
      <w:pPr>
        <w:spacing w:after="0" w:line="136" w:lineRule="exact"/>
        <w:rPr>
          <w:sz w:val="20"/>
          <w:szCs w:val="20"/>
          <w:color w:val="auto"/>
        </w:rPr>
      </w:pPr>
    </w:p>
    <w:p>
      <w:pPr>
        <w:ind w:right="180" w:firstLine="720"/>
        <w:spacing w:after="0" w:line="259" w:lineRule="auto"/>
        <w:rPr>
          <w:sz w:val="20"/>
          <w:szCs w:val="20"/>
          <w:color w:val="auto"/>
        </w:rPr>
      </w:pPr>
      <w:r>
        <w:rPr>
          <w:rFonts w:ascii="Times New Roman" w:cs="Times New Roman" w:eastAsia="Times New Roman" w:hAnsi="Times New Roman"/>
          <w:sz w:val="20"/>
          <w:szCs w:val="20"/>
          <w:color w:val="231F20"/>
        </w:rPr>
        <w:t>Unitil’s annual common dividend was $1.80 per common share in 2025, $1.70 per common share in 2024, and $1.62 per common share in 2023. Unitil’s dividend policy is reviewed periodically by the Board. Unitil has maintained an unbroken record of quarterly dividend payments since trading began in Unitil’s common stock. At a January 2026 meeting of the Board, the Board declared a quarterly dividend on the Company’s common stock of $0.475 per share, an increase of $ 0.025 per share on a quarterly basis, resulting in an increase in the effective annualized dividend rate to $1.90 from $1.80. The amount and timing of all dividend payments are subject to the discretion of the Board and will depend upon business conditions, results of operations, financial conditions and other factors. In addition, the ability of the Company’s subsidiaries to pay dividends or make distributions to Unitil, and, therefore, Unitil’s ability to pay dividends, depends on, among other things:</w:t>
      </w:r>
    </w:p>
    <w:p>
      <w:pPr>
        <w:spacing w:after="0" w:line="82" w:lineRule="exact"/>
        <w:rPr>
          <w:sz w:val="20"/>
          <w:szCs w:val="20"/>
          <w:color w:val="auto"/>
        </w:rPr>
      </w:pPr>
    </w:p>
    <w:p>
      <w:pPr>
        <w:ind w:left="980" w:right="820" w:hanging="490"/>
        <w:spacing w:after="0" w:line="278" w:lineRule="auto"/>
        <w:tabs>
          <w:tab w:leader="none" w:pos="980" w:val="left"/>
        </w:tabs>
        <w:numPr>
          <w:ilvl w:val="0"/>
          <w:numId w:val="19"/>
        </w:numPr>
        <w:rPr>
          <w:rFonts w:ascii="Arial" w:cs="Arial" w:eastAsia="Arial" w:hAnsi="Arial"/>
          <w:sz w:val="21"/>
          <w:szCs w:val="21"/>
          <w:color w:val="231F20"/>
        </w:rPr>
      </w:pPr>
      <w:r>
        <w:rPr>
          <w:rFonts w:ascii="Times New Roman" w:cs="Times New Roman" w:eastAsia="Times New Roman" w:hAnsi="Times New Roman"/>
          <w:sz w:val="21"/>
          <w:szCs w:val="21"/>
          <w:color w:val="231F20"/>
        </w:rPr>
        <w:t>the actual and projected earnings and cash flow, capital requirements and general financial condition of the Company’s subsidiaries;</w:t>
      </w:r>
    </w:p>
    <w:p>
      <w:pPr>
        <w:spacing w:after="0" w:line="57" w:lineRule="exact"/>
        <w:rPr>
          <w:rFonts w:ascii="Arial" w:cs="Arial" w:eastAsia="Arial" w:hAnsi="Arial"/>
          <w:sz w:val="21"/>
          <w:szCs w:val="21"/>
          <w:color w:val="231F20"/>
        </w:rPr>
      </w:pPr>
    </w:p>
    <w:p>
      <w:pPr>
        <w:ind w:left="980" w:right="360" w:hanging="490"/>
        <w:spacing w:after="0" w:line="278" w:lineRule="auto"/>
        <w:tabs>
          <w:tab w:leader="none" w:pos="980" w:val="left"/>
        </w:tabs>
        <w:numPr>
          <w:ilvl w:val="0"/>
          <w:numId w:val="19"/>
        </w:numPr>
        <w:rPr>
          <w:rFonts w:ascii="Arial" w:cs="Arial" w:eastAsia="Arial" w:hAnsi="Arial"/>
          <w:sz w:val="21"/>
          <w:szCs w:val="21"/>
          <w:color w:val="231F20"/>
        </w:rPr>
      </w:pPr>
      <w:r>
        <w:rPr>
          <w:rFonts w:ascii="Times New Roman" w:cs="Times New Roman" w:eastAsia="Times New Roman" w:hAnsi="Times New Roman"/>
          <w:sz w:val="21"/>
          <w:szCs w:val="21"/>
          <w:color w:val="231F20"/>
        </w:rPr>
        <w:t>the prior rights of holders of existing and future preferred stock, mortgage bonds, long-term notes and other debt issued by the Company’s subsidiaries;</w:t>
      </w:r>
    </w:p>
    <w:p>
      <w:pPr>
        <w:spacing w:after="0" w:line="57" w:lineRule="exact"/>
        <w:rPr>
          <w:rFonts w:ascii="Arial" w:cs="Arial" w:eastAsia="Arial" w:hAnsi="Arial"/>
          <w:sz w:val="21"/>
          <w:szCs w:val="21"/>
          <w:color w:val="231F20"/>
        </w:rPr>
      </w:pPr>
    </w:p>
    <w:p>
      <w:pPr>
        <w:ind w:left="980" w:right="780" w:hanging="490"/>
        <w:spacing w:after="0" w:line="304" w:lineRule="auto"/>
        <w:tabs>
          <w:tab w:leader="none" w:pos="9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the restrictions on the payment of dividends contained in the existing loan agreements of the Company’s subsidiaries and that may be contained in future debt agreements of the Company’s subsidiaries, if any; and</w:t>
      </w:r>
    </w:p>
    <w:p>
      <w:pPr>
        <w:spacing w:after="0" w:line="34" w:lineRule="exact"/>
        <w:rPr>
          <w:rFonts w:ascii="Arial" w:cs="Arial" w:eastAsia="Arial" w:hAnsi="Arial"/>
          <w:sz w:val="20"/>
          <w:szCs w:val="20"/>
          <w:color w:val="231F20"/>
        </w:rPr>
      </w:pPr>
    </w:p>
    <w:p>
      <w:pPr>
        <w:ind w:left="980" w:hanging="490"/>
        <w:spacing w:after="0"/>
        <w:tabs>
          <w:tab w:leader="none" w:pos="980" w:val="left"/>
        </w:tabs>
        <w:numPr>
          <w:ilvl w:val="0"/>
          <w:numId w:val="19"/>
        </w:numPr>
        <w:rPr>
          <w:rFonts w:ascii="Arial" w:cs="Arial" w:eastAsia="Arial" w:hAnsi="Arial"/>
          <w:sz w:val="21"/>
          <w:szCs w:val="21"/>
          <w:color w:val="231F20"/>
        </w:rPr>
      </w:pPr>
      <w:r>
        <w:rPr>
          <w:rFonts w:ascii="Times New Roman" w:cs="Times New Roman" w:eastAsia="Times New Roman" w:hAnsi="Times New Roman"/>
          <w:sz w:val="21"/>
          <w:szCs w:val="21"/>
          <w:color w:val="231F20"/>
        </w:rPr>
        <w:t>limitations that may be imposed by New Hampshire, Massachusetts and Maine state regulatory agencies.</w:t>
      </w:r>
    </w:p>
    <w:p>
      <w:pPr>
        <w:spacing w:after="0" w:line="241" w:lineRule="exact"/>
        <w:rPr>
          <w:sz w:val="20"/>
          <w:szCs w:val="20"/>
          <w:color w:val="auto"/>
        </w:rPr>
      </w:pPr>
    </w:p>
    <w:p>
      <w:pPr>
        <w:ind w:firstLine="720"/>
        <w:spacing w:after="0" w:line="259" w:lineRule="auto"/>
        <w:rPr>
          <w:sz w:val="20"/>
          <w:szCs w:val="20"/>
          <w:color w:val="auto"/>
        </w:rPr>
      </w:pPr>
      <w:r>
        <w:rPr>
          <w:rFonts w:ascii="Times New Roman" w:cs="Times New Roman" w:eastAsia="Times New Roman" w:hAnsi="Times New Roman"/>
          <w:sz w:val="21"/>
          <w:szCs w:val="21"/>
          <w:color w:val="231F20"/>
        </w:rPr>
        <w:t xml:space="preserve">In addition, before the Company can pay dividends on its common stock, it must satisfy its debt obligations and comply with any statutory or contractual limitations. See </w:t>
      </w:r>
      <w:r>
        <w:rPr>
          <w:rFonts w:ascii="Times New Roman" w:cs="Times New Roman" w:eastAsia="Times New Roman" w:hAnsi="Times New Roman"/>
          <w:sz w:val="21"/>
          <w:szCs w:val="21"/>
          <w:i w:val="1"/>
          <w:iCs w:val="1"/>
          <w:color w:val="231F20"/>
        </w:rPr>
        <w:t>Financial Covenants and Restrictions</w:t>
      </w:r>
      <w:r>
        <w:rPr>
          <w:rFonts w:ascii="Times New Roman" w:cs="Times New Roman" w:eastAsia="Times New Roman" w:hAnsi="Times New Roman"/>
          <w:sz w:val="21"/>
          <w:szCs w:val="21"/>
          <w:color w:val="231F20"/>
        </w:rPr>
        <w:t xml:space="preserve"> in this report, as well as Note 4 (Debt and Financing Arrangements) to the accompanying Consolidated Financial Statements.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231F20"/>
        </w:rPr>
        <w:t>LEGAL PROCEEDINGS</w:t>
      </w:r>
    </w:p>
    <w:p>
      <w:pPr>
        <w:spacing w:after="0" w:line="136" w:lineRule="exact"/>
        <w:rPr>
          <w:sz w:val="20"/>
          <w:szCs w:val="20"/>
          <w:color w:val="auto"/>
        </w:rPr>
      </w:pPr>
    </w:p>
    <w:p>
      <w:pPr>
        <w:ind w:right="240" w:firstLine="619"/>
        <w:spacing w:after="0" w:line="249" w:lineRule="auto"/>
        <w:rPr>
          <w:sz w:val="20"/>
          <w:szCs w:val="20"/>
          <w:color w:val="auto"/>
        </w:rPr>
      </w:pPr>
      <w:r>
        <w:rPr>
          <w:rFonts w:ascii="Times New Roman" w:cs="Times New Roman" w:eastAsia="Times New Roman" w:hAnsi="Times New Roman"/>
          <w:sz w:val="21"/>
          <w:szCs w:val="21"/>
          <w:color w:val="231F20"/>
        </w:rPr>
        <w:t>The Company is involved in legal and administrative proceedings and claims of various types, including those which arise in the ordinary course of business. The Company believes, based upon information furnished by counsel and others, that the ultimate resolution of these claims will not have a material effect on its financial position, operating results or cash flows. Refer to “Legal Proceedings” in Note 8 (Commitments and Contingencies) of the Consolidated Financial Statements for a discussion of legal proceedings.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231F20"/>
        </w:rPr>
        <w:t>REGULATORY MATTERS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231F20"/>
        </w:rPr>
        <w:t>See Note 8 (Commitments and Contingencies) to the Consolidated Financial Statements.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231F20"/>
        </w:rPr>
        <w:t>CRITICAL ACCOUNTING POLICIES</w:t>
      </w:r>
    </w:p>
    <w:p>
      <w:pPr>
        <w:spacing w:after="0" w:line="136" w:lineRule="exact"/>
        <w:rPr>
          <w:sz w:val="20"/>
          <w:szCs w:val="20"/>
          <w:color w:val="auto"/>
        </w:rPr>
      </w:pPr>
    </w:p>
    <w:p>
      <w:pPr>
        <w:ind w:right="100" w:firstLine="619"/>
        <w:spacing w:after="0" w:line="305" w:lineRule="auto"/>
        <w:rPr>
          <w:sz w:val="20"/>
          <w:szCs w:val="20"/>
          <w:color w:val="auto"/>
        </w:rPr>
      </w:pPr>
      <w:r>
        <w:rPr>
          <w:rFonts w:ascii="Times New Roman" w:cs="Times New Roman" w:eastAsia="Times New Roman" w:hAnsi="Times New Roman"/>
          <w:sz w:val="20"/>
          <w:szCs w:val="20"/>
          <w:color w:val="231F20"/>
        </w:rPr>
        <w:t>The preparation of the Company’s Consolidated Financial Statements in conformity with generally accepted accounting principles in the United States of America requires the Company to make estimates and assumptions that affect the reported</w:t>
      </w:r>
    </w:p>
    <w:p>
      <w:pPr>
        <w:sectPr>
          <w:pgSz w:w="12240" w:h="15840" w:orient="portrait"/>
          <w:cols w:equalWidth="0" w:num="1">
            <w:col w:w="10800"/>
          </w:cols>
          <w:pgMar w:left="720" w:top="929" w:right="720" w:bottom="188"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34</w:t>
      </w:r>
    </w:p>
    <w:p>
      <w:pPr>
        <w:sectPr>
          <w:pgSz w:w="12240" w:h="15840" w:orient="portrait"/>
          <w:cols w:equalWidth="0" w:num="1">
            <w:col w:w="10800"/>
          </w:cols>
          <w:pgMar w:left="720" w:top="929" w:right="720" w:bottom="188" w:gutter="0" w:footer="0" w:header="0"/>
          <w:type w:val="continuous"/>
        </w:sectPr>
      </w:pPr>
    </w:p>
    <w:bookmarkStart w:id="54" w:name="page55"/>
    <w:bookmarkEnd w:id="54"/>
    <w:p>
      <w:pPr>
        <w:ind w:right="20"/>
        <w:spacing w:after="0" w:line="244" w:lineRule="auto"/>
        <w:rPr>
          <w:sz w:val="20"/>
          <w:szCs w:val="20"/>
          <w:color w:val="auto"/>
        </w:rPr>
      </w:pPr>
      <w:r>
        <w:rPr>
          <w:rFonts w:ascii="Times New Roman" w:cs="Times New Roman" w:eastAsia="Times New Roman" w:hAnsi="Times New Roman"/>
          <w:sz w:val="21"/>
          <w:szCs w:val="21"/>
          <w:color w:val="231F20"/>
        </w:rPr>
        <w:t>amounts of assets and liabilities and disclosure of contingent assets and liabilities at the date of the financial statements and the reported amounts of revenues and expenses during the reporting period. In making those estimates and assumptions, the Company is sometimes required to make subjective and/or complex judgments about the effect of matters that are inherently uncertain and for which different estimates that could reasonably have been used could have resulted in material differences in its financial statements. If actual results were to differ significantly from those estimates, assumptions and judgment, the financial position of the Company could be materially affected and the results of operations of the Company could be materially different than reported. The following is a summary of the Company’s most critical accounting policies, which are defined as those policies where judgments or uncertainties could materially affect the application of those policies. For a complete discussion of the Company’s significant accounting policies, refer to the financial statements and Note 1 (Summary of Significant Accounting Policies).</w:t>
      </w:r>
    </w:p>
    <w:p>
      <w:pPr>
        <w:spacing w:after="0" w:line="196" w:lineRule="exact"/>
        <w:rPr>
          <w:sz w:val="20"/>
          <w:szCs w:val="20"/>
          <w:color w:val="auto"/>
        </w:rPr>
      </w:pPr>
    </w:p>
    <w:p>
      <w:pPr>
        <w:ind w:right="60" w:firstLine="612"/>
        <w:spacing w:after="0" w:line="245" w:lineRule="auto"/>
        <w:rPr>
          <w:sz w:val="20"/>
          <w:szCs w:val="20"/>
          <w:color w:val="auto"/>
        </w:rPr>
      </w:pPr>
      <w:r>
        <w:rPr>
          <w:rFonts w:ascii="Times New Roman" w:cs="Times New Roman" w:eastAsia="Times New Roman" w:hAnsi="Times New Roman"/>
          <w:sz w:val="21"/>
          <w:szCs w:val="21"/>
          <w:b w:val="1"/>
          <w:bCs w:val="1"/>
          <w:color w:val="231F20"/>
        </w:rPr>
        <w:t>Regulatory Accounting—</w:t>
      </w:r>
      <w:r>
        <w:rPr>
          <w:rFonts w:ascii="Times New Roman" w:cs="Times New Roman" w:eastAsia="Times New Roman" w:hAnsi="Times New Roman"/>
          <w:sz w:val="21"/>
          <w:szCs w:val="21"/>
          <w:color w:val="231F20"/>
        </w:rPr>
        <w:t>The Company’s principal business is the distribution of electricity and natural gas by the five</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distribution utilities: Unitil Energy, Fitchburg, Northern Utilities, Bangor and Maine Natural. Unitil Energy and Fitchburg are subject to regulation by the FERC. Fitchburg is also regulated by the MDPU, Unitil Energy is regulated by the NHPUC, Northern Utilities is regulated by the MPUC and NHPUC, and Bangor and Maine Natural are regulated by the MPUC. Granite State, the Company’s natural gas transmission pipeline, is regulated by the FERC. Accordingly, the Company uses the Regulated Operations guidance as set forth in the Financial Accounting Standards Board Accounting Standards Codification (FASB Codification). In accordance with the FASB Codification, the Company has recorded Regulatory Assets and Regulatory Liabilities which will be recovered from customers, or applied for customer benefit, in accordance with rate provisions approved by the applicable public utility regulatory commission.</w:t>
      </w:r>
    </w:p>
    <w:p>
      <w:pPr>
        <w:spacing w:after="0" w:line="199" w:lineRule="exact"/>
        <w:rPr>
          <w:sz w:val="20"/>
          <w:szCs w:val="20"/>
          <w:color w:val="auto"/>
        </w:rPr>
      </w:pPr>
    </w:p>
    <w:p>
      <w:pPr>
        <w:ind w:right="280" w:firstLine="612"/>
        <w:spacing w:after="0" w:line="247" w:lineRule="auto"/>
        <w:rPr>
          <w:sz w:val="20"/>
          <w:szCs w:val="20"/>
          <w:color w:val="auto"/>
        </w:rPr>
      </w:pPr>
      <w:r>
        <w:rPr>
          <w:rFonts w:ascii="Times New Roman" w:cs="Times New Roman" w:eastAsia="Times New Roman" w:hAnsi="Times New Roman"/>
          <w:sz w:val="21"/>
          <w:szCs w:val="21"/>
          <w:color w:val="231F20"/>
        </w:rPr>
        <w:t>The FASB Codification specifies the economic effects that result from the cause and effect relationship of costs and revenues in the rate-regulated environment and the related accounting for a regulated enterprise. Revenues intended to cover certain costs may be recorded either before or after the costs are incurred. If regulation provides assurance that incurred costs will be recovered in the future, these costs would be recorded as deferred charges or “regulatory assets.” If revenues are recorded for costs that are expected to be incurred in the future, these revenues would be recorded as deferred credits or “regulatory liabilities.”</w:t>
      </w:r>
    </w:p>
    <w:p>
      <w:pPr>
        <w:spacing w:after="0" w:line="198" w:lineRule="exact"/>
        <w:rPr>
          <w:sz w:val="20"/>
          <w:szCs w:val="20"/>
          <w:color w:val="auto"/>
        </w:rPr>
      </w:pPr>
    </w:p>
    <w:p>
      <w:pPr>
        <w:ind w:right="60" w:firstLine="612"/>
        <w:spacing w:after="0" w:line="249" w:lineRule="auto"/>
        <w:rPr>
          <w:sz w:val="20"/>
          <w:szCs w:val="20"/>
          <w:color w:val="auto"/>
        </w:rPr>
      </w:pPr>
      <w:r>
        <w:rPr>
          <w:rFonts w:ascii="Times New Roman" w:cs="Times New Roman" w:eastAsia="Times New Roman" w:hAnsi="Times New Roman"/>
          <w:sz w:val="21"/>
          <w:szCs w:val="21"/>
          <w:color w:val="231F20"/>
        </w:rPr>
        <w:t>The Company’s principal regulatory assets and liabilities are included on the Company’s Consolidated Balance Sheet and a summary of the Company’s Regulatory Assets is provided in Note 1 (Summary of Significant Accounting Policies) to the consolidated financial statements. Generally, the Company receives a return on investment on its regulated assets for which a cash outflow has been made. Regulatory commissions can reach different conclusions about the recovery of costs, which can have a material effect on the Company’s consolidated financial statements.</w:t>
      </w:r>
    </w:p>
    <w:p>
      <w:pPr>
        <w:spacing w:after="0" w:line="195" w:lineRule="exact"/>
        <w:rPr>
          <w:sz w:val="20"/>
          <w:szCs w:val="20"/>
          <w:color w:val="auto"/>
        </w:rPr>
      </w:pPr>
    </w:p>
    <w:p>
      <w:pPr>
        <w:ind w:firstLine="612"/>
        <w:spacing w:after="0" w:line="244" w:lineRule="auto"/>
        <w:rPr>
          <w:sz w:val="20"/>
          <w:szCs w:val="20"/>
          <w:color w:val="auto"/>
        </w:rPr>
      </w:pPr>
      <w:r>
        <w:rPr>
          <w:rFonts w:ascii="Times New Roman" w:cs="Times New Roman" w:eastAsia="Times New Roman" w:hAnsi="Times New Roman"/>
          <w:sz w:val="21"/>
          <w:szCs w:val="21"/>
          <w:color w:val="231F20"/>
        </w:rPr>
        <w:t>The Company believes it is probable that its regulated distribution and transmission utilities will recover their investments in long-lived assets, including regulatory assets. If the Company, or a portion of its assets or operations, were to cease meeting the criteria for application of these accounting rules, accounting standards for businesses in general would become applicable and immediate recognition of any previously deferred costs, or a portion of deferred costs, would be required in the year in which the criteria are no longer met, if such deferred costs were not recoverable in the portion of the business that continues to meet the criteria for application of the FASB Codification topic on Regulated Operations. If unable to continue to apply the FASB Codification provisions for Regulated Operations, the Company would be required to apply the provisions for the Discontinuation of Rate-Regulated Accounting included in the FASB Codification. In the Company’s opinion, its regulated operations will be subject to the FASB Codification provisions for Regulated Operations for the foreseeable future.</w:t>
      </w:r>
    </w:p>
    <w:p>
      <w:pPr>
        <w:spacing w:after="0" w:line="200" w:lineRule="exact"/>
        <w:rPr>
          <w:sz w:val="20"/>
          <w:szCs w:val="20"/>
          <w:color w:val="auto"/>
        </w:rPr>
      </w:pPr>
    </w:p>
    <w:p>
      <w:pPr>
        <w:ind w:right="220" w:firstLine="612"/>
        <w:spacing w:after="0" w:line="246" w:lineRule="auto"/>
        <w:rPr>
          <w:sz w:val="20"/>
          <w:szCs w:val="20"/>
          <w:color w:val="auto"/>
        </w:rPr>
      </w:pPr>
      <w:r>
        <w:rPr>
          <w:rFonts w:ascii="Times New Roman" w:cs="Times New Roman" w:eastAsia="Times New Roman" w:hAnsi="Times New Roman"/>
          <w:sz w:val="21"/>
          <w:szCs w:val="21"/>
          <w:b w:val="1"/>
          <w:bCs w:val="1"/>
          <w:color w:val="231F20"/>
        </w:rPr>
        <w:t>Retirement Benefit Obligations—</w:t>
      </w:r>
      <w:r>
        <w:rPr>
          <w:rFonts w:ascii="Times New Roman" w:cs="Times New Roman" w:eastAsia="Times New Roman" w:hAnsi="Times New Roman"/>
          <w:sz w:val="21"/>
          <w:szCs w:val="21"/>
          <w:color w:val="231F20"/>
        </w:rPr>
        <w:t>The Company sponsors the Unitil Corporation Retirement Plan (Pension Plan),</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which is a defined benefit pension plan. Effective January 1, 2010, the Pension Plan was closed to new non-union employees. For union employees, the Pension Plan was closed on various dates between December 31, 2010 and June 1, 2013, depending on the various Collective Bargaining Agreements of each union. The Company also sponsors two non-qualified retirement plans, the Unitil Corporation Supplemental Executive Retirement Plan (SERP), and the Unitil Corporation Deferred Compensation Plan, covering certain executives of the Company, and an employee 401(k) savings plan. Additionally, the Company sponsors the Unitil Employee Health and Welfare Benefits Plan (PBOP Plan), primarily to provide health care and life insurance benefits to retired employees.</w:t>
      </w:r>
    </w:p>
    <w:p>
      <w:pPr>
        <w:spacing w:after="0" w:line="196" w:lineRule="exact"/>
        <w:rPr>
          <w:sz w:val="20"/>
          <w:szCs w:val="20"/>
          <w:color w:val="auto"/>
        </w:rPr>
      </w:pPr>
    </w:p>
    <w:p>
      <w:pPr>
        <w:jc w:val="both"/>
        <w:ind w:right="280" w:firstLine="612"/>
        <w:spacing w:after="0" w:line="278" w:lineRule="auto"/>
        <w:rPr>
          <w:sz w:val="20"/>
          <w:szCs w:val="20"/>
          <w:color w:val="auto"/>
        </w:rPr>
      </w:pPr>
      <w:r>
        <w:rPr>
          <w:rFonts w:ascii="Times New Roman" w:cs="Times New Roman" w:eastAsia="Times New Roman" w:hAnsi="Times New Roman"/>
          <w:sz w:val="20"/>
          <w:szCs w:val="20"/>
          <w:color w:val="231F20"/>
        </w:rPr>
        <w:t>The FASB Codification requires companies to record on their balance sheets as an asset or liability the overfunded or underfunded status of their retirement benefit obligations (RBO) based on the projected benefit obligation. The Company has recognized a corresponding Regulatory Asset, to recognize the future collection of the PBOP Plan and SERP obligations in</w:t>
      </w:r>
    </w:p>
    <w:p>
      <w:pPr>
        <w:sectPr>
          <w:pgSz w:w="12240" w:h="15840" w:orient="portrait"/>
          <w:cols w:equalWidth="0" w:num="1">
            <w:col w:w="10800"/>
          </w:cols>
          <w:pgMar w:left="720" w:top="929" w:right="720" w:bottom="188" w:gutter="0" w:footer="0" w:header="0"/>
        </w:sect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35</w:t>
      </w:r>
    </w:p>
    <w:p>
      <w:pPr>
        <w:sectPr>
          <w:pgSz w:w="12240" w:h="15840" w:orient="portrait"/>
          <w:cols w:equalWidth="0" w:num="1">
            <w:col w:w="10800"/>
          </w:cols>
          <w:pgMar w:left="720" w:top="929" w:right="720" w:bottom="188" w:gutter="0" w:footer="0" w:header="0"/>
          <w:type w:val="continuous"/>
        </w:sectPr>
      </w:pPr>
    </w:p>
    <w:bookmarkStart w:id="55" w:name="page56"/>
    <w:bookmarkEnd w:id="55"/>
    <w:p>
      <w:pPr>
        <w:spacing w:after="0" w:line="242" w:lineRule="auto"/>
        <w:rPr>
          <w:sz w:val="20"/>
          <w:szCs w:val="20"/>
          <w:color w:val="auto"/>
        </w:rPr>
      </w:pPr>
      <w:r>
        <w:rPr>
          <w:rFonts w:ascii="Times New Roman" w:cs="Times New Roman" w:eastAsia="Times New Roman" w:hAnsi="Times New Roman"/>
          <w:sz w:val="21"/>
          <w:szCs w:val="21"/>
          <w:color w:val="231F20"/>
        </w:rPr>
        <w:t>electric and gas rates. The Company has recognized a corresponding Regulatory Liability, to recognize the future flow back of the Pension Plan obligation in electric and gas rates. The Company’s RBO and reported costs of providing retirement benefits are dependent upon numerous factors resulting from actual plan experience and assumptions of future experience. The Company has made critical estimates related to actuarial assumptions, including assumptions of expected returns on plan assets, future compensation, health care cost trends, and appropriate discount rates. The Company’s RBO is affected by actual employee demographics, the level of contributions made to the plans, earnings on plan assets, and health care cost trends. Changes made to the provisions of these plans may also affect current and future costs. If these assumptions were changed, the resulting change in benefit obligations, fair values of plan assets, funded status and net periodic benefit costs could have a material effect on the Company’s financial statements. The discount rate assumptions used in determining retirement plan costs and retirement plan obligations are based on an assessment of current market conditions using high quality corporate bond interest rate indices and pension yield curves. For the year ended December 31, 2025, a change in the discount rate of 0.25% would have resulted in an increase or decrease of approximately $428,700 in the Net Periodic Benefit Cost for the Pension Plan. Similarly, a change of 0.50% in the expected long-term rate of return on plan assets would have resulted in an increase or decrease of approximately $ 700,300 in the Net Periodic Benefit Cost for the Pension Plan. (See Note 10 (Retirement Benefit Plans) to the accompanying Consolidated Financial Statements.)</w:t>
      </w:r>
    </w:p>
    <w:p>
      <w:pPr>
        <w:spacing w:after="0" w:line="210" w:lineRule="exact"/>
        <w:rPr>
          <w:sz w:val="20"/>
          <w:szCs w:val="20"/>
          <w:color w:val="auto"/>
        </w:rPr>
      </w:pPr>
    </w:p>
    <w:p>
      <w:pPr>
        <w:ind w:firstLine="612"/>
        <w:spacing w:after="0" w:line="279" w:lineRule="auto"/>
        <w:rPr>
          <w:sz w:val="20"/>
          <w:szCs w:val="20"/>
          <w:color w:val="auto"/>
        </w:rPr>
      </w:pPr>
      <w:r>
        <w:rPr>
          <w:rFonts w:ascii="Times New Roman" w:cs="Times New Roman" w:eastAsia="Times New Roman" w:hAnsi="Times New Roman"/>
          <w:sz w:val="21"/>
          <w:szCs w:val="21"/>
          <w:color w:val="231F20"/>
        </w:rPr>
        <w:t>Refer to “Recently Issued Pronouncements” in Note 1 of the Notes of Consolidated Financial Statements for information regarding recently issued accounting standards.</w:t>
      </w:r>
    </w:p>
    <w:p>
      <w:pPr>
        <w:spacing w:after="0" w:line="158" w:lineRule="exact"/>
        <w:rPr>
          <w:sz w:val="20"/>
          <w:szCs w:val="20"/>
          <w:color w:val="auto"/>
        </w:rPr>
      </w:pPr>
    </w:p>
    <w:p>
      <w:pPr>
        <w:jc w:val="both"/>
        <w:ind w:right="420" w:firstLine="612"/>
        <w:spacing w:after="0" w:line="287" w:lineRule="auto"/>
        <w:rPr>
          <w:sz w:val="20"/>
          <w:szCs w:val="20"/>
          <w:color w:val="auto"/>
        </w:rPr>
      </w:pPr>
      <w:r>
        <w:rPr>
          <w:rFonts w:ascii="Times New Roman" w:cs="Times New Roman" w:eastAsia="Times New Roman" w:hAnsi="Times New Roman"/>
          <w:sz w:val="21"/>
          <w:szCs w:val="21"/>
          <w:b w:val="1"/>
          <w:bCs w:val="1"/>
          <w:color w:val="231F20"/>
        </w:rPr>
        <w:t>For additional information regarding the foregoing matters, see Note 1 (Summary of Significant Accounting Policies), Note 6 (Energy Supply), and Note 10 (Retirement Benefit Plans) to the Consolidated Financial Statements.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Item 7A. Quantitative and Qualitative Disclosures about Market Risk</w:t>
      </w:r>
    </w:p>
    <w:p>
      <w:pPr>
        <w:spacing w:after="0" w:line="1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231F20"/>
        </w:rPr>
        <w:t>Please also refer to Part I, Item 1A. “Risk Factors”.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231F20"/>
        </w:rPr>
        <w:t>INTEREST RATE RISK</w:t>
      </w:r>
    </w:p>
    <w:p>
      <w:pPr>
        <w:spacing w:after="0" w:line="118" w:lineRule="exact"/>
        <w:rPr>
          <w:sz w:val="20"/>
          <w:szCs w:val="20"/>
          <w:color w:val="auto"/>
        </w:rPr>
      </w:pPr>
    </w:p>
    <w:p>
      <w:pPr>
        <w:ind w:right="140" w:firstLine="619"/>
        <w:spacing w:after="0" w:line="244" w:lineRule="auto"/>
        <w:rPr>
          <w:sz w:val="20"/>
          <w:szCs w:val="20"/>
          <w:color w:val="auto"/>
        </w:rPr>
      </w:pPr>
      <w:r>
        <w:rPr>
          <w:rFonts w:ascii="Times New Roman" w:cs="Times New Roman" w:eastAsia="Times New Roman" w:hAnsi="Times New Roman"/>
          <w:sz w:val="21"/>
          <w:szCs w:val="21"/>
          <w:color w:val="231F20"/>
        </w:rPr>
        <w:t>Unitil meets its external financing needs, in part, by issuing short-term and long-term debt. The majority of debt outstanding represents long-term notes bearing fixed rates of interest. Changes in market interest rates do not affect interest expense resulting from these outstanding long-term debt securities. However, the Company periodically repays its short-term debt borrowings through the issuance of new long-term debt securities. Changes in market interest rates may affect the interest rate and corresponding interest expense on any new issuances of long-term debt securities. In addition, short-term debt borrowings bear a variable rate of interest. As a result, changes in short-term interest rates will increase or decrease interest expense in future periods. For example, if the average amount of short-term debt outstanding was $25 million for the period of one year, a change in interest rates of 1% would result in a change in annual interest expense of approximately $250,000. The average interest rate on short-term borrowings and intercompany money pool transactions was 5.4%, 6.5%, and 6.4% during 2025, 2024, and 2023, respectively.</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231F20"/>
        </w:rPr>
        <w:t>COMMODITY PRICE RISK</w:t>
      </w:r>
    </w:p>
    <w:p>
      <w:pPr>
        <w:spacing w:after="0" w:line="118" w:lineRule="exact"/>
        <w:rPr>
          <w:sz w:val="20"/>
          <w:szCs w:val="20"/>
          <w:color w:val="auto"/>
        </w:rPr>
      </w:pPr>
    </w:p>
    <w:p>
      <w:pPr>
        <w:ind w:right="100" w:firstLine="619"/>
        <w:spacing w:after="0" w:line="247" w:lineRule="auto"/>
        <w:rPr>
          <w:sz w:val="20"/>
          <w:szCs w:val="20"/>
          <w:color w:val="auto"/>
        </w:rPr>
      </w:pPr>
      <w:r>
        <w:rPr>
          <w:rFonts w:ascii="Times New Roman" w:cs="Times New Roman" w:eastAsia="Times New Roman" w:hAnsi="Times New Roman"/>
          <w:sz w:val="21"/>
          <w:szCs w:val="21"/>
          <w:color w:val="231F20"/>
        </w:rPr>
        <w:t xml:space="preserve">Although Unitil’s five distribution utilities are subject to commodity price risk as part of their traditional operations, the current regulatory framework within which these companies operate allows for full collection of electric power and natural gas supply costs in rates on a pass-through basis. Consequently, there is limited commodity price risk after consideration of the related rate-making. Additionally, as discussed in the section entitled </w:t>
      </w:r>
      <w:r>
        <w:rPr>
          <w:rFonts w:ascii="Times New Roman" w:cs="Times New Roman" w:eastAsia="Times New Roman" w:hAnsi="Times New Roman"/>
          <w:sz w:val="21"/>
          <w:szCs w:val="21"/>
          <w:i w:val="1"/>
          <w:iCs w:val="1"/>
          <w:color w:val="231F20"/>
        </w:rPr>
        <w:t>Rates and Regulation</w:t>
      </w:r>
      <w:r>
        <w:rPr>
          <w:rFonts w:ascii="Times New Roman" w:cs="Times New Roman" w:eastAsia="Times New Roman" w:hAnsi="Times New Roman"/>
          <w:sz w:val="21"/>
          <w:szCs w:val="21"/>
          <w:color w:val="231F20"/>
        </w:rPr>
        <w:t xml:space="preserve"> in Part I, Item 1 (Business) and in Note 8 (Commitments and Contingencies) to the accompanying Consolidated Financial Statements, the Company has divested its long-term power supply contracts and therefore, further reduced its exposure to commodity risk.</w:t>
      </w:r>
    </w:p>
    <w:p>
      <w:pPr>
        <w:sectPr>
          <w:pgSz w:w="12240" w:h="15840" w:orient="portrait"/>
          <w:cols w:equalWidth="0" w:num="1">
            <w:col w:w="10780"/>
          </w:cols>
          <w:pgMar w:left="720" w:top="929" w:right="74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36</w:t>
      </w:r>
    </w:p>
    <w:p>
      <w:pPr>
        <w:sectPr>
          <w:pgSz w:w="12240" w:h="15840" w:orient="portrait"/>
          <w:cols w:equalWidth="0" w:num="1">
            <w:col w:w="10780"/>
          </w:cols>
          <w:pgMar w:left="720" w:top="929" w:right="740" w:bottom="188"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1"/>
          <w:szCs w:val="21"/>
          <w:b w:val="1"/>
          <w:bCs w:val="1"/>
          <w:color w:val="231F20"/>
        </w:rPr>
        <w:t>Item 8. Financial Statements and Supplementary Data</w:t>
      </w:r>
    </w:p>
    <w:p>
      <w:pPr>
        <w:spacing w:after="0" w:line="24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1"/>
          <w:szCs w:val="21"/>
          <w:b w:val="1"/>
          <w:bCs w:val="1"/>
          <w:color w:val="231F20"/>
        </w:rPr>
        <w:t>REPORT OF INDEPENDENT REGISTERED PUBLIC ACCOUNTING FIRM</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231F20"/>
        </w:rPr>
        <w:t>To the shareholders and the Board of Directors of Unitil Corporation:</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Opinions on the Financial Statements and Internal Control over Financial Reporting</w:t>
      </w:r>
    </w:p>
    <w:p>
      <w:pPr>
        <w:spacing w:after="0" w:line="27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21"/>
          <w:szCs w:val="21"/>
          <w:color w:val="231F20"/>
        </w:rPr>
        <w:t>We have audited the accompanying consolidated balance sheets of Unitil Corporation and subsidiaries (the "Company") as of December 31, 2025 and 2024, the related consolidated statements of earnings, changes in common stock equity, and cash flows, for each of the three years in the period ended December 31, 2025, and the related notes (collectively referred to as the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117"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21"/>
          <w:szCs w:val="21"/>
          <w:color w:val="231F20"/>
        </w:rPr>
        <w:t>In our opinion, the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COSO.</w:t>
      </w:r>
    </w:p>
    <w:p>
      <w:pPr>
        <w:spacing w:after="0" w:line="1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1"/>
          <w:szCs w:val="21"/>
          <w:color w:val="231F20"/>
        </w:rPr>
        <w:t>As described in Management’s Report on Internal Control over Financial Reporting, management excluded from its assessment the internal control over financial reporting at Maine Natural Gas Corporation, which was acquired on October 31, 2025, and whose financial statements constitute approximately 4.9% and 1.5%, respectively, of the Company's consolidated total assets and revenues as of and for the year ended December 31, 2025. Accordingly, our audit of internal control over financial reporting did not include the internal control over financial reporting at Maine Natural Gas Corporation.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Basis for Opinions</w:t>
      </w:r>
    </w:p>
    <w:p>
      <w:pPr>
        <w:spacing w:after="0" w:line="18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1"/>
          <w:szCs w:val="21"/>
          <w:color w:val="231F20"/>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21"/>
          <w:szCs w:val="21"/>
          <w:color w:val="231F20"/>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1"/>
          <w:szCs w:val="21"/>
          <w:color w:val="231F20"/>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Definition and Limitations of Internal Control over Financial Reporting</w:t>
      </w:r>
    </w:p>
    <w:p>
      <w:pPr>
        <w:spacing w:after="0" w:line="181" w:lineRule="exact"/>
        <w:rPr>
          <w:sz w:val="20"/>
          <w:szCs w:val="20"/>
          <w:color w:val="auto"/>
        </w:rPr>
      </w:pPr>
    </w:p>
    <w:p>
      <w:pPr>
        <w:ind w:right="220"/>
        <w:spacing w:after="0" w:line="296" w:lineRule="auto"/>
        <w:rPr>
          <w:sz w:val="20"/>
          <w:szCs w:val="20"/>
          <w:color w:val="auto"/>
        </w:rPr>
      </w:pPr>
      <w:r>
        <w:rPr>
          <w:rFonts w:ascii="Times New Roman" w:cs="Times New Roman" w:eastAsia="Times New Roman" w:hAnsi="Times New Roman"/>
          <w:sz w:val="21"/>
          <w:szCs w:val="21"/>
          <w:color w:val="231F20"/>
        </w:rPr>
        <w:t>A company’s internal control over financial reporting is a process designed to provide reasonable assurance regarding the reliability of financial reporting and the preparation of financial statements for external purposes in accordance with generally</w:t>
      </w:r>
    </w:p>
    <w:p>
      <w:pPr>
        <w:sectPr>
          <w:pgSz w:w="12240" w:h="15840" w:orient="portrait"/>
          <w:cols w:equalWidth="0" w:num="1">
            <w:col w:w="10800"/>
          </w:cols>
          <w:pgMar w:left="720" w:top="925" w:right="720" w:bottom="188" w:gutter="0" w:footer="0" w:header="0"/>
        </w:sect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37</w:t>
      </w:r>
    </w:p>
    <w:p>
      <w:pPr>
        <w:sectPr>
          <w:pgSz w:w="12240" w:h="15840" w:orient="portrait"/>
          <w:cols w:equalWidth="0" w:num="1">
            <w:col w:w="10800"/>
          </w:cols>
          <w:pgMar w:left="720" w:top="925" w:right="720" w:bottom="188" w:gutter="0" w:footer="0" w:header="0"/>
          <w:type w:val="continuous"/>
        </w:sectPr>
      </w:pPr>
    </w:p>
    <w:bookmarkStart w:id="57" w:name="page58"/>
    <w:bookmarkEnd w:id="57"/>
    <w:p>
      <w:pPr>
        <w:ind w:right="60"/>
        <w:spacing w:after="0" w:line="263" w:lineRule="auto"/>
        <w:rPr>
          <w:sz w:val="20"/>
          <w:szCs w:val="20"/>
          <w:color w:val="auto"/>
        </w:rPr>
      </w:pPr>
      <w:r>
        <w:rPr>
          <w:rFonts w:ascii="Times New Roman" w:cs="Times New Roman" w:eastAsia="Times New Roman" w:hAnsi="Times New Roman"/>
          <w:sz w:val="21"/>
          <w:szCs w:val="21"/>
          <w:color w:val="231F20"/>
        </w:rPr>
        <w:t>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6" w:lineRule="exact"/>
        <w:rPr>
          <w:sz w:val="20"/>
          <w:szCs w:val="20"/>
          <w:color w:val="auto"/>
        </w:rPr>
      </w:pPr>
    </w:p>
    <w:p>
      <w:pPr>
        <w:jc w:val="both"/>
        <w:ind w:right="500"/>
        <w:spacing w:after="0" w:line="276" w:lineRule="auto"/>
        <w:rPr>
          <w:sz w:val="20"/>
          <w:szCs w:val="20"/>
          <w:color w:val="auto"/>
        </w:rPr>
      </w:pPr>
      <w:r>
        <w:rPr>
          <w:rFonts w:ascii="Times New Roman" w:cs="Times New Roman" w:eastAsia="Times New Roman" w:hAnsi="Times New Roman"/>
          <w:sz w:val="21"/>
          <w:szCs w:val="21"/>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Critical Audit Matter</w:t>
      </w:r>
    </w:p>
    <w:p>
      <w:pPr>
        <w:spacing w:after="0" w:line="18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21"/>
          <w:szCs w:val="21"/>
          <w:color w:val="231F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9" w:lineRule="exact"/>
        <w:rPr>
          <w:sz w:val="20"/>
          <w:szCs w:val="20"/>
          <w:color w:val="auto"/>
        </w:rPr>
      </w:pPr>
    </w:p>
    <w:p>
      <w:pPr>
        <w:ind w:right="800"/>
        <w:spacing w:after="0" w:line="294" w:lineRule="auto"/>
        <w:rPr>
          <w:sz w:val="20"/>
          <w:szCs w:val="20"/>
          <w:color w:val="auto"/>
        </w:rPr>
      </w:pPr>
      <w:r>
        <w:rPr>
          <w:rFonts w:ascii="Times New Roman" w:cs="Times New Roman" w:eastAsia="Times New Roman" w:hAnsi="Times New Roman"/>
          <w:sz w:val="21"/>
          <w:szCs w:val="21"/>
          <w:b w:val="1"/>
          <w:bCs w:val="1"/>
          <w:i w:val="1"/>
          <w:iCs w:val="1"/>
          <w:color w:val="231F20"/>
        </w:rPr>
        <w:t>Impact of Rate-Regulation on Various Account Balances and Disclosures — Refer to Notes 1 and 8 to the financial statements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231F20"/>
        </w:rPr>
        <w:t>Critical Audit Matter Description</w:t>
      </w:r>
    </w:p>
    <w:p>
      <w:pPr>
        <w:spacing w:after="0" w:line="17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1"/>
          <w:szCs w:val="21"/>
          <w:color w:val="231F20"/>
        </w:rPr>
        <w:t>The Company’s principal business is the distribution of electricity and natural gas and is subject to regulation by the Massachusetts, New Hampshire and Maine Public Service Commissions as well as the Federal Energy Regulatory Commission (collectively, the “Commissions”). Accordingly, the Company accounts for their regulated operations in accordance with Financial Accounting Standards Board Accounting Standards Codification Topic 980, Regulated Operations, and has recorded Regulatory Assets and Regulatory Liabilities which will be recovered from customers, or applied for customer benefit, in accordance with rate provisions approved by the applicable Commission. The Company believes it is probable that its regulated distribution and transmission utilities will recover their investments in long-lived assets, including regulatory assets. If the Company, or a portion of its assets or operations, were to cease meeting the criteria for application of these accounting rules, immediate recognition of any previously deferred costs, or a portion of deferred costs, would be required in the year in which the criteria are no longer met. In the Company’s opinion, its regulated operations will be subject to the FASB Codification provisions for Regulated Operations for the foreseeable future.</w:t>
      </w:r>
    </w:p>
    <w:p>
      <w:pPr>
        <w:spacing w:after="0" w:line="125"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1"/>
          <w:szCs w:val="21"/>
          <w:color w:val="231F20"/>
        </w:rPr>
        <w:t>Accounting for the economics of rate regulation affects multiple financial statement line items, including property, plant, and equipment; regulatory assets and liabilities; operating revenues; and depreciation expense, and affects multiple disclosures in the Company’s financial statements. While the Company has indicated that it expects to recover costs and a return on its investments, there is a risk that the Commissions’ will not approve full recovery of the costs of providing utility service or recovery of all amounts invested in the utility business and a reasonable return on that investment. As a result, we identified the impact of rate regulation as a critical audit matter due to the high degree of subjectivity involved in assessing the impact of current and future regulatory orders on events that have occurred as of December 31, 2025, and the judgments made by management to support its assertions about impacted account balances and disclosures. Management judgments included assessing the likelihood of (1) recovery in future rates of incurred costs or (2) refunds to customers or future reduction in rates. Given that management’s accounting judgments are based on assumptions about the outcome of future decisions by the Commissions, auditing these judgments require specialized knowledge of accounting for rate regulation and the rate setting process due to its inherent complexities.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231F20"/>
        </w:rPr>
        <w:t>How the Critical Audit Matter Was Addressed in the Audit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231F20"/>
        </w:rPr>
        <w:t>Our audit procedures related to the uncertainty of future decisions by the Commissions included the following, among others:</w:t>
      </w:r>
    </w:p>
    <w:p>
      <w:pPr>
        <w:sectPr>
          <w:pgSz w:w="12240" w:h="15840" w:orient="portrait"/>
          <w:cols w:equalWidth="0" w:num="1">
            <w:col w:w="10800"/>
          </w:cols>
          <w:pgMar w:left="720" w:top="929" w:right="72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38</w:t>
      </w:r>
    </w:p>
    <w:p>
      <w:pPr>
        <w:sectPr>
          <w:pgSz w:w="12240" w:h="15840" w:orient="portrait"/>
          <w:cols w:equalWidth="0" w:num="1">
            <w:col w:w="10800"/>
          </w:cols>
          <w:pgMar w:left="720" w:top="929" w:right="720" w:bottom="188" w:gutter="0" w:footer="0" w:header="0"/>
          <w:type w:val="continuous"/>
        </w:sectPr>
      </w:pPr>
    </w:p>
    <w:bookmarkStart w:id="58" w:name="page59"/>
    <w:bookmarkEnd w:id="58"/>
    <w:p>
      <w:pPr>
        <w:ind w:left="720" w:hanging="360"/>
        <w:spacing w:after="0" w:line="259" w:lineRule="auto"/>
        <w:tabs>
          <w:tab w:leader="none" w:pos="720" w:val="left"/>
        </w:tabs>
        <w:numPr>
          <w:ilvl w:val="0"/>
          <w:numId w:val="20"/>
        </w:numPr>
        <w:rPr>
          <w:rFonts w:ascii="Arial" w:cs="Arial" w:eastAsia="Arial" w:hAnsi="Arial"/>
          <w:sz w:val="21"/>
          <w:szCs w:val="21"/>
          <w:color w:val="231F20"/>
        </w:rPr>
      </w:pPr>
      <w:r>
        <w:rPr>
          <w:rFonts w:ascii="Times New Roman" w:cs="Times New Roman" w:eastAsia="Times New Roman" w:hAnsi="Times New Roman"/>
          <w:sz w:val="21"/>
          <w:szCs w:val="21"/>
          <w:color w:val="231F20"/>
        </w:rPr>
        <w:t>We tested the effectiveness of controls over the relevant regulatory account balances and disclosures, including management’s controls over the monitoring and evaluation of regulatory developments that may affect the likelihood of recovering costs in future rates or of a future reduction in rates.</w:t>
      </w:r>
    </w:p>
    <w:p>
      <w:pPr>
        <w:spacing w:after="0" w:line="76" w:lineRule="exact"/>
        <w:rPr>
          <w:rFonts w:ascii="Arial" w:cs="Arial" w:eastAsia="Arial" w:hAnsi="Arial"/>
          <w:sz w:val="21"/>
          <w:szCs w:val="21"/>
          <w:color w:val="231F20"/>
        </w:rPr>
      </w:pPr>
    </w:p>
    <w:p>
      <w:pPr>
        <w:ind w:left="720" w:right="140" w:hanging="360"/>
        <w:spacing w:after="0" w:line="278" w:lineRule="auto"/>
        <w:tabs>
          <w:tab w:leader="none" w:pos="720" w:val="left"/>
        </w:tabs>
        <w:numPr>
          <w:ilvl w:val="0"/>
          <w:numId w:val="20"/>
        </w:numPr>
        <w:rPr>
          <w:rFonts w:ascii="Arial" w:cs="Arial" w:eastAsia="Arial" w:hAnsi="Arial"/>
          <w:sz w:val="21"/>
          <w:szCs w:val="21"/>
          <w:color w:val="231F20"/>
        </w:rPr>
      </w:pPr>
      <w:r>
        <w:rPr>
          <w:rFonts w:ascii="Times New Roman" w:cs="Times New Roman" w:eastAsia="Times New Roman" w:hAnsi="Times New Roman"/>
          <w:sz w:val="21"/>
          <w:szCs w:val="21"/>
          <w:color w:val="231F20"/>
        </w:rPr>
        <w:t>We evaluated the Company’s disclosures related to the impacts of rate regulation, including the balances recorded and regulatory developments.</w:t>
      </w:r>
    </w:p>
    <w:p>
      <w:pPr>
        <w:spacing w:after="0" w:line="57" w:lineRule="exact"/>
        <w:rPr>
          <w:rFonts w:ascii="Arial" w:cs="Arial" w:eastAsia="Arial" w:hAnsi="Arial"/>
          <w:sz w:val="21"/>
          <w:szCs w:val="21"/>
          <w:color w:val="231F20"/>
        </w:rPr>
      </w:pPr>
    </w:p>
    <w:p>
      <w:pPr>
        <w:ind w:left="720" w:right="20" w:hanging="360"/>
        <w:spacing w:after="0" w:line="247" w:lineRule="auto"/>
        <w:tabs>
          <w:tab w:leader="none" w:pos="720" w:val="left"/>
        </w:tabs>
        <w:numPr>
          <w:ilvl w:val="0"/>
          <w:numId w:val="20"/>
        </w:numPr>
        <w:rPr>
          <w:rFonts w:ascii="Arial" w:cs="Arial" w:eastAsia="Arial" w:hAnsi="Arial"/>
          <w:sz w:val="21"/>
          <w:szCs w:val="21"/>
          <w:color w:val="231F20"/>
        </w:rPr>
      </w:pPr>
      <w:r>
        <w:rPr>
          <w:rFonts w:ascii="Times New Roman" w:cs="Times New Roman" w:eastAsia="Times New Roman" w:hAnsi="Times New Roman"/>
          <w:sz w:val="21"/>
          <w:szCs w:val="21"/>
          <w:color w:val="231F20"/>
        </w:rPr>
        <w:t>We made inquiries of management and read relevant regulatory orders and settlements issued by the Commissions in Massachusetts, New Hampshire and Maine, regulatory statutes, interpretations, procedural memorandums, filings made by interveners or the Company, and other publicly available information to assess the likelihood of recovery in future rates or of a future reduction in rates based on precedents of the Commissions’ treatment of similar costs under similar circumstances. We evaluated this external information and compared to management’s recorded regulatory asset and liability balances and searched for any evidence that might contradict management’s assertions.</w:t>
      </w:r>
    </w:p>
    <w:p>
      <w:pPr>
        <w:spacing w:after="0" w:line="91" w:lineRule="exact"/>
        <w:rPr>
          <w:rFonts w:ascii="Arial" w:cs="Arial" w:eastAsia="Arial" w:hAnsi="Arial"/>
          <w:sz w:val="21"/>
          <w:szCs w:val="21"/>
          <w:color w:val="231F20"/>
        </w:rPr>
      </w:pPr>
    </w:p>
    <w:p>
      <w:pPr>
        <w:ind w:left="720" w:right="60" w:hanging="360"/>
        <w:spacing w:after="0" w:line="259" w:lineRule="auto"/>
        <w:tabs>
          <w:tab w:leader="none" w:pos="720" w:val="left"/>
        </w:tabs>
        <w:numPr>
          <w:ilvl w:val="0"/>
          <w:numId w:val="20"/>
        </w:numPr>
        <w:rPr>
          <w:rFonts w:ascii="Arial" w:cs="Arial" w:eastAsia="Arial" w:hAnsi="Arial"/>
          <w:sz w:val="21"/>
          <w:szCs w:val="21"/>
          <w:color w:val="231F20"/>
        </w:rPr>
      </w:pPr>
      <w:r>
        <w:rPr>
          <w:rFonts w:ascii="Times New Roman" w:cs="Times New Roman" w:eastAsia="Times New Roman" w:hAnsi="Times New Roman"/>
          <w:sz w:val="21"/>
          <w:szCs w:val="21"/>
          <w:color w:val="231F20"/>
        </w:rPr>
        <w:t>We obtained an analysis from management describing the orders and filings that support management’s assertions regarding the probability of recovery for regulatory assets or refund or future reduction in rates for regulatory liabilities to assess management’s assertion that amounts are probable of recovery or a future reduction in rates.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231F20"/>
        </w:rPr>
        <w:t>/s/ Deloitte &amp; Touche LLP</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231F20"/>
        </w:rPr>
        <w:t>Boston, MA</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231F20"/>
        </w:rPr>
        <w:t>February 9, 2026</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231F20"/>
        </w:rPr>
        <w:t>We have served as the Company's auditor since 2014.</w:t>
      </w:r>
    </w:p>
    <w:p>
      <w:pPr>
        <w:sectPr>
          <w:pgSz w:w="12240" w:h="15840" w:orient="portrait"/>
          <w:cols w:equalWidth="0" w:num="1">
            <w:col w:w="10800"/>
          </w:cols>
          <w:pgMar w:left="720" w:top="944" w:right="72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39</w:t>
      </w:r>
    </w:p>
    <w:p>
      <w:pPr>
        <w:sectPr>
          <w:pgSz w:w="12240" w:h="15840" w:orient="portrait"/>
          <w:cols w:equalWidth="0" w:num="1">
            <w:col w:w="10800"/>
          </w:cols>
          <w:pgMar w:left="720" w:top="944" w:right="720" w:bottom="188"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1"/>
          <w:szCs w:val="21"/>
          <w:b w:val="1"/>
          <w:bCs w:val="1"/>
          <w:i w:val="1"/>
          <w:iCs w:val="1"/>
          <w:color w:val="231F20"/>
        </w:rPr>
        <w:t>CONSOLIDATED STATEMENTS OF EARNINGS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231F20"/>
        </w:rPr>
        <w:t>(Millions, except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06"/>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26"/>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06"/>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0" w:type="dxa"/>
            <w:vAlign w:val="bottom"/>
            <w:tcBorders>
              <w:top w:val="single" w:sz="8" w:color="231F20"/>
            </w:tcBorders>
            <w:shd w:val="clear" w:color="auto" w:fill="E6E7E8"/>
          </w:tcPr>
          <w:p>
            <w:pPr>
              <w:spacing w:after="0" w:line="204" w:lineRule="exact"/>
              <w:rPr>
                <w:sz w:val="20"/>
                <w:szCs w:val="20"/>
                <w:color w:val="auto"/>
              </w:rPr>
            </w:pPr>
            <w:r>
              <w:rPr>
                <w:rFonts w:ascii="Times New Roman" w:cs="Times New Roman" w:eastAsia="Times New Roman" w:hAnsi="Times New Roman"/>
                <w:sz w:val="19"/>
                <w:szCs w:val="19"/>
                <w:b w:val="1"/>
                <w:bCs w:val="1"/>
                <w:color w:val="231F20"/>
              </w:rPr>
              <w:t>Operating Revenues:</w:t>
            </w:r>
          </w:p>
        </w:tc>
        <w:tc>
          <w:tcPr>
            <w:tcW w:w="3620" w:type="dxa"/>
            <w:vAlign w:val="bottom"/>
            <w:tcBorders>
              <w:top w:val="single" w:sz="8" w:color="E6E7E8"/>
            </w:tcBorders>
            <w:shd w:val="clear" w:color="auto" w:fill="E6E7E8"/>
          </w:tcPr>
          <w:p>
            <w:pPr>
              <w:spacing w:after="0"/>
              <w:rPr>
                <w:sz w:val="17"/>
                <w:szCs w:val="17"/>
                <w:color w:val="auto"/>
              </w:rPr>
            </w:pPr>
          </w:p>
        </w:tc>
        <w:tc>
          <w:tcPr>
            <w:tcW w:w="860" w:type="dxa"/>
            <w:vAlign w:val="bottom"/>
            <w:tcBorders>
              <w:top w:val="single" w:sz="8" w:color="E6E7E8"/>
            </w:tcBorders>
            <w:shd w:val="clear" w:color="auto" w:fill="E6E7E8"/>
          </w:tcPr>
          <w:p>
            <w:pPr>
              <w:spacing w:after="0"/>
              <w:rPr>
                <w:sz w:val="17"/>
                <w:szCs w:val="17"/>
                <w:color w:val="auto"/>
              </w:rPr>
            </w:pPr>
          </w:p>
        </w:tc>
        <w:tc>
          <w:tcPr>
            <w:tcW w:w="300" w:type="dxa"/>
            <w:vAlign w:val="bottom"/>
            <w:tcBorders>
              <w:top w:val="single" w:sz="8" w:color="231F20"/>
            </w:tcBorders>
            <w:shd w:val="clear" w:color="auto" w:fill="E6E7E8"/>
          </w:tcPr>
          <w:p>
            <w:pPr>
              <w:spacing w:after="0"/>
              <w:rPr>
                <w:sz w:val="17"/>
                <w:szCs w:val="17"/>
                <w:color w:val="auto"/>
              </w:rPr>
            </w:pPr>
          </w:p>
        </w:tc>
        <w:tc>
          <w:tcPr>
            <w:tcW w:w="1020" w:type="dxa"/>
            <w:vAlign w:val="bottom"/>
            <w:tcBorders>
              <w:top w:val="single" w:sz="8" w:color="231F20"/>
            </w:tcBorders>
            <w:shd w:val="clear" w:color="auto" w:fill="E6E7E8"/>
          </w:tcPr>
          <w:p>
            <w:pPr>
              <w:spacing w:after="0"/>
              <w:rPr>
                <w:sz w:val="17"/>
                <w:szCs w:val="17"/>
                <w:color w:val="auto"/>
              </w:rPr>
            </w:pPr>
          </w:p>
        </w:tc>
        <w:tc>
          <w:tcPr>
            <w:tcW w:w="160" w:type="dxa"/>
            <w:vAlign w:val="bottom"/>
            <w:tcBorders>
              <w:top w:val="single" w:sz="8" w:color="E6E7E8"/>
            </w:tcBorders>
            <w:shd w:val="clear" w:color="auto" w:fill="E6E7E8"/>
          </w:tcPr>
          <w:p>
            <w:pPr>
              <w:spacing w:after="0"/>
              <w:rPr>
                <w:sz w:val="17"/>
                <w:szCs w:val="17"/>
                <w:color w:val="auto"/>
              </w:rPr>
            </w:pPr>
          </w:p>
        </w:tc>
        <w:tc>
          <w:tcPr>
            <w:tcW w:w="80" w:type="dxa"/>
            <w:vAlign w:val="bottom"/>
            <w:tcBorders>
              <w:top w:val="single" w:sz="8" w:color="E6E7E8"/>
            </w:tcBorders>
            <w:shd w:val="clear" w:color="auto" w:fill="E6E7E8"/>
          </w:tcPr>
          <w:p>
            <w:pPr>
              <w:spacing w:after="0"/>
              <w:rPr>
                <w:sz w:val="17"/>
                <w:szCs w:val="17"/>
                <w:color w:val="auto"/>
              </w:rPr>
            </w:pPr>
          </w:p>
        </w:tc>
        <w:tc>
          <w:tcPr>
            <w:tcW w:w="300" w:type="dxa"/>
            <w:vAlign w:val="bottom"/>
            <w:tcBorders>
              <w:top w:val="single" w:sz="8" w:color="231F20"/>
            </w:tcBorders>
            <w:shd w:val="clear" w:color="auto" w:fill="E6E7E8"/>
          </w:tcPr>
          <w:p>
            <w:pPr>
              <w:spacing w:after="0"/>
              <w:rPr>
                <w:sz w:val="17"/>
                <w:szCs w:val="17"/>
                <w:color w:val="auto"/>
              </w:rPr>
            </w:pPr>
          </w:p>
        </w:tc>
        <w:tc>
          <w:tcPr>
            <w:tcW w:w="1040" w:type="dxa"/>
            <w:vAlign w:val="bottom"/>
            <w:tcBorders>
              <w:top w:val="single" w:sz="8" w:color="231F20"/>
            </w:tcBorders>
            <w:shd w:val="clear" w:color="auto" w:fill="E6E7E8"/>
          </w:tcPr>
          <w:p>
            <w:pPr>
              <w:spacing w:after="0"/>
              <w:rPr>
                <w:sz w:val="17"/>
                <w:szCs w:val="17"/>
                <w:color w:val="auto"/>
              </w:rPr>
            </w:pPr>
          </w:p>
        </w:tc>
        <w:tc>
          <w:tcPr>
            <w:tcW w:w="240" w:type="dxa"/>
            <w:vAlign w:val="bottom"/>
            <w:tcBorders>
              <w:top w:val="single" w:sz="8" w:color="E6E7E8"/>
            </w:tcBorders>
            <w:shd w:val="clear" w:color="auto" w:fill="E6E7E8"/>
          </w:tcPr>
          <w:p>
            <w:pPr>
              <w:spacing w:after="0"/>
              <w:rPr>
                <w:sz w:val="17"/>
                <w:szCs w:val="17"/>
                <w:color w:val="auto"/>
              </w:rPr>
            </w:pPr>
          </w:p>
        </w:tc>
        <w:tc>
          <w:tcPr>
            <w:tcW w:w="300" w:type="dxa"/>
            <w:vAlign w:val="bottom"/>
            <w:tcBorders>
              <w:top w:val="single" w:sz="8" w:color="231F20"/>
            </w:tcBorders>
            <w:shd w:val="clear" w:color="auto" w:fill="E6E7E8"/>
          </w:tcPr>
          <w:p>
            <w:pPr>
              <w:spacing w:after="0"/>
              <w:rPr>
                <w:sz w:val="17"/>
                <w:szCs w:val="17"/>
                <w:color w:val="auto"/>
              </w:rPr>
            </w:pPr>
          </w:p>
        </w:tc>
        <w:tc>
          <w:tcPr>
            <w:tcW w:w="1020" w:type="dxa"/>
            <w:vAlign w:val="bottom"/>
            <w:tcBorders>
              <w:top w:val="single" w:sz="8" w:color="231F20"/>
            </w:tcBorders>
            <w:shd w:val="clear" w:color="auto" w:fill="E6E7E8"/>
          </w:tcPr>
          <w:p>
            <w:pPr>
              <w:spacing w:after="0"/>
              <w:rPr>
                <w:sz w:val="17"/>
                <w:szCs w:val="17"/>
                <w:color w:val="auto"/>
              </w:rPr>
            </w:pPr>
          </w:p>
        </w:tc>
        <w:tc>
          <w:tcPr>
            <w:tcW w:w="60" w:type="dxa"/>
            <w:vAlign w:val="bottom"/>
            <w:tcBorders>
              <w:top w:val="single" w:sz="8" w:color="E6E7E8"/>
            </w:tcBorders>
            <w:shd w:val="clear" w:color="auto" w:fill="E6E7E8"/>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42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Electric</w:t>
            </w:r>
          </w:p>
        </w:tc>
        <w:tc>
          <w:tcPr>
            <w:tcW w:w="860" w:type="dxa"/>
            <w:vAlign w:val="bottom"/>
          </w:tcPr>
          <w:p>
            <w:pPr>
              <w:spacing w:after="0"/>
              <w:rPr>
                <w:sz w:val="19"/>
                <w:szCs w:val="19"/>
                <w:color w:val="auto"/>
              </w:rPr>
            </w:pPr>
          </w:p>
        </w:tc>
        <w:tc>
          <w:tcPr>
            <w:tcW w:w="300" w:type="dxa"/>
            <w:vAlign w:val="bottom"/>
          </w:tcPr>
          <w:p>
            <w:pPr>
              <w:jc w:val="right"/>
              <w:ind w:right="105"/>
              <w:spacing w:after="0"/>
              <w:rPr>
                <w:sz w:val="20"/>
                <w:szCs w:val="20"/>
                <w:color w:val="auto"/>
              </w:rPr>
            </w:pPr>
            <w:r>
              <w:rPr>
                <w:rFonts w:ascii="Times New Roman" w:cs="Times New Roman" w:eastAsia="Times New Roman" w:hAnsi="Times New Roman"/>
                <w:sz w:val="19"/>
                <w:szCs w:val="19"/>
                <w:b w:val="1"/>
                <w:bCs w:val="1"/>
                <w:color w:val="231F20"/>
                <w:w w:val="8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236.4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231F20"/>
                <w:w w:val="8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248.3</w:t>
            </w:r>
          </w:p>
        </w:tc>
        <w:tc>
          <w:tcPr>
            <w:tcW w:w="24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231F20"/>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306.5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2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Gas</w:t>
            </w:r>
          </w:p>
        </w:tc>
        <w:tc>
          <w:tcPr>
            <w:tcW w:w="860" w:type="dxa"/>
            <w:vAlign w:val="bottom"/>
            <w:shd w:val="clear" w:color="auto" w:fill="E6E7E8"/>
          </w:tcPr>
          <w:p>
            <w:pPr>
              <w:spacing w:after="0"/>
              <w:rPr>
                <w:sz w:val="19"/>
                <w:szCs w:val="19"/>
                <w:color w:val="auto"/>
              </w:rPr>
            </w:pPr>
          </w:p>
        </w:tc>
        <w:tc>
          <w:tcPr>
            <w:tcW w:w="300" w:type="dxa"/>
            <w:vAlign w:val="bottom"/>
            <w:tcBorders>
              <w:bottom w:val="single" w:sz="8" w:color="231F20"/>
            </w:tcBorders>
            <w:shd w:val="clear" w:color="auto" w:fill="E6E7E8"/>
          </w:tcPr>
          <w:p>
            <w:pPr>
              <w:spacing w:after="0"/>
              <w:rPr>
                <w:sz w:val="19"/>
                <w:szCs w:val="19"/>
                <w:color w:val="auto"/>
              </w:rPr>
            </w:pPr>
          </w:p>
        </w:tc>
        <w:tc>
          <w:tcPr>
            <w:tcW w:w="10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299.6</w:t>
            </w:r>
          </w:p>
        </w:tc>
        <w:tc>
          <w:tcPr>
            <w:tcW w:w="160" w:type="dxa"/>
            <w:vAlign w:val="bottom"/>
            <w:shd w:val="clear" w:color="auto" w:fill="E6E7E8"/>
          </w:tcPr>
          <w:p>
            <w:pPr>
              <w:spacing w:after="0"/>
              <w:rPr>
                <w:sz w:val="19"/>
                <w:szCs w:val="19"/>
                <w:color w:val="auto"/>
              </w:rPr>
            </w:pPr>
          </w:p>
        </w:tc>
        <w:tc>
          <w:tcPr>
            <w:tcW w:w="80" w:type="dxa"/>
            <w:vAlign w:val="bottom"/>
            <w:shd w:val="clear" w:color="auto" w:fill="E6E7E8"/>
          </w:tcPr>
          <w:p>
            <w:pPr>
              <w:spacing w:after="0"/>
              <w:rPr>
                <w:sz w:val="19"/>
                <w:szCs w:val="19"/>
                <w:color w:val="auto"/>
              </w:rPr>
            </w:pPr>
          </w:p>
        </w:tc>
        <w:tc>
          <w:tcPr>
            <w:tcW w:w="300" w:type="dxa"/>
            <w:vAlign w:val="bottom"/>
            <w:tcBorders>
              <w:bottom w:val="single" w:sz="8" w:color="231F20"/>
            </w:tcBorders>
            <w:shd w:val="clear" w:color="auto" w:fill="E6E7E8"/>
          </w:tcPr>
          <w:p>
            <w:pPr>
              <w:spacing w:after="0"/>
              <w:rPr>
                <w:sz w:val="19"/>
                <w:szCs w:val="19"/>
                <w:color w:val="auto"/>
              </w:rPr>
            </w:pPr>
          </w:p>
        </w:tc>
        <w:tc>
          <w:tcPr>
            <w:tcW w:w="104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246.5</w:t>
            </w:r>
          </w:p>
        </w:tc>
        <w:tc>
          <w:tcPr>
            <w:tcW w:w="240" w:type="dxa"/>
            <w:vAlign w:val="bottom"/>
            <w:shd w:val="clear" w:color="auto" w:fill="E6E7E8"/>
          </w:tcPr>
          <w:p>
            <w:pPr>
              <w:spacing w:after="0"/>
              <w:rPr>
                <w:sz w:val="19"/>
                <w:szCs w:val="19"/>
                <w:color w:val="auto"/>
              </w:rPr>
            </w:pPr>
          </w:p>
        </w:tc>
        <w:tc>
          <w:tcPr>
            <w:tcW w:w="300" w:type="dxa"/>
            <w:vAlign w:val="bottom"/>
            <w:tcBorders>
              <w:bottom w:val="single" w:sz="8" w:color="231F20"/>
            </w:tcBorders>
            <w:shd w:val="clear" w:color="auto" w:fill="E6E7E8"/>
          </w:tcPr>
          <w:p>
            <w:pPr>
              <w:spacing w:after="0"/>
              <w:rPr>
                <w:sz w:val="19"/>
                <w:szCs w:val="19"/>
                <w:color w:val="auto"/>
              </w:rPr>
            </w:pPr>
          </w:p>
        </w:tc>
        <w:tc>
          <w:tcPr>
            <w:tcW w:w="10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250.6</w:t>
            </w:r>
          </w:p>
        </w:tc>
        <w:tc>
          <w:tcPr>
            <w:tcW w:w="60" w:type="dxa"/>
            <w:vAlign w:val="bottom"/>
            <w:shd w:val="clear" w:color="auto" w:fill="E6E7E8"/>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20" w:type="dxa"/>
            <w:vAlign w:val="bottom"/>
            <w:tcBorders>
              <w:bottom w:val="single" w:sz="8" w:color="E6E7E8"/>
            </w:tcBorders>
            <w:gridSpan w:val="2"/>
          </w:tcPr>
          <w:p>
            <w:pPr>
              <w:ind w:left="400"/>
              <w:spacing w:after="0" w:line="214" w:lineRule="exact"/>
              <w:rPr>
                <w:sz w:val="20"/>
                <w:szCs w:val="20"/>
                <w:color w:val="auto"/>
              </w:rPr>
            </w:pPr>
            <w:r>
              <w:rPr>
                <w:rFonts w:ascii="Times New Roman" w:cs="Times New Roman" w:eastAsia="Times New Roman" w:hAnsi="Times New Roman"/>
                <w:sz w:val="19"/>
                <w:szCs w:val="19"/>
                <w:color w:val="231F20"/>
              </w:rPr>
              <w:t>Total Operating Revenues</w:t>
            </w:r>
          </w:p>
        </w:tc>
        <w:tc>
          <w:tcPr>
            <w:tcW w:w="860" w:type="dxa"/>
            <w:vAlign w:val="bottom"/>
            <w:tcBorders>
              <w:bottom w:val="single" w:sz="8" w:color="E6E7E8"/>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102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536.0</w:t>
            </w:r>
          </w:p>
        </w:tc>
        <w:tc>
          <w:tcPr>
            <w:tcW w:w="160" w:type="dxa"/>
            <w:vAlign w:val="bottom"/>
            <w:tcBorders>
              <w:bottom w:val="single" w:sz="8" w:color="E6E7E8"/>
            </w:tcBorders>
          </w:tcPr>
          <w:p>
            <w:pPr>
              <w:spacing w:after="0"/>
              <w:rPr>
                <w:sz w:val="18"/>
                <w:szCs w:val="18"/>
                <w:color w:val="auto"/>
              </w:rPr>
            </w:pPr>
          </w:p>
        </w:tc>
        <w:tc>
          <w:tcPr>
            <w:tcW w:w="80" w:type="dxa"/>
            <w:vAlign w:val="bottom"/>
            <w:tcBorders>
              <w:bottom w:val="single" w:sz="8" w:color="E6E7E8"/>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104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494.8</w:t>
            </w:r>
          </w:p>
        </w:tc>
        <w:tc>
          <w:tcPr>
            <w:tcW w:w="240" w:type="dxa"/>
            <w:vAlign w:val="bottom"/>
            <w:tcBorders>
              <w:bottom w:val="single" w:sz="8" w:color="E6E7E8"/>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102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557.1</w:t>
            </w:r>
          </w:p>
        </w:tc>
        <w:tc>
          <w:tcPr>
            <w:tcW w:w="60" w:type="dxa"/>
            <w:vAlign w:val="bottom"/>
            <w:tcBorders>
              <w:bottom w:val="single" w:sz="8" w:color="E6E7E8"/>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20" w:type="dxa"/>
            <w:vAlign w:val="bottom"/>
            <w:gridSpan w:val="2"/>
            <w:shd w:val="clear" w:color="auto" w:fill="E6E7E8"/>
          </w:tcPr>
          <w:p>
            <w:pPr>
              <w:spacing w:after="0" w:line="214" w:lineRule="exact"/>
              <w:rPr>
                <w:sz w:val="20"/>
                <w:szCs w:val="20"/>
                <w:color w:val="auto"/>
              </w:rPr>
            </w:pPr>
            <w:r>
              <w:rPr>
                <w:rFonts w:ascii="Times New Roman" w:cs="Times New Roman" w:eastAsia="Times New Roman" w:hAnsi="Times New Roman"/>
                <w:sz w:val="19"/>
                <w:szCs w:val="19"/>
                <w:b w:val="1"/>
                <w:bCs w:val="1"/>
                <w:color w:val="231F20"/>
              </w:rPr>
              <w:t>Operating Expenses:</w:t>
            </w:r>
          </w:p>
        </w:tc>
        <w:tc>
          <w:tcPr>
            <w:tcW w:w="860" w:type="dxa"/>
            <w:vAlign w:val="bottom"/>
            <w:shd w:val="clear" w:color="auto" w:fill="E6E7E8"/>
          </w:tcPr>
          <w:p>
            <w:pPr>
              <w:spacing w:after="0"/>
              <w:rPr>
                <w:sz w:val="18"/>
                <w:szCs w:val="18"/>
                <w:color w:val="auto"/>
              </w:rPr>
            </w:pPr>
          </w:p>
        </w:tc>
        <w:tc>
          <w:tcPr>
            <w:tcW w:w="300" w:type="dxa"/>
            <w:vAlign w:val="bottom"/>
            <w:shd w:val="clear" w:color="auto" w:fill="E6E7E8"/>
          </w:tcPr>
          <w:p>
            <w:pPr>
              <w:spacing w:after="0"/>
              <w:rPr>
                <w:sz w:val="18"/>
                <w:szCs w:val="18"/>
                <w:color w:val="auto"/>
              </w:rPr>
            </w:pPr>
          </w:p>
        </w:tc>
        <w:tc>
          <w:tcPr>
            <w:tcW w:w="1020" w:type="dxa"/>
            <w:vAlign w:val="bottom"/>
            <w:shd w:val="clear" w:color="auto" w:fill="E6E7E8"/>
          </w:tcPr>
          <w:p>
            <w:pPr>
              <w:spacing w:after="0"/>
              <w:rPr>
                <w:sz w:val="18"/>
                <w:szCs w:val="18"/>
                <w:color w:val="auto"/>
              </w:rPr>
            </w:pPr>
          </w:p>
        </w:tc>
        <w:tc>
          <w:tcPr>
            <w:tcW w:w="160" w:type="dxa"/>
            <w:vAlign w:val="bottom"/>
            <w:shd w:val="clear" w:color="auto" w:fill="E6E7E8"/>
          </w:tcPr>
          <w:p>
            <w:pPr>
              <w:spacing w:after="0"/>
              <w:rPr>
                <w:sz w:val="18"/>
                <w:szCs w:val="18"/>
                <w:color w:val="auto"/>
              </w:rPr>
            </w:pPr>
          </w:p>
        </w:tc>
        <w:tc>
          <w:tcPr>
            <w:tcW w:w="80" w:type="dxa"/>
            <w:vAlign w:val="bottom"/>
            <w:shd w:val="clear" w:color="auto" w:fill="E6E7E8"/>
          </w:tcPr>
          <w:p>
            <w:pPr>
              <w:spacing w:after="0"/>
              <w:rPr>
                <w:sz w:val="18"/>
                <w:szCs w:val="18"/>
                <w:color w:val="auto"/>
              </w:rPr>
            </w:pPr>
          </w:p>
        </w:tc>
        <w:tc>
          <w:tcPr>
            <w:tcW w:w="300" w:type="dxa"/>
            <w:vAlign w:val="bottom"/>
            <w:shd w:val="clear" w:color="auto" w:fill="E6E7E8"/>
          </w:tcPr>
          <w:p>
            <w:pPr>
              <w:spacing w:after="0"/>
              <w:rPr>
                <w:sz w:val="18"/>
                <w:szCs w:val="18"/>
                <w:color w:val="auto"/>
              </w:rPr>
            </w:pPr>
          </w:p>
        </w:tc>
        <w:tc>
          <w:tcPr>
            <w:tcW w:w="1040" w:type="dxa"/>
            <w:vAlign w:val="bottom"/>
            <w:shd w:val="clear" w:color="auto" w:fill="E6E7E8"/>
          </w:tcPr>
          <w:p>
            <w:pPr>
              <w:spacing w:after="0"/>
              <w:rPr>
                <w:sz w:val="18"/>
                <w:szCs w:val="18"/>
                <w:color w:val="auto"/>
              </w:rPr>
            </w:pPr>
          </w:p>
        </w:tc>
        <w:tc>
          <w:tcPr>
            <w:tcW w:w="240" w:type="dxa"/>
            <w:vAlign w:val="bottom"/>
            <w:shd w:val="clear" w:color="auto" w:fill="E6E7E8"/>
          </w:tcPr>
          <w:p>
            <w:pPr>
              <w:spacing w:after="0"/>
              <w:rPr>
                <w:sz w:val="18"/>
                <w:szCs w:val="18"/>
                <w:color w:val="auto"/>
              </w:rPr>
            </w:pPr>
          </w:p>
        </w:tc>
        <w:tc>
          <w:tcPr>
            <w:tcW w:w="300" w:type="dxa"/>
            <w:vAlign w:val="bottom"/>
            <w:shd w:val="clear" w:color="auto" w:fill="E6E7E8"/>
          </w:tcPr>
          <w:p>
            <w:pPr>
              <w:spacing w:after="0"/>
              <w:rPr>
                <w:sz w:val="18"/>
                <w:szCs w:val="18"/>
                <w:color w:val="auto"/>
              </w:rPr>
            </w:pPr>
          </w:p>
        </w:tc>
        <w:tc>
          <w:tcPr>
            <w:tcW w:w="1020" w:type="dxa"/>
            <w:vAlign w:val="bottom"/>
            <w:shd w:val="clear" w:color="auto" w:fill="E6E7E8"/>
          </w:tcPr>
          <w:p>
            <w:pPr>
              <w:spacing w:after="0"/>
              <w:rPr>
                <w:sz w:val="18"/>
                <w:szCs w:val="18"/>
                <w:color w:val="auto"/>
              </w:rPr>
            </w:pPr>
          </w:p>
        </w:tc>
        <w:tc>
          <w:tcPr>
            <w:tcW w:w="60" w:type="dxa"/>
            <w:vAlign w:val="bottom"/>
            <w:shd w:val="clear" w:color="auto" w:fill="E6E7E8"/>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2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Cost of Electric Sales</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121.8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141.0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2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Cost of Gas Sales</w:t>
            </w:r>
          </w:p>
        </w:tc>
        <w:tc>
          <w:tcPr>
            <w:tcW w:w="860" w:type="dxa"/>
            <w:vAlign w:val="bottom"/>
            <w:shd w:val="clear" w:color="auto" w:fill="E6E7E8"/>
          </w:tcPr>
          <w:p>
            <w:pPr>
              <w:spacing w:after="0"/>
              <w:rPr>
                <w:sz w:val="19"/>
                <w:szCs w:val="19"/>
                <w:color w:val="auto"/>
              </w:rPr>
            </w:pPr>
          </w:p>
        </w:tc>
        <w:tc>
          <w:tcPr>
            <w:tcW w:w="300" w:type="dxa"/>
            <w:vAlign w:val="bottom"/>
            <w:shd w:val="clear" w:color="auto" w:fill="E6E7E8"/>
          </w:tcPr>
          <w:p>
            <w:pPr>
              <w:spacing w:after="0"/>
              <w:rPr>
                <w:sz w:val="19"/>
                <w:szCs w:val="19"/>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100.5</w:t>
            </w:r>
          </w:p>
        </w:tc>
        <w:tc>
          <w:tcPr>
            <w:tcW w:w="160" w:type="dxa"/>
            <w:vAlign w:val="bottom"/>
            <w:shd w:val="clear" w:color="auto" w:fill="E6E7E8"/>
          </w:tcPr>
          <w:p>
            <w:pPr>
              <w:spacing w:after="0"/>
              <w:rPr>
                <w:sz w:val="19"/>
                <w:szCs w:val="19"/>
                <w:color w:val="auto"/>
              </w:rPr>
            </w:pPr>
          </w:p>
        </w:tc>
        <w:tc>
          <w:tcPr>
            <w:tcW w:w="80" w:type="dxa"/>
            <w:vAlign w:val="bottom"/>
            <w:shd w:val="clear" w:color="auto" w:fill="E6E7E8"/>
          </w:tcPr>
          <w:p>
            <w:pPr>
              <w:spacing w:after="0"/>
              <w:rPr>
                <w:sz w:val="19"/>
                <w:szCs w:val="19"/>
                <w:color w:val="auto"/>
              </w:rPr>
            </w:pPr>
          </w:p>
        </w:tc>
        <w:tc>
          <w:tcPr>
            <w:tcW w:w="300" w:type="dxa"/>
            <w:vAlign w:val="bottom"/>
            <w:shd w:val="clear" w:color="auto" w:fill="E6E7E8"/>
          </w:tcPr>
          <w:p>
            <w:pPr>
              <w:spacing w:after="0"/>
              <w:rPr>
                <w:sz w:val="19"/>
                <w:szCs w:val="19"/>
                <w:color w:val="auto"/>
              </w:rPr>
            </w:pPr>
          </w:p>
        </w:tc>
        <w:tc>
          <w:tcPr>
            <w:tcW w:w="104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79.6</w:t>
            </w:r>
          </w:p>
        </w:tc>
        <w:tc>
          <w:tcPr>
            <w:tcW w:w="240" w:type="dxa"/>
            <w:vAlign w:val="bottom"/>
            <w:shd w:val="clear" w:color="auto" w:fill="E6E7E8"/>
          </w:tcPr>
          <w:p>
            <w:pPr>
              <w:spacing w:after="0"/>
              <w:rPr>
                <w:sz w:val="19"/>
                <w:szCs w:val="19"/>
                <w:color w:val="auto"/>
              </w:rPr>
            </w:pPr>
          </w:p>
        </w:tc>
        <w:tc>
          <w:tcPr>
            <w:tcW w:w="300" w:type="dxa"/>
            <w:vAlign w:val="bottom"/>
            <w:shd w:val="clear" w:color="auto" w:fill="E6E7E8"/>
          </w:tcPr>
          <w:p>
            <w:pPr>
              <w:spacing w:after="0"/>
              <w:rPr>
                <w:sz w:val="19"/>
                <w:szCs w:val="19"/>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96.1</w:t>
            </w:r>
          </w:p>
        </w:tc>
        <w:tc>
          <w:tcPr>
            <w:tcW w:w="60" w:type="dxa"/>
            <w:vAlign w:val="bottom"/>
            <w:shd w:val="clear" w:color="auto" w:fill="E6E7E8"/>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2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Operation and Maintenance</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92.5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77.6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2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Depreciation and Amortization</w:t>
            </w:r>
          </w:p>
        </w:tc>
        <w:tc>
          <w:tcPr>
            <w:tcW w:w="860" w:type="dxa"/>
            <w:vAlign w:val="bottom"/>
            <w:shd w:val="clear" w:color="auto" w:fill="E6E7E8"/>
          </w:tcPr>
          <w:p>
            <w:pPr>
              <w:spacing w:after="0"/>
              <w:rPr>
                <w:sz w:val="19"/>
                <w:szCs w:val="19"/>
                <w:color w:val="auto"/>
              </w:rPr>
            </w:pPr>
          </w:p>
        </w:tc>
        <w:tc>
          <w:tcPr>
            <w:tcW w:w="300" w:type="dxa"/>
            <w:vAlign w:val="bottom"/>
            <w:shd w:val="clear" w:color="auto" w:fill="E6E7E8"/>
          </w:tcPr>
          <w:p>
            <w:pPr>
              <w:spacing w:after="0"/>
              <w:rPr>
                <w:sz w:val="19"/>
                <w:szCs w:val="19"/>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88.7</w:t>
            </w:r>
          </w:p>
        </w:tc>
        <w:tc>
          <w:tcPr>
            <w:tcW w:w="160" w:type="dxa"/>
            <w:vAlign w:val="bottom"/>
            <w:shd w:val="clear" w:color="auto" w:fill="E6E7E8"/>
          </w:tcPr>
          <w:p>
            <w:pPr>
              <w:spacing w:after="0"/>
              <w:rPr>
                <w:sz w:val="19"/>
                <w:szCs w:val="19"/>
                <w:color w:val="auto"/>
              </w:rPr>
            </w:pPr>
          </w:p>
        </w:tc>
        <w:tc>
          <w:tcPr>
            <w:tcW w:w="80" w:type="dxa"/>
            <w:vAlign w:val="bottom"/>
            <w:shd w:val="clear" w:color="auto" w:fill="E6E7E8"/>
          </w:tcPr>
          <w:p>
            <w:pPr>
              <w:spacing w:after="0"/>
              <w:rPr>
                <w:sz w:val="19"/>
                <w:szCs w:val="19"/>
                <w:color w:val="auto"/>
              </w:rPr>
            </w:pPr>
          </w:p>
        </w:tc>
        <w:tc>
          <w:tcPr>
            <w:tcW w:w="300" w:type="dxa"/>
            <w:vAlign w:val="bottom"/>
            <w:shd w:val="clear" w:color="auto" w:fill="E6E7E8"/>
          </w:tcPr>
          <w:p>
            <w:pPr>
              <w:spacing w:after="0"/>
              <w:rPr>
                <w:sz w:val="19"/>
                <w:szCs w:val="19"/>
                <w:color w:val="auto"/>
              </w:rPr>
            </w:pPr>
          </w:p>
        </w:tc>
        <w:tc>
          <w:tcPr>
            <w:tcW w:w="104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76.1</w:t>
            </w:r>
          </w:p>
        </w:tc>
        <w:tc>
          <w:tcPr>
            <w:tcW w:w="240" w:type="dxa"/>
            <w:vAlign w:val="bottom"/>
            <w:shd w:val="clear" w:color="auto" w:fill="E6E7E8"/>
          </w:tcPr>
          <w:p>
            <w:pPr>
              <w:spacing w:after="0"/>
              <w:rPr>
                <w:sz w:val="19"/>
                <w:szCs w:val="19"/>
                <w:color w:val="auto"/>
              </w:rPr>
            </w:pPr>
          </w:p>
        </w:tc>
        <w:tc>
          <w:tcPr>
            <w:tcW w:w="300" w:type="dxa"/>
            <w:vAlign w:val="bottom"/>
            <w:shd w:val="clear" w:color="auto" w:fill="E6E7E8"/>
          </w:tcPr>
          <w:p>
            <w:pPr>
              <w:spacing w:after="0"/>
              <w:rPr>
                <w:sz w:val="19"/>
                <w:szCs w:val="19"/>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67.4</w:t>
            </w:r>
          </w:p>
        </w:tc>
        <w:tc>
          <w:tcPr>
            <w:tcW w:w="60" w:type="dxa"/>
            <w:vAlign w:val="bottom"/>
            <w:shd w:val="clear" w:color="auto" w:fill="E6E7E8"/>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420" w:type="dxa"/>
            <w:vAlign w:val="bottom"/>
            <w:tcBorders>
              <w:bottom w:val="single" w:sz="8" w:color="E6E7E8"/>
            </w:tcBorders>
            <w:gridSpan w:val="2"/>
          </w:tcPr>
          <w:p>
            <w:pPr>
              <w:ind w:left="200"/>
              <w:spacing w:after="0"/>
              <w:rPr>
                <w:sz w:val="20"/>
                <w:szCs w:val="20"/>
                <w:color w:val="auto"/>
              </w:rPr>
            </w:pPr>
            <w:r>
              <w:rPr>
                <w:rFonts w:ascii="Times New Roman" w:cs="Times New Roman" w:eastAsia="Times New Roman" w:hAnsi="Times New Roman"/>
                <w:sz w:val="19"/>
                <w:szCs w:val="19"/>
                <w:color w:val="231F20"/>
              </w:rPr>
              <w:t>Taxes Other Than Income Taxes</w:t>
            </w:r>
          </w:p>
        </w:tc>
        <w:tc>
          <w:tcPr>
            <w:tcW w:w="860" w:type="dxa"/>
            <w:vAlign w:val="bottom"/>
            <w:tcBorders>
              <w:bottom w:val="single" w:sz="8" w:color="E6E7E8"/>
            </w:tcBorders>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31.3</w:t>
            </w:r>
          </w:p>
        </w:tc>
        <w:tc>
          <w:tcPr>
            <w:tcW w:w="160" w:type="dxa"/>
            <w:vAlign w:val="bottom"/>
            <w:tcBorders>
              <w:bottom w:val="single" w:sz="8" w:color="E6E7E8"/>
            </w:tcBorders>
          </w:tcPr>
          <w:p>
            <w:pPr>
              <w:spacing w:after="0"/>
              <w:rPr>
                <w:sz w:val="19"/>
                <w:szCs w:val="19"/>
                <w:color w:val="auto"/>
              </w:rPr>
            </w:pPr>
          </w:p>
        </w:tc>
        <w:tc>
          <w:tcPr>
            <w:tcW w:w="80" w:type="dxa"/>
            <w:vAlign w:val="bottom"/>
            <w:tcBorders>
              <w:bottom w:val="single" w:sz="8" w:color="E6E7E8"/>
            </w:tcBorders>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29.9</w:t>
            </w:r>
          </w:p>
        </w:tc>
        <w:tc>
          <w:tcPr>
            <w:tcW w:w="240" w:type="dxa"/>
            <w:vAlign w:val="bottom"/>
            <w:tcBorders>
              <w:bottom w:val="single" w:sz="8" w:color="E6E7E8"/>
            </w:tcBorders>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28.5</w:t>
            </w:r>
          </w:p>
        </w:tc>
        <w:tc>
          <w:tcPr>
            <w:tcW w:w="60" w:type="dxa"/>
            <w:vAlign w:val="bottom"/>
            <w:tcBorders>
              <w:bottom w:val="single" w:sz="8" w:color="E6E7E8"/>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20" w:type="dxa"/>
            <w:vAlign w:val="bottom"/>
            <w:gridSpan w:val="2"/>
            <w:shd w:val="clear" w:color="auto" w:fill="E6E7E8"/>
          </w:tcPr>
          <w:p>
            <w:pPr>
              <w:ind w:left="400"/>
              <w:spacing w:after="0" w:line="214" w:lineRule="exact"/>
              <w:rPr>
                <w:sz w:val="20"/>
                <w:szCs w:val="20"/>
                <w:color w:val="auto"/>
              </w:rPr>
            </w:pPr>
            <w:r>
              <w:rPr>
                <w:rFonts w:ascii="Times New Roman" w:cs="Times New Roman" w:eastAsia="Times New Roman" w:hAnsi="Times New Roman"/>
                <w:sz w:val="19"/>
                <w:szCs w:val="19"/>
                <w:color w:val="231F20"/>
              </w:rPr>
              <w:t>Total Operating Expenses</w:t>
            </w:r>
          </w:p>
        </w:tc>
        <w:tc>
          <w:tcPr>
            <w:tcW w:w="860" w:type="dxa"/>
            <w:vAlign w:val="bottom"/>
            <w:shd w:val="clear" w:color="auto" w:fill="E6E7E8"/>
          </w:tcPr>
          <w:p>
            <w:pPr>
              <w:spacing w:after="0"/>
              <w:rPr>
                <w:sz w:val="18"/>
                <w:szCs w:val="18"/>
                <w:color w:val="auto"/>
              </w:rPr>
            </w:pPr>
          </w:p>
        </w:tc>
        <w:tc>
          <w:tcPr>
            <w:tcW w:w="300" w:type="dxa"/>
            <w:vAlign w:val="bottom"/>
            <w:tcBorders>
              <w:bottom w:val="single" w:sz="8" w:color="231F20"/>
            </w:tcBorders>
            <w:shd w:val="clear" w:color="auto" w:fill="E6E7E8"/>
          </w:tcPr>
          <w:p>
            <w:pPr>
              <w:spacing w:after="0"/>
              <w:rPr>
                <w:sz w:val="18"/>
                <w:szCs w:val="18"/>
                <w:color w:val="auto"/>
              </w:rPr>
            </w:pPr>
          </w:p>
        </w:tc>
        <w:tc>
          <w:tcPr>
            <w:tcW w:w="1020" w:type="dxa"/>
            <w:vAlign w:val="bottom"/>
            <w:tcBorders>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434.8</w:t>
            </w:r>
          </w:p>
        </w:tc>
        <w:tc>
          <w:tcPr>
            <w:tcW w:w="160" w:type="dxa"/>
            <w:vAlign w:val="bottom"/>
            <w:shd w:val="clear" w:color="auto" w:fill="E6E7E8"/>
          </w:tcPr>
          <w:p>
            <w:pPr>
              <w:spacing w:after="0"/>
              <w:rPr>
                <w:sz w:val="18"/>
                <w:szCs w:val="18"/>
                <w:color w:val="auto"/>
              </w:rPr>
            </w:pPr>
          </w:p>
        </w:tc>
        <w:tc>
          <w:tcPr>
            <w:tcW w:w="80" w:type="dxa"/>
            <w:vAlign w:val="bottom"/>
            <w:shd w:val="clear" w:color="auto" w:fill="E6E7E8"/>
          </w:tcPr>
          <w:p>
            <w:pPr>
              <w:spacing w:after="0"/>
              <w:rPr>
                <w:sz w:val="18"/>
                <w:szCs w:val="18"/>
                <w:color w:val="auto"/>
              </w:rPr>
            </w:pPr>
          </w:p>
        </w:tc>
        <w:tc>
          <w:tcPr>
            <w:tcW w:w="300" w:type="dxa"/>
            <w:vAlign w:val="bottom"/>
            <w:tcBorders>
              <w:bottom w:val="single" w:sz="8" w:color="231F20"/>
            </w:tcBorders>
            <w:shd w:val="clear" w:color="auto" w:fill="E6E7E8"/>
          </w:tcPr>
          <w:p>
            <w:pPr>
              <w:spacing w:after="0"/>
              <w:rPr>
                <w:sz w:val="18"/>
                <w:szCs w:val="18"/>
                <w:color w:val="auto"/>
              </w:rPr>
            </w:pPr>
          </w:p>
        </w:tc>
        <w:tc>
          <w:tcPr>
            <w:tcW w:w="1040" w:type="dxa"/>
            <w:vAlign w:val="bottom"/>
            <w:tcBorders>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404.2</w:t>
            </w:r>
          </w:p>
        </w:tc>
        <w:tc>
          <w:tcPr>
            <w:tcW w:w="240" w:type="dxa"/>
            <w:vAlign w:val="bottom"/>
            <w:shd w:val="clear" w:color="auto" w:fill="E6E7E8"/>
          </w:tcPr>
          <w:p>
            <w:pPr>
              <w:spacing w:after="0"/>
              <w:rPr>
                <w:sz w:val="18"/>
                <w:szCs w:val="18"/>
                <w:color w:val="auto"/>
              </w:rPr>
            </w:pPr>
          </w:p>
        </w:tc>
        <w:tc>
          <w:tcPr>
            <w:tcW w:w="300" w:type="dxa"/>
            <w:vAlign w:val="bottom"/>
            <w:tcBorders>
              <w:bottom w:val="single" w:sz="8" w:color="231F20"/>
            </w:tcBorders>
            <w:shd w:val="clear" w:color="auto" w:fill="E6E7E8"/>
          </w:tcPr>
          <w:p>
            <w:pPr>
              <w:spacing w:after="0"/>
              <w:rPr>
                <w:sz w:val="18"/>
                <w:szCs w:val="18"/>
                <w:color w:val="auto"/>
              </w:rPr>
            </w:pPr>
          </w:p>
        </w:tc>
        <w:tc>
          <w:tcPr>
            <w:tcW w:w="1020" w:type="dxa"/>
            <w:vAlign w:val="bottom"/>
            <w:tcBorders>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470.0</w:t>
            </w:r>
          </w:p>
        </w:tc>
        <w:tc>
          <w:tcPr>
            <w:tcW w:w="60" w:type="dxa"/>
            <w:vAlign w:val="bottom"/>
            <w:shd w:val="clear" w:color="auto" w:fill="E6E7E8"/>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20" w:type="dxa"/>
            <w:vAlign w:val="bottom"/>
            <w:gridSpan w:val="2"/>
          </w:tcPr>
          <w:p>
            <w:pPr>
              <w:spacing w:after="0" w:line="214" w:lineRule="exact"/>
              <w:rPr>
                <w:sz w:val="20"/>
                <w:szCs w:val="20"/>
                <w:color w:val="auto"/>
              </w:rPr>
            </w:pPr>
            <w:r>
              <w:rPr>
                <w:rFonts w:ascii="Times New Roman" w:cs="Times New Roman" w:eastAsia="Times New Roman" w:hAnsi="Times New Roman"/>
                <w:sz w:val="19"/>
                <w:szCs w:val="19"/>
                <w:b w:val="1"/>
                <w:bCs w:val="1"/>
                <w:color w:val="231F20"/>
              </w:rPr>
              <w:t>Operating Income</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101.2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rPr>
              <w:t>90.6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rPr>
              <w:t>87.1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2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Interest Expense, Net</w:t>
            </w:r>
          </w:p>
        </w:tc>
        <w:tc>
          <w:tcPr>
            <w:tcW w:w="860" w:type="dxa"/>
            <w:vAlign w:val="bottom"/>
            <w:shd w:val="clear" w:color="auto" w:fill="E6E7E8"/>
          </w:tcPr>
          <w:p>
            <w:pPr>
              <w:spacing w:after="0"/>
              <w:rPr>
                <w:sz w:val="19"/>
                <w:szCs w:val="19"/>
                <w:color w:val="auto"/>
              </w:rPr>
            </w:pPr>
          </w:p>
        </w:tc>
        <w:tc>
          <w:tcPr>
            <w:tcW w:w="300" w:type="dxa"/>
            <w:vAlign w:val="bottom"/>
            <w:shd w:val="clear" w:color="auto" w:fill="E6E7E8"/>
          </w:tcPr>
          <w:p>
            <w:pPr>
              <w:spacing w:after="0"/>
              <w:rPr>
                <w:sz w:val="19"/>
                <w:szCs w:val="19"/>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36.7</w:t>
            </w:r>
          </w:p>
        </w:tc>
        <w:tc>
          <w:tcPr>
            <w:tcW w:w="160" w:type="dxa"/>
            <w:vAlign w:val="bottom"/>
            <w:shd w:val="clear" w:color="auto" w:fill="E6E7E8"/>
          </w:tcPr>
          <w:p>
            <w:pPr>
              <w:spacing w:after="0"/>
              <w:rPr>
                <w:sz w:val="19"/>
                <w:szCs w:val="19"/>
                <w:color w:val="auto"/>
              </w:rPr>
            </w:pPr>
          </w:p>
        </w:tc>
        <w:tc>
          <w:tcPr>
            <w:tcW w:w="80" w:type="dxa"/>
            <w:vAlign w:val="bottom"/>
            <w:shd w:val="clear" w:color="auto" w:fill="E6E7E8"/>
          </w:tcPr>
          <w:p>
            <w:pPr>
              <w:spacing w:after="0"/>
              <w:rPr>
                <w:sz w:val="19"/>
                <w:szCs w:val="19"/>
                <w:color w:val="auto"/>
              </w:rPr>
            </w:pPr>
          </w:p>
        </w:tc>
        <w:tc>
          <w:tcPr>
            <w:tcW w:w="300" w:type="dxa"/>
            <w:vAlign w:val="bottom"/>
            <w:shd w:val="clear" w:color="auto" w:fill="E6E7E8"/>
          </w:tcPr>
          <w:p>
            <w:pPr>
              <w:spacing w:after="0"/>
              <w:rPr>
                <w:sz w:val="19"/>
                <w:szCs w:val="19"/>
                <w:color w:val="auto"/>
              </w:rPr>
            </w:pPr>
          </w:p>
        </w:tc>
        <w:tc>
          <w:tcPr>
            <w:tcW w:w="104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29.3</w:t>
            </w:r>
          </w:p>
        </w:tc>
        <w:tc>
          <w:tcPr>
            <w:tcW w:w="240" w:type="dxa"/>
            <w:vAlign w:val="bottom"/>
            <w:shd w:val="clear" w:color="auto" w:fill="E6E7E8"/>
          </w:tcPr>
          <w:p>
            <w:pPr>
              <w:spacing w:after="0"/>
              <w:rPr>
                <w:sz w:val="19"/>
                <w:szCs w:val="19"/>
                <w:color w:val="auto"/>
              </w:rPr>
            </w:pPr>
          </w:p>
        </w:tc>
        <w:tc>
          <w:tcPr>
            <w:tcW w:w="300" w:type="dxa"/>
            <w:vAlign w:val="bottom"/>
            <w:shd w:val="clear" w:color="auto" w:fill="E6E7E8"/>
          </w:tcPr>
          <w:p>
            <w:pPr>
              <w:spacing w:after="0"/>
              <w:rPr>
                <w:sz w:val="19"/>
                <w:szCs w:val="19"/>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28.7</w:t>
            </w:r>
          </w:p>
        </w:tc>
        <w:tc>
          <w:tcPr>
            <w:tcW w:w="60" w:type="dxa"/>
            <w:vAlign w:val="bottom"/>
            <w:shd w:val="clear" w:color="auto" w:fill="E6E7E8"/>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2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Other Expense (Income), Net</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b w:val="1"/>
                <w:bCs w:val="1"/>
                <w:color w:val="231F20"/>
              </w:rPr>
              <w:t>(1.0)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20" w:type="dxa"/>
            <w:vAlign w:val="bottom"/>
            <w:tcBorders>
              <w:top w:val="single" w:sz="8" w:color="E6E7E8"/>
            </w:tcBorders>
            <w:gridSpan w:val="2"/>
            <w:shd w:val="clear" w:color="auto" w:fill="E6E7E8"/>
          </w:tcPr>
          <w:p>
            <w:pPr>
              <w:spacing w:after="0" w:line="214" w:lineRule="exact"/>
              <w:rPr>
                <w:sz w:val="20"/>
                <w:szCs w:val="20"/>
                <w:color w:val="auto"/>
              </w:rPr>
            </w:pPr>
            <w:r>
              <w:rPr>
                <w:rFonts w:ascii="Times New Roman" w:cs="Times New Roman" w:eastAsia="Times New Roman" w:hAnsi="Times New Roman"/>
                <w:sz w:val="19"/>
                <w:szCs w:val="19"/>
                <w:b w:val="1"/>
                <w:bCs w:val="1"/>
                <w:color w:val="231F20"/>
              </w:rPr>
              <w:t>Income Before Income Taxes</w:t>
            </w:r>
          </w:p>
        </w:tc>
        <w:tc>
          <w:tcPr>
            <w:tcW w:w="860" w:type="dxa"/>
            <w:vAlign w:val="bottom"/>
            <w:tcBorders>
              <w:top w:val="single" w:sz="8" w:color="E6E7E8"/>
            </w:tcBorders>
            <w:shd w:val="clear" w:color="auto" w:fill="E6E7E8"/>
          </w:tcPr>
          <w:p>
            <w:pPr>
              <w:spacing w:after="0"/>
              <w:rPr>
                <w:sz w:val="18"/>
                <w:szCs w:val="18"/>
                <w:color w:val="auto"/>
              </w:rPr>
            </w:pPr>
          </w:p>
        </w:tc>
        <w:tc>
          <w:tcPr>
            <w:tcW w:w="300" w:type="dxa"/>
            <w:vAlign w:val="bottom"/>
            <w:tcBorders>
              <w:top w:val="single" w:sz="8" w:color="231F20"/>
            </w:tcBorders>
            <w:shd w:val="clear" w:color="auto" w:fill="E6E7E8"/>
          </w:tcPr>
          <w:p>
            <w:pPr>
              <w:spacing w:after="0"/>
              <w:rPr>
                <w:sz w:val="18"/>
                <w:szCs w:val="18"/>
                <w:color w:val="auto"/>
              </w:rPr>
            </w:pPr>
          </w:p>
        </w:tc>
        <w:tc>
          <w:tcPr>
            <w:tcW w:w="1020" w:type="dxa"/>
            <w:vAlign w:val="bottom"/>
            <w:tcBorders>
              <w:top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65.5</w:t>
            </w:r>
          </w:p>
        </w:tc>
        <w:tc>
          <w:tcPr>
            <w:tcW w:w="160" w:type="dxa"/>
            <w:vAlign w:val="bottom"/>
            <w:tcBorders>
              <w:top w:val="single" w:sz="8" w:color="E6E7E8"/>
            </w:tcBorders>
            <w:shd w:val="clear" w:color="auto" w:fill="E6E7E8"/>
          </w:tcPr>
          <w:p>
            <w:pPr>
              <w:spacing w:after="0"/>
              <w:rPr>
                <w:sz w:val="18"/>
                <w:szCs w:val="18"/>
                <w:color w:val="auto"/>
              </w:rPr>
            </w:pPr>
          </w:p>
        </w:tc>
        <w:tc>
          <w:tcPr>
            <w:tcW w:w="80" w:type="dxa"/>
            <w:vAlign w:val="bottom"/>
            <w:tcBorders>
              <w:top w:val="single" w:sz="8" w:color="E6E7E8"/>
            </w:tcBorders>
            <w:shd w:val="clear" w:color="auto" w:fill="E6E7E8"/>
          </w:tcPr>
          <w:p>
            <w:pPr>
              <w:spacing w:after="0"/>
              <w:rPr>
                <w:sz w:val="18"/>
                <w:szCs w:val="18"/>
                <w:color w:val="auto"/>
              </w:rPr>
            </w:pPr>
          </w:p>
        </w:tc>
        <w:tc>
          <w:tcPr>
            <w:tcW w:w="300" w:type="dxa"/>
            <w:vAlign w:val="bottom"/>
            <w:tcBorders>
              <w:top w:val="single" w:sz="8" w:color="231F20"/>
            </w:tcBorders>
            <w:shd w:val="clear" w:color="auto" w:fill="E6E7E8"/>
          </w:tcPr>
          <w:p>
            <w:pPr>
              <w:spacing w:after="0"/>
              <w:rPr>
                <w:sz w:val="18"/>
                <w:szCs w:val="18"/>
                <w:color w:val="auto"/>
              </w:rPr>
            </w:pPr>
          </w:p>
        </w:tc>
        <w:tc>
          <w:tcPr>
            <w:tcW w:w="1040" w:type="dxa"/>
            <w:vAlign w:val="bottom"/>
            <w:tcBorders>
              <w:top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61.1</w:t>
            </w:r>
          </w:p>
        </w:tc>
        <w:tc>
          <w:tcPr>
            <w:tcW w:w="240" w:type="dxa"/>
            <w:vAlign w:val="bottom"/>
            <w:tcBorders>
              <w:top w:val="single" w:sz="8" w:color="E6E7E8"/>
            </w:tcBorders>
            <w:shd w:val="clear" w:color="auto" w:fill="E6E7E8"/>
          </w:tcPr>
          <w:p>
            <w:pPr>
              <w:spacing w:after="0"/>
              <w:rPr>
                <w:sz w:val="18"/>
                <w:szCs w:val="18"/>
                <w:color w:val="auto"/>
              </w:rPr>
            </w:pPr>
          </w:p>
        </w:tc>
        <w:tc>
          <w:tcPr>
            <w:tcW w:w="300" w:type="dxa"/>
            <w:vAlign w:val="bottom"/>
            <w:tcBorders>
              <w:top w:val="single" w:sz="8" w:color="231F20"/>
            </w:tcBorders>
            <w:shd w:val="clear" w:color="auto" w:fill="E6E7E8"/>
          </w:tcPr>
          <w:p>
            <w:pPr>
              <w:spacing w:after="0"/>
              <w:rPr>
                <w:sz w:val="18"/>
                <w:szCs w:val="18"/>
                <w:color w:val="auto"/>
              </w:rPr>
            </w:pPr>
          </w:p>
        </w:tc>
        <w:tc>
          <w:tcPr>
            <w:tcW w:w="1020" w:type="dxa"/>
            <w:vAlign w:val="bottom"/>
            <w:tcBorders>
              <w:top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58.4</w:t>
            </w:r>
          </w:p>
        </w:tc>
        <w:tc>
          <w:tcPr>
            <w:tcW w:w="60" w:type="dxa"/>
            <w:vAlign w:val="bottom"/>
            <w:tcBorders>
              <w:top w:val="single" w:sz="8" w:color="E6E7E8"/>
            </w:tcBorders>
            <w:shd w:val="clear" w:color="auto" w:fill="E6E7E8"/>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20" w:type="dxa"/>
            <w:vAlign w:val="bottom"/>
            <w:tcBorders>
              <w:bottom w:val="single" w:sz="8" w:color="E6E7E8"/>
            </w:tcBorders>
            <w:gridSpan w:val="2"/>
          </w:tcPr>
          <w:p>
            <w:pPr>
              <w:ind w:left="200"/>
              <w:spacing w:after="0"/>
              <w:rPr>
                <w:sz w:val="20"/>
                <w:szCs w:val="20"/>
                <w:color w:val="auto"/>
              </w:rPr>
            </w:pPr>
            <w:r>
              <w:rPr>
                <w:rFonts w:ascii="Times New Roman" w:cs="Times New Roman" w:eastAsia="Times New Roman" w:hAnsi="Times New Roman"/>
                <w:sz w:val="19"/>
                <w:szCs w:val="19"/>
                <w:color w:val="231F20"/>
              </w:rPr>
              <w:t>Provision for Income Taxes</w:t>
            </w:r>
          </w:p>
        </w:tc>
        <w:tc>
          <w:tcPr>
            <w:tcW w:w="860" w:type="dxa"/>
            <w:vAlign w:val="bottom"/>
            <w:tcBorders>
              <w:bottom w:val="single" w:sz="8" w:color="E6E7E8"/>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15.3</w:t>
            </w:r>
          </w:p>
        </w:tc>
        <w:tc>
          <w:tcPr>
            <w:tcW w:w="160" w:type="dxa"/>
            <w:vAlign w:val="bottom"/>
            <w:tcBorders>
              <w:bottom w:val="single" w:sz="8" w:color="E6E7E8"/>
            </w:tcBorders>
          </w:tcPr>
          <w:p>
            <w:pPr>
              <w:spacing w:after="0"/>
              <w:rPr>
                <w:sz w:val="18"/>
                <w:szCs w:val="18"/>
                <w:color w:val="auto"/>
              </w:rPr>
            </w:pPr>
          </w:p>
        </w:tc>
        <w:tc>
          <w:tcPr>
            <w:tcW w:w="80" w:type="dxa"/>
            <w:vAlign w:val="bottom"/>
            <w:tcBorders>
              <w:bottom w:val="single" w:sz="8" w:color="E6E7E8"/>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14.0</w:t>
            </w:r>
          </w:p>
        </w:tc>
        <w:tc>
          <w:tcPr>
            <w:tcW w:w="240" w:type="dxa"/>
            <w:vAlign w:val="bottom"/>
            <w:tcBorders>
              <w:bottom w:val="single" w:sz="8" w:color="E6E7E8"/>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13.2</w:t>
            </w:r>
          </w:p>
        </w:tc>
        <w:tc>
          <w:tcPr>
            <w:tcW w:w="60" w:type="dxa"/>
            <w:vAlign w:val="bottom"/>
            <w:tcBorders>
              <w:bottom w:val="single" w:sz="8" w:color="E6E7E8"/>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420" w:type="dxa"/>
            <w:vAlign w:val="bottom"/>
            <w:tcBorders>
              <w:bottom w:val="single" w:sz="8" w:color="E6E7E8"/>
            </w:tcBorders>
            <w:gridSpan w:val="2"/>
            <w:shd w:val="clear" w:color="auto" w:fill="E6E7E8"/>
          </w:tcPr>
          <w:p>
            <w:pPr>
              <w:spacing w:after="0" w:line="214" w:lineRule="exact"/>
              <w:rPr>
                <w:sz w:val="20"/>
                <w:szCs w:val="20"/>
                <w:color w:val="auto"/>
              </w:rPr>
            </w:pPr>
            <w:r>
              <w:rPr>
                <w:rFonts w:ascii="Times New Roman" w:cs="Times New Roman" w:eastAsia="Times New Roman" w:hAnsi="Times New Roman"/>
                <w:sz w:val="19"/>
                <w:szCs w:val="19"/>
                <w:b w:val="1"/>
                <w:bCs w:val="1"/>
                <w:color w:val="231F20"/>
              </w:rPr>
              <w:t>Net Income Applicable to Common Shares</w:t>
            </w:r>
          </w:p>
        </w:tc>
        <w:tc>
          <w:tcPr>
            <w:tcW w:w="860" w:type="dxa"/>
            <w:vAlign w:val="bottom"/>
            <w:tcBorders>
              <w:bottom w:val="single" w:sz="8" w:color="E6E7E8"/>
            </w:tcBorders>
            <w:shd w:val="clear" w:color="auto" w:fill="E6E7E8"/>
          </w:tcPr>
          <w:p>
            <w:pPr>
              <w:spacing w:after="0"/>
              <w:rPr>
                <w:sz w:val="20"/>
                <w:szCs w:val="20"/>
                <w:color w:val="auto"/>
              </w:rPr>
            </w:pPr>
          </w:p>
        </w:tc>
        <w:tc>
          <w:tcPr>
            <w:tcW w:w="300" w:type="dxa"/>
            <w:vAlign w:val="bottom"/>
            <w:tcBorders>
              <w:bottom w:val="single" w:sz="8" w:color="231F20"/>
            </w:tcBorders>
            <w:shd w:val="clear" w:color="auto" w:fill="E6E7E8"/>
          </w:tcPr>
          <w:p>
            <w:pPr>
              <w:jc w:val="right"/>
              <w:ind w:right="105"/>
              <w:spacing w:after="0" w:line="214" w:lineRule="exact"/>
              <w:rPr>
                <w:sz w:val="20"/>
                <w:szCs w:val="20"/>
                <w:color w:val="auto"/>
              </w:rPr>
            </w:pPr>
            <w:r>
              <w:rPr>
                <w:rFonts w:ascii="Times New Roman" w:cs="Times New Roman" w:eastAsia="Times New Roman" w:hAnsi="Times New Roman"/>
                <w:sz w:val="19"/>
                <w:szCs w:val="19"/>
                <w:b w:val="1"/>
                <w:bCs w:val="1"/>
                <w:color w:val="231F20"/>
                <w:w w:val="83"/>
              </w:rPr>
              <w:t>$</w:t>
            </w:r>
          </w:p>
        </w:tc>
        <w:tc>
          <w:tcPr>
            <w:tcW w:w="1020" w:type="dxa"/>
            <w:vAlign w:val="bottom"/>
            <w:tcBorders>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50.2</w:t>
            </w:r>
          </w:p>
        </w:tc>
        <w:tc>
          <w:tcPr>
            <w:tcW w:w="160" w:type="dxa"/>
            <w:vAlign w:val="bottom"/>
            <w:tcBorders>
              <w:bottom w:val="single" w:sz="8" w:color="E6E7E8"/>
            </w:tcBorders>
            <w:shd w:val="clear" w:color="auto" w:fill="E6E7E8"/>
          </w:tcPr>
          <w:p>
            <w:pPr>
              <w:spacing w:after="0"/>
              <w:rPr>
                <w:sz w:val="20"/>
                <w:szCs w:val="20"/>
                <w:color w:val="auto"/>
              </w:rPr>
            </w:pPr>
          </w:p>
        </w:tc>
        <w:tc>
          <w:tcPr>
            <w:tcW w:w="80" w:type="dxa"/>
            <w:vAlign w:val="bottom"/>
            <w:tcBorders>
              <w:bottom w:val="single" w:sz="8" w:color="E6E7E8"/>
            </w:tcBorders>
            <w:shd w:val="clear" w:color="auto" w:fill="E6E7E8"/>
          </w:tcPr>
          <w:p>
            <w:pPr>
              <w:spacing w:after="0"/>
              <w:rPr>
                <w:sz w:val="20"/>
                <w:szCs w:val="20"/>
                <w:color w:val="auto"/>
              </w:rPr>
            </w:pPr>
          </w:p>
        </w:tc>
        <w:tc>
          <w:tcPr>
            <w:tcW w:w="300" w:type="dxa"/>
            <w:vAlign w:val="bottom"/>
            <w:tcBorders>
              <w:bottom w:val="single" w:sz="8" w:color="231F20"/>
            </w:tcBorders>
            <w:shd w:val="clear" w:color="auto" w:fill="E6E7E8"/>
          </w:tcPr>
          <w:p>
            <w:pPr>
              <w:jc w:val="right"/>
              <w:ind w:right="105"/>
              <w:spacing w:after="0" w:line="214" w:lineRule="exact"/>
              <w:rPr>
                <w:sz w:val="20"/>
                <w:szCs w:val="20"/>
                <w:color w:val="auto"/>
              </w:rPr>
            </w:pPr>
            <w:r>
              <w:rPr>
                <w:rFonts w:ascii="Times New Roman" w:cs="Times New Roman" w:eastAsia="Times New Roman" w:hAnsi="Times New Roman"/>
                <w:sz w:val="19"/>
                <w:szCs w:val="19"/>
                <w:color w:val="231F20"/>
                <w:w w:val="83"/>
              </w:rPr>
              <w:t>$</w:t>
            </w:r>
          </w:p>
        </w:tc>
        <w:tc>
          <w:tcPr>
            <w:tcW w:w="1040" w:type="dxa"/>
            <w:vAlign w:val="bottom"/>
            <w:tcBorders>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47.1</w:t>
            </w:r>
          </w:p>
        </w:tc>
        <w:tc>
          <w:tcPr>
            <w:tcW w:w="240" w:type="dxa"/>
            <w:vAlign w:val="bottom"/>
            <w:tcBorders>
              <w:bottom w:val="single" w:sz="8" w:color="E6E7E8"/>
            </w:tcBorders>
            <w:shd w:val="clear" w:color="auto" w:fill="E6E7E8"/>
          </w:tcPr>
          <w:p>
            <w:pPr>
              <w:spacing w:after="0"/>
              <w:rPr>
                <w:sz w:val="20"/>
                <w:szCs w:val="20"/>
                <w:color w:val="auto"/>
              </w:rPr>
            </w:pPr>
          </w:p>
        </w:tc>
        <w:tc>
          <w:tcPr>
            <w:tcW w:w="300" w:type="dxa"/>
            <w:vAlign w:val="bottom"/>
            <w:tcBorders>
              <w:bottom w:val="single" w:sz="8" w:color="231F20"/>
            </w:tcBorders>
            <w:shd w:val="clear" w:color="auto" w:fill="E6E7E8"/>
          </w:tcPr>
          <w:p>
            <w:pPr>
              <w:jc w:val="right"/>
              <w:ind w:right="136"/>
              <w:spacing w:after="0"/>
              <w:rPr>
                <w:sz w:val="20"/>
                <w:szCs w:val="20"/>
                <w:color w:val="auto"/>
              </w:rPr>
            </w:pPr>
            <w:r>
              <w:rPr>
                <w:rFonts w:ascii="Times New Roman" w:cs="Times New Roman" w:eastAsia="Times New Roman" w:hAnsi="Times New Roman"/>
                <w:sz w:val="17"/>
                <w:szCs w:val="17"/>
                <w:color w:val="231F20"/>
                <w:w w:val="70"/>
              </w:rPr>
              <w:t>$</w:t>
            </w:r>
          </w:p>
        </w:tc>
        <w:tc>
          <w:tcPr>
            <w:tcW w:w="1020" w:type="dxa"/>
            <w:vAlign w:val="bottom"/>
            <w:tcBorders>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45.2</w:t>
            </w:r>
          </w:p>
        </w:tc>
        <w:tc>
          <w:tcPr>
            <w:tcW w:w="60" w:type="dxa"/>
            <w:vAlign w:val="bottom"/>
            <w:tcBorders>
              <w:bottom w:val="single" w:sz="8" w:color="E6E7E8"/>
            </w:tcBorders>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231F20"/>
              </w:rPr>
              <w:t>Earnings per Common Share—Basic and Diluted</w:t>
            </w:r>
          </w:p>
        </w:tc>
        <w:tc>
          <w:tcPr>
            <w:tcW w:w="860" w:type="dxa"/>
            <w:vAlign w:val="bottom"/>
            <w:vMerge w:val="restart"/>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42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300" w:type="dxa"/>
            <w:vAlign w:val="bottom"/>
          </w:tcPr>
          <w:p>
            <w:pPr>
              <w:jc w:val="right"/>
              <w:ind w:right="105"/>
              <w:spacing w:after="0" w:line="183" w:lineRule="exact"/>
              <w:rPr>
                <w:sz w:val="20"/>
                <w:szCs w:val="20"/>
                <w:color w:val="auto"/>
              </w:rPr>
            </w:pPr>
            <w:r>
              <w:rPr>
                <w:rFonts w:ascii="Times New Roman" w:cs="Times New Roman" w:eastAsia="Times New Roman" w:hAnsi="Times New Roman"/>
                <w:sz w:val="19"/>
                <w:szCs w:val="19"/>
                <w:b w:val="1"/>
                <w:bCs w:val="1"/>
                <w:color w:val="231F20"/>
                <w:w w:val="83"/>
              </w:rPr>
              <w:t>$</w:t>
            </w:r>
          </w:p>
        </w:tc>
        <w:tc>
          <w:tcPr>
            <w:tcW w:w="1020" w:type="dxa"/>
            <w:vAlign w:val="bottom"/>
          </w:tcPr>
          <w:p>
            <w:pPr>
              <w:jc w:val="right"/>
              <w:spacing w:after="0" w:line="183" w:lineRule="exact"/>
              <w:rPr>
                <w:sz w:val="20"/>
                <w:szCs w:val="20"/>
                <w:color w:val="auto"/>
              </w:rPr>
            </w:pPr>
            <w:r>
              <w:rPr>
                <w:rFonts w:ascii="Times New Roman" w:cs="Times New Roman" w:eastAsia="Times New Roman" w:hAnsi="Times New Roman"/>
                <w:sz w:val="19"/>
                <w:szCs w:val="19"/>
                <w:b w:val="1"/>
                <w:bCs w:val="1"/>
                <w:color w:val="231F20"/>
              </w:rPr>
              <w:t>2.97</w:t>
            </w:r>
          </w:p>
        </w:tc>
        <w:tc>
          <w:tcPr>
            <w:tcW w:w="16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300" w:type="dxa"/>
            <w:vAlign w:val="bottom"/>
          </w:tcPr>
          <w:p>
            <w:pPr>
              <w:jc w:val="right"/>
              <w:ind w:right="105"/>
              <w:spacing w:after="0" w:line="183" w:lineRule="exact"/>
              <w:rPr>
                <w:sz w:val="20"/>
                <w:szCs w:val="20"/>
                <w:color w:val="auto"/>
              </w:rPr>
            </w:pPr>
            <w:r>
              <w:rPr>
                <w:rFonts w:ascii="Times New Roman" w:cs="Times New Roman" w:eastAsia="Times New Roman" w:hAnsi="Times New Roman"/>
                <w:sz w:val="19"/>
                <w:szCs w:val="19"/>
                <w:color w:val="231F20"/>
                <w:w w:val="83"/>
              </w:rPr>
              <w:t>$</w:t>
            </w:r>
          </w:p>
        </w:tc>
        <w:tc>
          <w:tcPr>
            <w:tcW w:w="1040" w:type="dxa"/>
            <w:vAlign w:val="bottom"/>
          </w:tcPr>
          <w:p>
            <w:pPr>
              <w:jc w:val="right"/>
              <w:spacing w:after="0" w:line="183" w:lineRule="exact"/>
              <w:rPr>
                <w:sz w:val="20"/>
                <w:szCs w:val="20"/>
                <w:color w:val="auto"/>
              </w:rPr>
            </w:pPr>
            <w:r>
              <w:rPr>
                <w:rFonts w:ascii="Times New Roman" w:cs="Times New Roman" w:eastAsia="Times New Roman" w:hAnsi="Times New Roman"/>
                <w:sz w:val="19"/>
                <w:szCs w:val="19"/>
                <w:color w:val="231F20"/>
              </w:rPr>
              <w:t>2.93</w:t>
            </w:r>
          </w:p>
        </w:tc>
        <w:tc>
          <w:tcPr>
            <w:tcW w:w="240" w:type="dxa"/>
            <w:vAlign w:val="bottom"/>
            <w:vMerge w:val="continue"/>
          </w:tcPr>
          <w:p>
            <w:pPr>
              <w:spacing w:after="0"/>
              <w:rPr>
                <w:sz w:val="15"/>
                <w:szCs w:val="15"/>
                <w:color w:val="auto"/>
              </w:rPr>
            </w:pPr>
          </w:p>
        </w:tc>
        <w:tc>
          <w:tcPr>
            <w:tcW w:w="300" w:type="dxa"/>
            <w:vAlign w:val="bottom"/>
          </w:tcPr>
          <w:p>
            <w:pPr>
              <w:jc w:val="right"/>
              <w:ind w:right="136"/>
              <w:spacing w:after="0" w:line="184" w:lineRule="exact"/>
              <w:rPr>
                <w:sz w:val="20"/>
                <w:szCs w:val="20"/>
                <w:color w:val="auto"/>
              </w:rPr>
            </w:pPr>
            <w:r>
              <w:rPr>
                <w:rFonts w:ascii="Times New Roman" w:cs="Times New Roman" w:eastAsia="Times New Roman" w:hAnsi="Times New Roman"/>
                <w:sz w:val="17"/>
                <w:szCs w:val="17"/>
                <w:color w:val="231F20"/>
                <w:w w:val="70"/>
              </w:rPr>
              <w:t>$</w:t>
            </w:r>
          </w:p>
        </w:tc>
        <w:tc>
          <w:tcPr>
            <w:tcW w:w="1020" w:type="dxa"/>
            <w:vAlign w:val="bottom"/>
          </w:tcPr>
          <w:p>
            <w:pPr>
              <w:jc w:val="right"/>
              <w:spacing w:after="0" w:line="183" w:lineRule="exact"/>
              <w:rPr>
                <w:sz w:val="20"/>
                <w:szCs w:val="20"/>
                <w:color w:val="auto"/>
              </w:rPr>
            </w:pPr>
            <w:r>
              <w:rPr>
                <w:rFonts w:ascii="Times New Roman" w:cs="Times New Roman" w:eastAsia="Times New Roman" w:hAnsi="Times New Roman"/>
                <w:sz w:val="19"/>
                <w:szCs w:val="19"/>
                <w:color w:val="231F20"/>
              </w:rPr>
              <w:t>2.82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42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19"/>
                <w:szCs w:val="19"/>
                <w:color w:val="231F20"/>
              </w:rPr>
              <w:t>Weighted Average Common Shares Outstanding - (Basic)</w:t>
            </w:r>
          </w:p>
        </w:tc>
        <w:tc>
          <w:tcPr>
            <w:tcW w:w="860" w:type="dxa"/>
            <w:vAlign w:val="bottom"/>
            <w:shd w:val="clear" w:color="auto" w:fill="E6E7E8"/>
          </w:tcPr>
          <w:p>
            <w:pPr>
              <w:spacing w:after="0"/>
              <w:rPr>
                <w:sz w:val="19"/>
                <w:szCs w:val="19"/>
                <w:color w:val="auto"/>
              </w:rPr>
            </w:pPr>
          </w:p>
        </w:tc>
        <w:tc>
          <w:tcPr>
            <w:tcW w:w="300" w:type="dxa"/>
            <w:vAlign w:val="bottom"/>
            <w:shd w:val="clear" w:color="auto" w:fill="E6E7E8"/>
          </w:tcPr>
          <w:p>
            <w:pPr>
              <w:spacing w:after="0"/>
              <w:rPr>
                <w:sz w:val="19"/>
                <w:szCs w:val="19"/>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16.8</w:t>
            </w:r>
          </w:p>
        </w:tc>
        <w:tc>
          <w:tcPr>
            <w:tcW w:w="160" w:type="dxa"/>
            <w:vAlign w:val="bottom"/>
            <w:shd w:val="clear" w:color="auto" w:fill="E6E7E8"/>
          </w:tcPr>
          <w:p>
            <w:pPr>
              <w:spacing w:after="0"/>
              <w:rPr>
                <w:sz w:val="19"/>
                <w:szCs w:val="19"/>
                <w:color w:val="auto"/>
              </w:rPr>
            </w:pPr>
          </w:p>
        </w:tc>
        <w:tc>
          <w:tcPr>
            <w:tcW w:w="80" w:type="dxa"/>
            <w:vAlign w:val="bottom"/>
            <w:shd w:val="clear" w:color="auto" w:fill="E6E7E8"/>
          </w:tcPr>
          <w:p>
            <w:pPr>
              <w:spacing w:after="0"/>
              <w:rPr>
                <w:sz w:val="19"/>
                <w:szCs w:val="19"/>
                <w:color w:val="auto"/>
              </w:rPr>
            </w:pPr>
          </w:p>
        </w:tc>
        <w:tc>
          <w:tcPr>
            <w:tcW w:w="300" w:type="dxa"/>
            <w:vAlign w:val="bottom"/>
            <w:shd w:val="clear" w:color="auto" w:fill="E6E7E8"/>
          </w:tcPr>
          <w:p>
            <w:pPr>
              <w:spacing w:after="0"/>
              <w:rPr>
                <w:sz w:val="19"/>
                <w:szCs w:val="19"/>
                <w:color w:val="auto"/>
              </w:rPr>
            </w:pPr>
          </w:p>
        </w:tc>
        <w:tc>
          <w:tcPr>
            <w:tcW w:w="104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16.1</w:t>
            </w:r>
          </w:p>
        </w:tc>
        <w:tc>
          <w:tcPr>
            <w:tcW w:w="240" w:type="dxa"/>
            <w:vAlign w:val="bottom"/>
            <w:shd w:val="clear" w:color="auto" w:fill="E6E7E8"/>
          </w:tcPr>
          <w:p>
            <w:pPr>
              <w:spacing w:after="0"/>
              <w:rPr>
                <w:sz w:val="19"/>
                <w:szCs w:val="19"/>
                <w:color w:val="auto"/>
              </w:rPr>
            </w:pPr>
          </w:p>
        </w:tc>
        <w:tc>
          <w:tcPr>
            <w:tcW w:w="300" w:type="dxa"/>
            <w:vAlign w:val="bottom"/>
            <w:shd w:val="clear" w:color="auto" w:fill="E6E7E8"/>
          </w:tcPr>
          <w:p>
            <w:pPr>
              <w:spacing w:after="0"/>
              <w:rPr>
                <w:sz w:val="19"/>
                <w:szCs w:val="19"/>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16.0</w:t>
            </w:r>
          </w:p>
        </w:tc>
        <w:tc>
          <w:tcPr>
            <w:tcW w:w="60" w:type="dxa"/>
            <w:vAlign w:val="bottom"/>
            <w:shd w:val="clear" w:color="auto" w:fill="E6E7E8"/>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42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Weighted Average Common Shares Outstanding - (Diluted)</w:t>
            </w: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16.8</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16.1</w:t>
            </w: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16.1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231F20"/>
        </w:rPr>
        <w:t>(The accompanying Notes are an integral part of these consolidated financial statements.)</w:t>
      </w:r>
    </w:p>
    <w:p>
      <w:pPr>
        <w:sectPr>
          <w:pgSz w:w="12240" w:h="15840" w:orient="portrait"/>
          <w:cols w:equalWidth="0" w:num="1">
            <w:col w:w="10800"/>
          </w:cols>
          <w:pgMar w:left="720" w:top="930" w:right="72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40</w:t>
      </w:r>
    </w:p>
    <w:p>
      <w:pPr>
        <w:sectPr>
          <w:pgSz w:w="12240" w:h="15840" w:orient="portrait"/>
          <w:cols w:equalWidth="0" w:num="1">
            <w:col w:w="10800"/>
          </w:cols>
          <w:pgMar w:left="720" w:top="930" w:right="720" w:bottom="188"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1"/>
          <w:szCs w:val="21"/>
          <w:b w:val="1"/>
          <w:bCs w:val="1"/>
          <w:i w:val="1"/>
          <w:iCs w:val="1"/>
          <w:color w:val="231F20"/>
        </w:rPr>
        <w:t xml:space="preserve">CONSOLIDATED BALANCE SHEETS </w:t>
      </w:r>
      <w:r>
        <w:rPr>
          <w:rFonts w:ascii="Times New Roman" w:cs="Times New Roman" w:eastAsia="Times New Roman" w:hAnsi="Times New Roman"/>
          <w:sz w:val="21"/>
          <w:szCs w:val="21"/>
          <w:i w:val="1"/>
          <w:iCs w:val="1"/>
          <w:color w:val="231F20"/>
        </w:rPr>
        <w:t>(Millions)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ASSETS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4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w w:val="98"/>
              </w:rPr>
              <w:t>December 31,</w:t>
            </w:r>
          </w:p>
        </w:tc>
        <w:tc>
          <w:tcPr>
            <w:tcW w:w="6420" w:type="dxa"/>
            <w:vAlign w:val="bottom"/>
            <w:tcBorders>
              <w:bottom w:val="single" w:sz="8" w:color="E6E7E8"/>
            </w:tcBorders>
          </w:tcPr>
          <w:p>
            <w:pPr>
              <w:spacing w:after="0"/>
              <w:rPr>
                <w:sz w:val="18"/>
                <w:szCs w:val="18"/>
                <w:color w:val="auto"/>
              </w:rPr>
            </w:pPr>
          </w:p>
        </w:tc>
        <w:tc>
          <w:tcPr>
            <w:tcW w:w="20" w:type="dxa"/>
            <w:vAlign w:val="bottom"/>
            <w:tcBorders>
              <w:bottom w:val="single" w:sz="8" w:color="E6E7E8"/>
            </w:tcBorders>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1200" w:type="dxa"/>
            <w:vAlign w:val="bottom"/>
            <w:tcBorders>
              <w:bottom w:val="single" w:sz="8" w:color="231F20"/>
            </w:tcBorders>
          </w:tcPr>
          <w:p>
            <w:pPr>
              <w:jc w:val="right"/>
              <w:ind w:right="526"/>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60" w:type="dxa"/>
            <w:vAlign w:val="bottom"/>
            <w:tcBorders>
              <w:bottom w:val="single" w:sz="8" w:color="E6E7E8"/>
            </w:tcBorders>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1200" w:type="dxa"/>
            <w:vAlign w:val="bottom"/>
            <w:tcBorders>
              <w:bottom w:val="single" w:sz="8" w:color="231F20"/>
            </w:tcBorders>
          </w:tcPr>
          <w:p>
            <w:pPr>
              <w:jc w:val="right"/>
              <w:ind w:right="526"/>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Borders>
              <w:bottom w:val="single" w:sz="8" w:color="E6E7E8"/>
            </w:tcBorders>
          </w:tcPr>
          <w:p>
            <w:pPr>
              <w:spacing w:after="0"/>
              <w:rPr>
                <w:sz w:val="18"/>
                <w:szCs w:val="18"/>
                <w:color w:val="auto"/>
              </w:rPr>
            </w:pPr>
          </w:p>
        </w:tc>
      </w:tr>
      <w:tr>
        <w:trPr>
          <w:trHeight w:val="217"/>
        </w:trPr>
        <w:tc>
          <w:tcPr>
            <w:tcW w:w="7360" w:type="dxa"/>
            <w:vAlign w:val="bottom"/>
            <w:tcBorders>
              <w:top w:val="single" w:sz="8" w:color="E6E7E8"/>
            </w:tcBorders>
            <w:gridSpan w:val="2"/>
            <w:shd w:val="clear" w:color="auto" w:fill="E6E7E8"/>
          </w:tcPr>
          <w:p>
            <w:pPr>
              <w:spacing w:after="0" w:line="217" w:lineRule="exact"/>
              <w:rPr>
                <w:sz w:val="20"/>
                <w:szCs w:val="20"/>
                <w:color w:val="auto"/>
              </w:rPr>
            </w:pPr>
            <w:r>
              <w:rPr>
                <w:rFonts w:ascii="Times New Roman" w:cs="Times New Roman" w:eastAsia="Times New Roman" w:hAnsi="Times New Roman"/>
                <w:sz w:val="19"/>
                <w:szCs w:val="19"/>
                <w:b w:val="1"/>
                <w:bCs w:val="1"/>
                <w:color w:val="231F20"/>
              </w:rPr>
              <w:t>Current Assets:</w:t>
            </w:r>
          </w:p>
        </w:tc>
        <w:tc>
          <w:tcPr>
            <w:tcW w:w="20" w:type="dxa"/>
            <w:vAlign w:val="bottom"/>
            <w:tcBorders>
              <w:top w:val="single" w:sz="8" w:color="E6E7E8"/>
            </w:tcBorders>
            <w:shd w:val="clear" w:color="auto" w:fill="E6E7E8"/>
          </w:tcPr>
          <w:p>
            <w:pPr>
              <w:spacing w:after="0"/>
              <w:rPr>
                <w:sz w:val="18"/>
                <w:szCs w:val="18"/>
                <w:color w:val="auto"/>
              </w:rPr>
            </w:pPr>
          </w:p>
        </w:tc>
        <w:tc>
          <w:tcPr>
            <w:tcW w:w="340" w:type="dxa"/>
            <w:vAlign w:val="bottom"/>
            <w:tcBorders>
              <w:top w:val="single" w:sz="8" w:color="231F20"/>
            </w:tcBorders>
            <w:shd w:val="clear" w:color="auto" w:fill="E6E7E8"/>
          </w:tcPr>
          <w:p>
            <w:pPr>
              <w:spacing w:after="0"/>
              <w:rPr>
                <w:sz w:val="18"/>
                <w:szCs w:val="18"/>
                <w:color w:val="auto"/>
              </w:rPr>
            </w:pPr>
          </w:p>
        </w:tc>
        <w:tc>
          <w:tcPr>
            <w:tcW w:w="1200" w:type="dxa"/>
            <w:vAlign w:val="bottom"/>
            <w:tcBorders>
              <w:top w:val="single" w:sz="8" w:color="231F20"/>
            </w:tcBorders>
            <w:shd w:val="clear" w:color="auto" w:fill="E6E7E8"/>
          </w:tcPr>
          <w:p>
            <w:pPr>
              <w:spacing w:after="0"/>
              <w:rPr>
                <w:sz w:val="18"/>
                <w:szCs w:val="18"/>
                <w:color w:val="auto"/>
              </w:rPr>
            </w:pPr>
          </w:p>
        </w:tc>
        <w:tc>
          <w:tcPr>
            <w:tcW w:w="260" w:type="dxa"/>
            <w:vAlign w:val="bottom"/>
            <w:tcBorders>
              <w:top w:val="single" w:sz="8" w:color="E6E7E8"/>
            </w:tcBorders>
            <w:shd w:val="clear" w:color="auto" w:fill="E6E7E8"/>
          </w:tcPr>
          <w:p>
            <w:pPr>
              <w:spacing w:after="0"/>
              <w:rPr>
                <w:sz w:val="18"/>
                <w:szCs w:val="18"/>
                <w:color w:val="auto"/>
              </w:rPr>
            </w:pPr>
          </w:p>
        </w:tc>
        <w:tc>
          <w:tcPr>
            <w:tcW w:w="360" w:type="dxa"/>
            <w:vAlign w:val="bottom"/>
            <w:tcBorders>
              <w:top w:val="single" w:sz="8" w:color="231F20"/>
            </w:tcBorders>
            <w:shd w:val="clear" w:color="auto" w:fill="E6E7E8"/>
          </w:tcPr>
          <w:p>
            <w:pPr>
              <w:spacing w:after="0"/>
              <w:rPr>
                <w:sz w:val="18"/>
                <w:szCs w:val="18"/>
                <w:color w:val="auto"/>
              </w:rPr>
            </w:pPr>
          </w:p>
        </w:tc>
        <w:tc>
          <w:tcPr>
            <w:tcW w:w="1200" w:type="dxa"/>
            <w:vAlign w:val="bottom"/>
            <w:tcBorders>
              <w:top w:val="single" w:sz="8" w:color="231F20"/>
            </w:tcBorders>
            <w:shd w:val="clear" w:color="auto" w:fill="E6E7E8"/>
          </w:tcPr>
          <w:p>
            <w:pPr>
              <w:spacing w:after="0"/>
              <w:rPr>
                <w:sz w:val="18"/>
                <w:szCs w:val="18"/>
                <w:color w:val="auto"/>
              </w:rPr>
            </w:pPr>
          </w:p>
        </w:tc>
        <w:tc>
          <w:tcPr>
            <w:tcW w:w="60" w:type="dxa"/>
            <w:vAlign w:val="bottom"/>
            <w:tcBorders>
              <w:top w:val="single" w:sz="8" w:color="E6E7E8"/>
            </w:tcBorders>
            <w:shd w:val="clear" w:color="auto" w:fill="E6E7E8"/>
          </w:tcPr>
          <w:p>
            <w:pPr>
              <w:spacing w:after="0"/>
              <w:rPr>
                <w:sz w:val="18"/>
                <w:szCs w:val="18"/>
                <w:color w:val="auto"/>
              </w:rPr>
            </w:pPr>
          </w:p>
        </w:tc>
      </w:tr>
      <w:tr>
        <w:trPr>
          <w:trHeight w:val="233"/>
        </w:trPr>
        <w:tc>
          <w:tcPr>
            <w:tcW w:w="736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Cash and Cash Equivalents</w:t>
            </w:r>
          </w:p>
        </w:tc>
        <w:tc>
          <w:tcPr>
            <w:tcW w:w="20" w:type="dxa"/>
            <w:vAlign w:val="bottom"/>
          </w:tcPr>
          <w:p>
            <w:pPr>
              <w:spacing w:after="0"/>
              <w:rPr>
                <w:sz w:val="20"/>
                <w:szCs w:val="20"/>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15.6</w:t>
            </w:r>
          </w:p>
        </w:tc>
        <w:tc>
          <w:tcPr>
            <w:tcW w:w="260" w:type="dxa"/>
            <w:vAlign w:val="bottom"/>
          </w:tcPr>
          <w:p>
            <w:pPr>
              <w:spacing w:after="0"/>
              <w:rPr>
                <w:sz w:val="20"/>
                <w:szCs w:val="20"/>
                <w:color w:val="auto"/>
              </w:rPr>
            </w:pPr>
          </w:p>
        </w:tc>
        <w:tc>
          <w:tcPr>
            <w:tcW w:w="360" w:type="dxa"/>
            <w:vAlign w:val="bottom"/>
          </w:tcPr>
          <w:p>
            <w:pPr>
              <w:jc w:val="right"/>
              <w:ind w:right="165"/>
              <w:spacing w:after="0"/>
              <w:rPr>
                <w:sz w:val="20"/>
                <w:szCs w:val="20"/>
                <w:color w:val="auto"/>
              </w:rPr>
            </w:pPr>
            <w:r>
              <w:rPr>
                <w:rFonts w:ascii="Times New Roman" w:cs="Times New Roman" w:eastAsia="Times New Roman" w:hAnsi="Times New Roman"/>
                <w:sz w:val="19"/>
                <w:szCs w:val="19"/>
                <w:color w:val="231F20"/>
                <w:w w:val="8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6.3</w:t>
            </w:r>
          </w:p>
        </w:tc>
        <w:tc>
          <w:tcPr>
            <w:tcW w:w="60" w:type="dxa"/>
            <w:vAlign w:val="bottom"/>
          </w:tcPr>
          <w:p>
            <w:pPr>
              <w:spacing w:after="0"/>
              <w:rPr>
                <w:sz w:val="20"/>
                <w:szCs w:val="20"/>
                <w:color w:val="auto"/>
              </w:rPr>
            </w:pPr>
          </w:p>
        </w:tc>
      </w:tr>
      <w:tr>
        <w:trPr>
          <w:trHeight w:val="233"/>
        </w:trPr>
        <w:tc>
          <w:tcPr>
            <w:tcW w:w="736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Accounts Receivable, Net</w:t>
            </w:r>
          </w:p>
        </w:tc>
        <w:tc>
          <w:tcPr>
            <w:tcW w:w="20" w:type="dxa"/>
            <w:vAlign w:val="bottom"/>
            <w:shd w:val="clear" w:color="auto" w:fill="E6E7E8"/>
          </w:tcPr>
          <w:p>
            <w:pPr>
              <w:spacing w:after="0"/>
              <w:rPr>
                <w:sz w:val="20"/>
                <w:szCs w:val="20"/>
                <w:color w:val="auto"/>
              </w:rPr>
            </w:pPr>
          </w:p>
        </w:tc>
        <w:tc>
          <w:tcPr>
            <w:tcW w:w="340" w:type="dxa"/>
            <w:vAlign w:val="bottom"/>
            <w:shd w:val="clear" w:color="auto" w:fill="E6E7E8"/>
          </w:tcPr>
          <w:p>
            <w:pPr>
              <w:spacing w:after="0"/>
              <w:rPr>
                <w:sz w:val="20"/>
                <w:szCs w:val="20"/>
                <w:color w:val="auto"/>
              </w:rPr>
            </w:pPr>
          </w:p>
        </w:tc>
        <w:tc>
          <w:tcPr>
            <w:tcW w:w="12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98.6</w:t>
            </w:r>
          </w:p>
        </w:tc>
        <w:tc>
          <w:tcPr>
            <w:tcW w:w="260" w:type="dxa"/>
            <w:vAlign w:val="bottom"/>
            <w:shd w:val="clear" w:color="auto" w:fill="E6E7E8"/>
          </w:tcPr>
          <w:p>
            <w:pPr>
              <w:spacing w:after="0"/>
              <w:rPr>
                <w:sz w:val="20"/>
                <w:szCs w:val="20"/>
                <w:color w:val="auto"/>
              </w:rPr>
            </w:pPr>
          </w:p>
        </w:tc>
        <w:tc>
          <w:tcPr>
            <w:tcW w:w="360" w:type="dxa"/>
            <w:vAlign w:val="bottom"/>
            <w:shd w:val="clear" w:color="auto" w:fill="E6E7E8"/>
          </w:tcPr>
          <w:p>
            <w:pPr>
              <w:spacing w:after="0"/>
              <w:rPr>
                <w:sz w:val="20"/>
                <w:szCs w:val="20"/>
                <w:color w:val="auto"/>
              </w:rPr>
            </w:pPr>
          </w:p>
        </w:tc>
        <w:tc>
          <w:tcPr>
            <w:tcW w:w="12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75.0</w:t>
            </w:r>
          </w:p>
        </w:tc>
        <w:tc>
          <w:tcPr>
            <w:tcW w:w="60" w:type="dxa"/>
            <w:vAlign w:val="bottom"/>
            <w:shd w:val="clear" w:color="auto" w:fill="E6E7E8"/>
          </w:tcPr>
          <w:p>
            <w:pPr>
              <w:spacing w:after="0"/>
              <w:rPr>
                <w:sz w:val="20"/>
                <w:szCs w:val="20"/>
                <w:color w:val="auto"/>
              </w:rPr>
            </w:pPr>
          </w:p>
        </w:tc>
      </w:tr>
      <w:tr>
        <w:trPr>
          <w:trHeight w:val="233"/>
        </w:trPr>
        <w:tc>
          <w:tcPr>
            <w:tcW w:w="736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Accrued Revenue</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87.0</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77.4</w:t>
            </w:r>
          </w:p>
        </w:tc>
        <w:tc>
          <w:tcPr>
            <w:tcW w:w="60" w:type="dxa"/>
            <w:vAlign w:val="bottom"/>
          </w:tcPr>
          <w:p>
            <w:pPr>
              <w:spacing w:after="0"/>
              <w:rPr>
                <w:sz w:val="20"/>
                <w:szCs w:val="20"/>
                <w:color w:val="auto"/>
              </w:rPr>
            </w:pPr>
          </w:p>
        </w:tc>
      </w:tr>
      <w:tr>
        <w:trPr>
          <w:trHeight w:val="233"/>
        </w:trPr>
        <w:tc>
          <w:tcPr>
            <w:tcW w:w="736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Exchange Gas Receivable</w:t>
            </w:r>
          </w:p>
        </w:tc>
        <w:tc>
          <w:tcPr>
            <w:tcW w:w="20" w:type="dxa"/>
            <w:vAlign w:val="bottom"/>
            <w:shd w:val="clear" w:color="auto" w:fill="E6E7E8"/>
          </w:tcPr>
          <w:p>
            <w:pPr>
              <w:spacing w:after="0"/>
              <w:rPr>
                <w:sz w:val="20"/>
                <w:szCs w:val="20"/>
                <w:color w:val="auto"/>
              </w:rPr>
            </w:pPr>
          </w:p>
        </w:tc>
        <w:tc>
          <w:tcPr>
            <w:tcW w:w="340" w:type="dxa"/>
            <w:vAlign w:val="bottom"/>
            <w:shd w:val="clear" w:color="auto" w:fill="E6E7E8"/>
          </w:tcPr>
          <w:p>
            <w:pPr>
              <w:spacing w:after="0"/>
              <w:rPr>
                <w:sz w:val="20"/>
                <w:szCs w:val="20"/>
                <w:color w:val="auto"/>
              </w:rPr>
            </w:pPr>
          </w:p>
        </w:tc>
        <w:tc>
          <w:tcPr>
            <w:tcW w:w="12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9.8</w:t>
            </w:r>
          </w:p>
        </w:tc>
        <w:tc>
          <w:tcPr>
            <w:tcW w:w="260" w:type="dxa"/>
            <w:vAlign w:val="bottom"/>
            <w:shd w:val="clear" w:color="auto" w:fill="E6E7E8"/>
          </w:tcPr>
          <w:p>
            <w:pPr>
              <w:spacing w:after="0"/>
              <w:rPr>
                <w:sz w:val="20"/>
                <w:szCs w:val="20"/>
                <w:color w:val="auto"/>
              </w:rPr>
            </w:pPr>
          </w:p>
        </w:tc>
        <w:tc>
          <w:tcPr>
            <w:tcW w:w="360" w:type="dxa"/>
            <w:vAlign w:val="bottom"/>
            <w:shd w:val="clear" w:color="auto" w:fill="E6E7E8"/>
          </w:tcPr>
          <w:p>
            <w:pPr>
              <w:spacing w:after="0"/>
              <w:rPr>
                <w:sz w:val="20"/>
                <w:szCs w:val="20"/>
                <w:color w:val="auto"/>
              </w:rPr>
            </w:pPr>
          </w:p>
        </w:tc>
        <w:tc>
          <w:tcPr>
            <w:tcW w:w="12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6.4</w:t>
            </w:r>
          </w:p>
        </w:tc>
        <w:tc>
          <w:tcPr>
            <w:tcW w:w="60" w:type="dxa"/>
            <w:vAlign w:val="bottom"/>
            <w:shd w:val="clear" w:color="auto" w:fill="E6E7E8"/>
          </w:tcPr>
          <w:p>
            <w:pPr>
              <w:spacing w:after="0"/>
              <w:rPr>
                <w:sz w:val="20"/>
                <w:szCs w:val="20"/>
                <w:color w:val="auto"/>
              </w:rPr>
            </w:pPr>
          </w:p>
        </w:tc>
      </w:tr>
      <w:tr>
        <w:trPr>
          <w:trHeight w:val="233"/>
        </w:trPr>
        <w:tc>
          <w:tcPr>
            <w:tcW w:w="736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Gas Inventory</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1.3</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w:t>
            </w:r>
          </w:p>
        </w:tc>
        <w:tc>
          <w:tcPr>
            <w:tcW w:w="60" w:type="dxa"/>
            <w:vAlign w:val="bottom"/>
          </w:tcPr>
          <w:p>
            <w:pPr>
              <w:spacing w:after="0"/>
              <w:rPr>
                <w:sz w:val="20"/>
                <w:szCs w:val="20"/>
                <w:color w:val="auto"/>
              </w:rPr>
            </w:pPr>
          </w:p>
        </w:tc>
      </w:tr>
      <w:tr>
        <w:trPr>
          <w:trHeight w:val="233"/>
        </w:trPr>
        <w:tc>
          <w:tcPr>
            <w:tcW w:w="736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Materials and Supplies</w:t>
            </w:r>
          </w:p>
        </w:tc>
        <w:tc>
          <w:tcPr>
            <w:tcW w:w="20" w:type="dxa"/>
            <w:vAlign w:val="bottom"/>
            <w:shd w:val="clear" w:color="auto" w:fill="E6E7E8"/>
          </w:tcPr>
          <w:p>
            <w:pPr>
              <w:spacing w:after="0"/>
              <w:rPr>
                <w:sz w:val="20"/>
                <w:szCs w:val="20"/>
                <w:color w:val="auto"/>
              </w:rPr>
            </w:pPr>
          </w:p>
        </w:tc>
        <w:tc>
          <w:tcPr>
            <w:tcW w:w="340" w:type="dxa"/>
            <w:vAlign w:val="bottom"/>
            <w:shd w:val="clear" w:color="auto" w:fill="E6E7E8"/>
          </w:tcPr>
          <w:p>
            <w:pPr>
              <w:spacing w:after="0"/>
              <w:rPr>
                <w:sz w:val="20"/>
                <w:szCs w:val="20"/>
                <w:color w:val="auto"/>
              </w:rPr>
            </w:pPr>
          </w:p>
        </w:tc>
        <w:tc>
          <w:tcPr>
            <w:tcW w:w="12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15.4</w:t>
            </w:r>
          </w:p>
        </w:tc>
        <w:tc>
          <w:tcPr>
            <w:tcW w:w="260" w:type="dxa"/>
            <w:vAlign w:val="bottom"/>
            <w:shd w:val="clear" w:color="auto" w:fill="E6E7E8"/>
          </w:tcPr>
          <w:p>
            <w:pPr>
              <w:spacing w:after="0"/>
              <w:rPr>
                <w:sz w:val="20"/>
                <w:szCs w:val="20"/>
                <w:color w:val="auto"/>
              </w:rPr>
            </w:pPr>
          </w:p>
        </w:tc>
        <w:tc>
          <w:tcPr>
            <w:tcW w:w="360" w:type="dxa"/>
            <w:vAlign w:val="bottom"/>
            <w:shd w:val="clear" w:color="auto" w:fill="E6E7E8"/>
          </w:tcPr>
          <w:p>
            <w:pPr>
              <w:spacing w:after="0"/>
              <w:rPr>
                <w:sz w:val="20"/>
                <w:szCs w:val="20"/>
                <w:color w:val="auto"/>
              </w:rPr>
            </w:pPr>
          </w:p>
        </w:tc>
        <w:tc>
          <w:tcPr>
            <w:tcW w:w="12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14.2</w:t>
            </w:r>
          </w:p>
        </w:tc>
        <w:tc>
          <w:tcPr>
            <w:tcW w:w="60" w:type="dxa"/>
            <w:vAlign w:val="bottom"/>
            <w:shd w:val="clear" w:color="auto" w:fill="E6E7E8"/>
          </w:tcPr>
          <w:p>
            <w:pPr>
              <w:spacing w:after="0"/>
              <w:rPr>
                <w:sz w:val="20"/>
                <w:szCs w:val="20"/>
                <w:color w:val="auto"/>
              </w:rPr>
            </w:pPr>
          </w:p>
        </w:tc>
      </w:tr>
      <w:tr>
        <w:trPr>
          <w:trHeight w:val="233"/>
        </w:trPr>
        <w:tc>
          <w:tcPr>
            <w:tcW w:w="7360" w:type="dxa"/>
            <w:vAlign w:val="bottom"/>
            <w:tcBorders>
              <w:bottom w:val="single" w:sz="8" w:color="E6E7E8"/>
            </w:tcBorders>
            <w:gridSpan w:val="2"/>
          </w:tcPr>
          <w:p>
            <w:pPr>
              <w:ind w:left="200"/>
              <w:spacing w:after="0"/>
              <w:rPr>
                <w:sz w:val="20"/>
                <w:szCs w:val="20"/>
                <w:color w:val="auto"/>
              </w:rPr>
            </w:pPr>
            <w:r>
              <w:rPr>
                <w:rFonts w:ascii="Times New Roman" w:cs="Times New Roman" w:eastAsia="Times New Roman" w:hAnsi="Times New Roman"/>
                <w:sz w:val="19"/>
                <w:szCs w:val="19"/>
                <w:color w:val="231F20"/>
              </w:rPr>
              <w:t>Prepayments and Other</w:t>
            </w:r>
          </w:p>
        </w:tc>
        <w:tc>
          <w:tcPr>
            <w:tcW w:w="20" w:type="dxa"/>
            <w:vAlign w:val="bottom"/>
            <w:tcBorders>
              <w:bottom w:val="single" w:sz="8" w:color="E6E7E8"/>
            </w:tcBorders>
          </w:tcPr>
          <w:p>
            <w:pPr>
              <w:spacing w:after="0"/>
              <w:rPr>
                <w:sz w:val="20"/>
                <w:szCs w:val="20"/>
                <w:color w:val="auto"/>
              </w:rPr>
            </w:pPr>
          </w:p>
        </w:tc>
        <w:tc>
          <w:tcPr>
            <w:tcW w:w="340" w:type="dxa"/>
            <w:vAlign w:val="bottom"/>
            <w:tcBorders>
              <w:bottom w:val="single" w:sz="8" w:color="231F20"/>
            </w:tcBorders>
          </w:tcPr>
          <w:p>
            <w:pPr>
              <w:spacing w:after="0"/>
              <w:rPr>
                <w:sz w:val="20"/>
                <w:szCs w:val="20"/>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12.4</w:t>
            </w:r>
          </w:p>
        </w:tc>
        <w:tc>
          <w:tcPr>
            <w:tcW w:w="260" w:type="dxa"/>
            <w:vAlign w:val="bottom"/>
            <w:tcBorders>
              <w:bottom w:val="single" w:sz="8" w:color="E6E7E8"/>
            </w:tcBorders>
          </w:tcPr>
          <w:p>
            <w:pPr>
              <w:spacing w:after="0"/>
              <w:rPr>
                <w:sz w:val="20"/>
                <w:szCs w:val="20"/>
                <w:color w:val="auto"/>
              </w:rPr>
            </w:pPr>
          </w:p>
        </w:tc>
        <w:tc>
          <w:tcPr>
            <w:tcW w:w="360" w:type="dxa"/>
            <w:vAlign w:val="bottom"/>
            <w:tcBorders>
              <w:bottom w:val="single" w:sz="8" w:color="231F20"/>
            </w:tcBorders>
          </w:tcPr>
          <w:p>
            <w:pPr>
              <w:spacing w:after="0"/>
              <w:rPr>
                <w:sz w:val="20"/>
                <w:szCs w:val="20"/>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8.4</w:t>
            </w:r>
          </w:p>
        </w:tc>
        <w:tc>
          <w:tcPr>
            <w:tcW w:w="60" w:type="dxa"/>
            <w:vAlign w:val="bottom"/>
            <w:tcBorders>
              <w:bottom w:val="single" w:sz="8" w:color="E6E7E8"/>
            </w:tcBorders>
          </w:tcPr>
          <w:p>
            <w:pPr>
              <w:spacing w:after="0"/>
              <w:rPr>
                <w:sz w:val="20"/>
                <w:szCs w:val="20"/>
                <w:color w:val="auto"/>
              </w:rPr>
            </w:pPr>
          </w:p>
        </w:tc>
      </w:tr>
      <w:tr>
        <w:trPr>
          <w:trHeight w:val="228"/>
        </w:trPr>
        <w:tc>
          <w:tcPr>
            <w:tcW w:w="7360" w:type="dxa"/>
            <w:vAlign w:val="bottom"/>
            <w:gridSpan w:val="2"/>
            <w:shd w:val="clear" w:color="auto" w:fill="E6E7E8"/>
          </w:tcPr>
          <w:p>
            <w:pPr>
              <w:ind w:left="400"/>
              <w:spacing w:after="0"/>
              <w:rPr>
                <w:sz w:val="20"/>
                <w:szCs w:val="20"/>
                <w:color w:val="auto"/>
              </w:rPr>
            </w:pPr>
            <w:r>
              <w:rPr>
                <w:rFonts w:ascii="Times New Roman" w:cs="Times New Roman" w:eastAsia="Times New Roman" w:hAnsi="Times New Roman"/>
                <w:sz w:val="19"/>
                <w:szCs w:val="19"/>
                <w:color w:val="231F20"/>
              </w:rPr>
              <w:t>Total Current Assets</w:t>
            </w:r>
          </w:p>
        </w:tc>
        <w:tc>
          <w:tcPr>
            <w:tcW w:w="20" w:type="dxa"/>
            <w:vAlign w:val="bottom"/>
            <w:shd w:val="clear" w:color="auto" w:fill="E6E7E8"/>
          </w:tcPr>
          <w:p>
            <w:pPr>
              <w:spacing w:after="0"/>
              <w:rPr>
                <w:sz w:val="19"/>
                <w:szCs w:val="19"/>
                <w:color w:val="auto"/>
              </w:rPr>
            </w:pPr>
          </w:p>
        </w:tc>
        <w:tc>
          <w:tcPr>
            <w:tcW w:w="340" w:type="dxa"/>
            <w:vAlign w:val="bottom"/>
            <w:tcBorders>
              <w:bottom w:val="single" w:sz="8" w:color="231F20"/>
            </w:tcBorders>
            <w:shd w:val="clear" w:color="auto" w:fill="E6E7E8"/>
          </w:tcPr>
          <w:p>
            <w:pPr>
              <w:spacing w:after="0"/>
              <w:rPr>
                <w:sz w:val="19"/>
                <w:szCs w:val="19"/>
                <w:color w:val="auto"/>
              </w:rPr>
            </w:pPr>
          </w:p>
        </w:tc>
        <w:tc>
          <w:tcPr>
            <w:tcW w:w="120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240.1</w:t>
            </w:r>
          </w:p>
        </w:tc>
        <w:tc>
          <w:tcPr>
            <w:tcW w:w="260" w:type="dxa"/>
            <w:vAlign w:val="bottom"/>
            <w:shd w:val="clear" w:color="auto" w:fill="E6E7E8"/>
          </w:tcPr>
          <w:p>
            <w:pPr>
              <w:spacing w:after="0"/>
              <w:rPr>
                <w:sz w:val="19"/>
                <w:szCs w:val="19"/>
                <w:color w:val="auto"/>
              </w:rPr>
            </w:pPr>
          </w:p>
        </w:tc>
        <w:tc>
          <w:tcPr>
            <w:tcW w:w="360" w:type="dxa"/>
            <w:vAlign w:val="bottom"/>
            <w:tcBorders>
              <w:bottom w:val="single" w:sz="8" w:color="231F20"/>
            </w:tcBorders>
            <w:shd w:val="clear" w:color="auto" w:fill="E6E7E8"/>
          </w:tcPr>
          <w:p>
            <w:pPr>
              <w:spacing w:after="0"/>
              <w:rPr>
                <w:sz w:val="19"/>
                <w:szCs w:val="19"/>
                <w:color w:val="auto"/>
              </w:rPr>
            </w:pPr>
          </w:p>
        </w:tc>
        <w:tc>
          <w:tcPr>
            <w:tcW w:w="120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188.8</w:t>
            </w:r>
          </w:p>
        </w:tc>
        <w:tc>
          <w:tcPr>
            <w:tcW w:w="60" w:type="dxa"/>
            <w:vAlign w:val="bottom"/>
            <w:shd w:val="clear" w:color="auto" w:fill="E6E7E8"/>
          </w:tcPr>
          <w:p>
            <w:pPr>
              <w:spacing w:after="0"/>
              <w:rPr>
                <w:sz w:val="19"/>
                <w:szCs w:val="19"/>
                <w:color w:val="auto"/>
              </w:rPr>
            </w:pPr>
          </w:p>
        </w:tc>
      </w:tr>
      <w:tr>
        <w:trPr>
          <w:trHeight w:val="228"/>
        </w:trPr>
        <w:tc>
          <w:tcPr>
            <w:tcW w:w="73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231F20"/>
              </w:rPr>
              <w:t>Utility Plant: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3"/>
        </w:trPr>
        <w:tc>
          <w:tcPr>
            <w:tcW w:w="736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Electric</w:t>
            </w:r>
          </w:p>
        </w:tc>
        <w:tc>
          <w:tcPr>
            <w:tcW w:w="20" w:type="dxa"/>
            <w:vAlign w:val="bottom"/>
            <w:shd w:val="clear" w:color="auto" w:fill="E6E7E8"/>
          </w:tcPr>
          <w:p>
            <w:pPr>
              <w:spacing w:after="0"/>
              <w:rPr>
                <w:sz w:val="20"/>
                <w:szCs w:val="20"/>
                <w:color w:val="auto"/>
              </w:rPr>
            </w:pPr>
          </w:p>
        </w:tc>
        <w:tc>
          <w:tcPr>
            <w:tcW w:w="340" w:type="dxa"/>
            <w:vAlign w:val="bottom"/>
            <w:shd w:val="clear" w:color="auto" w:fill="E6E7E8"/>
          </w:tcPr>
          <w:p>
            <w:pPr>
              <w:spacing w:after="0"/>
              <w:rPr>
                <w:sz w:val="20"/>
                <w:szCs w:val="20"/>
                <w:color w:val="auto"/>
              </w:rPr>
            </w:pPr>
          </w:p>
        </w:tc>
        <w:tc>
          <w:tcPr>
            <w:tcW w:w="12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752.2</w:t>
            </w:r>
          </w:p>
        </w:tc>
        <w:tc>
          <w:tcPr>
            <w:tcW w:w="260" w:type="dxa"/>
            <w:vAlign w:val="bottom"/>
            <w:shd w:val="clear" w:color="auto" w:fill="E6E7E8"/>
          </w:tcPr>
          <w:p>
            <w:pPr>
              <w:spacing w:after="0"/>
              <w:rPr>
                <w:sz w:val="20"/>
                <w:szCs w:val="20"/>
                <w:color w:val="auto"/>
              </w:rPr>
            </w:pPr>
          </w:p>
        </w:tc>
        <w:tc>
          <w:tcPr>
            <w:tcW w:w="360" w:type="dxa"/>
            <w:vAlign w:val="bottom"/>
            <w:shd w:val="clear" w:color="auto" w:fill="E6E7E8"/>
          </w:tcPr>
          <w:p>
            <w:pPr>
              <w:spacing w:after="0"/>
              <w:rPr>
                <w:sz w:val="20"/>
                <w:szCs w:val="20"/>
                <w:color w:val="auto"/>
              </w:rPr>
            </w:pPr>
          </w:p>
        </w:tc>
        <w:tc>
          <w:tcPr>
            <w:tcW w:w="12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699.4</w:t>
            </w:r>
          </w:p>
        </w:tc>
        <w:tc>
          <w:tcPr>
            <w:tcW w:w="60" w:type="dxa"/>
            <w:vAlign w:val="bottom"/>
            <w:shd w:val="clear" w:color="auto" w:fill="E6E7E8"/>
          </w:tcPr>
          <w:p>
            <w:pPr>
              <w:spacing w:after="0"/>
              <w:rPr>
                <w:sz w:val="20"/>
                <w:szCs w:val="20"/>
                <w:color w:val="auto"/>
              </w:rPr>
            </w:pPr>
          </w:p>
        </w:tc>
      </w:tr>
      <w:tr>
        <w:trPr>
          <w:trHeight w:val="233"/>
        </w:trPr>
        <w:tc>
          <w:tcPr>
            <w:tcW w:w="736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Gas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1,413.0</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1,189.9</w:t>
            </w:r>
          </w:p>
        </w:tc>
        <w:tc>
          <w:tcPr>
            <w:tcW w:w="60" w:type="dxa"/>
            <w:vAlign w:val="bottom"/>
          </w:tcPr>
          <w:p>
            <w:pPr>
              <w:spacing w:after="0"/>
              <w:rPr>
                <w:sz w:val="20"/>
                <w:szCs w:val="20"/>
                <w:color w:val="auto"/>
              </w:rPr>
            </w:pPr>
          </w:p>
        </w:tc>
      </w:tr>
      <w:tr>
        <w:trPr>
          <w:trHeight w:val="233"/>
        </w:trPr>
        <w:tc>
          <w:tcPr>
            <w:tcW w:w="736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Common</w:t>
            </w:r>
          </w:p>
        </w:tc>
        <w:tc>
          <w:tcPr>
            <w:tcW w:w="20" w:type="dxa"/>
            <w:vAlign w:val="bottom"/>
            <w:shd w:val="clear" w:color="auto" w:fill="E6E7E8"/>
          </w:tcPr>
          <w:p>
            <w:pPr>
              <w:spacing w:after="0"/>
              <w:rPr>
                <w:sz w:val="20"/>
                <w:szCs w:val="20"/>
                <w:color w:val="auto"/>
              </w:rPr>
            </w:pPr>
          </w:p>
        </w:tc>
        <w:tc>
          <w:tcPr>
            <w:tcW w:w="340" w:type="dxa"/>
            <w:vAlign w:val="bottom"/>
            <w:shd w:val="clear" w:color="auto" w:fill="E6E7E8"/>
          </w:tcPr>
          <w:p>
            <w:pPr>
              <w:spacing w:after="0"/>
              <w:rPr>
                <w:sz w:val="20"/>
                <w:szCs w:val="20"/>
                <w:color w:val="auto"/>
              </w:rPr>
            </w:pPr>
          </w:p>
        </w:tc>
        <w:tc>
          <w:tcPr>
            <w:tcW w:w="12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75.3</w:t>
            </w:r>
          </w:p>
        </w:tc>
        <w:tc>
          <w:tcPr>
            <w:tcW w:w="260" w:type="dxa"/>
            <w:vAlign w:val="bottom"/>
            <w:shd w:val="clear" w:color="auto" w:fill="E6E7E8"/>
          </w:tcPr>
          <w:p>
            <w:pPr>
              <w:spacing w:after="0"/>
              <w:rPr>
                <w:sz w:val="20"/>
                <w:szCs w:val="20"/>
                <w:color w:val="auto"/>
              </w:rPr>
            </w:pPr>
          </w:p>
        </w:tc>
        <w:tc>
          <w:tcPr>
            <w:tcW w:w="360" w:type="dxa"/>
            <w:vAlign w:val="bottom"/>
            <w:shd w:val="clear" w:color="auto" w:fill="E6E7E8"/>
          </w:tcPr>
          <w:p>
            <w:pPr>
              <w:spacing w:after="0"/>
              <w:rPr>
                <w:sz w:val="20"/>
                <w:szCs w:val="20"/>
                <w:color w:val="auto"/>
              </w:rPr>
            </w:pPr>
          </w:p>
        </w:tc>
        <w:tc>
          <w:tcPr>
            <w:tcW w:w="12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69.0</w:t>
            </w:r>
          </w:p>
        </w:tc>
        <w:tc>
          <w:tcPr>
            <w:tcW w:w="60" w:type="dxa"/>
            <w:vAlign w:val="bottom"/>
            <w:shd w:val="clear" w:color="auto" w:fill="E6E7E8"/>
          </w:tcPr>
          <w:p>
            <w:pPr>
              <w:spacing w:after="0"/>
              <w:rPr>
                <w:sz w:val="20"/>
                <w:szCs w:val="20"/>
                <w:color w:val="auto"/>
              </w:rPr>
            </w:pPr>
          </w:p>
        </w:tc>
      </w:tr>
      <w:tr>
        <w:trPr>
          <w:trHeight w:val="232"/>
        </w:trPr>
        <w:tc>
          <w:tcPr>
            <w:tcW w:w="7360" w:type="dxa"/>
            <w:vAlign w:val="bottom"/>
            <w:tcBorders>
              <w:bottom w:val="single" w:sz="8" w:color="E6E7E8"/>
            </w:tcBorders>
            <w:gridSpan w:val="2"/>
          </w:tcPr>
          <w:p>
            <w:pPr>
              <w:ind w:left="200"/>
              <w:spacing w:after="0"/>
              <w:rPr>
                <w:sz w:val="20"/>
                <w:szCs w:val="20"/>
                <w:color w:val="auto"/>
              </w:rPr>
            </w:pPr>
            <w:r>
              <w:rPr>
                <w:rFonts w:ascii="Times New Roman" w:cs="Times New Roman" w:eastAsia="Times New Roman" w:hAnsi="Times New Roman"/>
                <w:sz w:val="19"/>
                <w:szCs w:val="19"/>
                <w:color w:val="231F20"/>
              </w:rPr>
              <w:t>Construction Work in Progress</w:t>
            </w:r>
          </w:p>
        </w:tc>
        <w:tc>
          <w:tcPr>
            <w:tcW w:w="20" w:type="dxa"/>
            <w:vAlign w:val="bottom"/>
            <w:tcBorders>
              <w:bottom w:val="single" w:sz="8" w:color="E6E7E8"/>
            </w:tcBorders>
          </w:tcPr>
          <w:p>
            <w:pPr>
              <w:spacing w:after="0"/>
              <w:rPr>
                <w:sz w:val="20"/>
                <w:szCs w:val="20"/>
                <w:color w:val="auto"/>
              </w:rPr>
            </w:pPr>
          </w:p>
        </w:tc>
        <w:tc>
          <w:tcPr>
            <w:tcW w:w="340" w:type="dxa"/>
            <w:vAlign w:val="bottom"/>
            <w:tcBorders>
              <w:bottom w:val="single" w:sz="8" w:color="231F20"/>
            </w:tcBorders>
          </w:tcPr>
          <w:p>
            <w:pPr>
              <w:spacing w:after="0"/>
              <w:rPr>
                <w:sz w:val="20"/>
                <w:szCs w:val="20"/>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101.7</w:t>
            </w:r>
          </w:p>
        </w:tc>
        <w:tc>
          <w:tcPr>
            <w:tcW w:w="260" w:type="dxa"/>
            <w:vAlign w:val="bottom"/>
            <w:tcBorders>
              <w:bottom w:val="single" w:sz="8" w:color="E6E7E8"/>
            </w:tcBorders>
          </w:tcPr>
          <w:p>
            <w:pPr>
              <w:spacing w:after="0"/>
              <w:rPr>
                <w:sz w:val="20"/>
                <w:szCs w:val="20"/>
                <w:color w:val="auto"/>
              </w:rPr>
            </w:pPr>
          </w:p>
        </w:tc>
        <w:tc>
          <w:tcPr>
            <w:tcW w:w="360" w:type="dxa"/>
            <w:vAlign w:val="bottom"/>
            <w:tcBorders>
              <w:bottom w:val="single" w:sz="8" w:color="231F20"/>
            </w:tcBorders>
          </w:tcPr>
          <w:p>
            <w:pPr>
              <w:spacing w:after="0"/>
              <w:rPr>
                <w:sz w:val="20"/>
                <w:szCs w:val="20"/>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92.9</w:t>
            </w:r>
          </w:p>
        </w:tc>
        <w:tc>
          <w:tcPr>
            <w:tcW w:w="60" w:type="dxa"/>
            <w:vAlign w:val="bottom"/>
            <w:tcBorders>
              <w:bottom w:val="single" w:sz="8" w:color="E6E7E8"/>
            </w:tcBorders>
          </w:tcPr>
          <w:p>
            <w:pPr>
              <w:spacing w:after="0"/>
              <w:rPr>
                <w:sz w:val="20"/>
                <w:szCs w:val="20"/>
                <w:color w:val="auto"/>
              </w:rPr>
            </w:pPr>
          </w:p>
        </w:tc>
      </w:tr>
      <w:tr>
        <w:trPr>
          <w:trHeight w:val="228"/>
        </w:trPr>
        <w:tc>
          <w:tcPr>
            <w:tcW w:w="736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Utility Plant</w:t>
            </w:r>
          </w:p>
        </w:tc>
        <w:tc>
          <w:tcPr>
            <w:tcW w:w="20" w:type="dxa"/>
            <w:vAlign w:val="bottom"/>
            <w:shd w:val="clear" w:color="auto" w:fill="E6E7E8"/>
          </w:tcPr>
          <w:p>
            <w:pPr>
              <w:spacing w:after="0"/>
              <w:rPr>
                <w:sz w:val="19"/>
                <w:szCs w:val="19"/>
                <w:color w:val="auto"/>
              </w:rPr>
            </w:pPr>
          </w:p>
        </w:tc>
        <w:tc>
          <w:tcPr>
            <w:tcW w:w="340" w:type="dxa"/>
            <w:vAlign w:val="bottom"/>
            <w:shd w:val="clear" w:color="auto" w:fill="E6E7E8"/>
          </w:tcPr>
          <w:p>
            <w:pPr>
              <w:spacing w:after="0"/>
              <w:rPr>
                <w:sz w:val="19"/>
                <w:szCs w:val="19"/>
                <w:color w:val="auto"/>
              </w:rPr>
            </w:pPr>
          </w:p>
        </w:tc>
        <w:tc>
          <w:tcPr>
            <w:tcW w:w="12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2,342.2</w:t>
            </w:r>
          </w:p>
        </w:tc>
        <w:tc>
          <w:tcPr>
            <w:tcW w:w="260" w:type="dxa"/>
            <w:vAlign w:val="bottom"/>
            <w:shd w:val="clear" w:color="auto" w:fill="E6E7E8"/>
          </w:tcPr>
          <w:p>
            <w:pPr>
              <w:spacing w:after="0"/>
              <w:rPr>
                <w:sz w:val="19"/>
                <w:szCs w:val="19"/>
                <w:color w:val="auto"/>
              </w:rPr>
            </w:pPr>
          </w:p>
        </w:tc>
        <w:tc>
          <w:tcPr>
            <w:tcW w:w="360" w:type="dxa"/>
            <w:vAlign w:val="bottom"/>
            <w:shd w:val="clear" w:color="auto" w:fill="E6E7E8"/>
          </w:tcPr>
          <w:p>
            <w:pPr>
              <w:spacing w:after="0"/>
              <w:rPr>
                <w:sz w:val="19"/>
                <w:szCs w:val="19"/>
                <w:color w:val="auto"/>
              </w:rPr>
            </w:pPr>
          </w:p>
        </w:tc>
        <w:tc>
          <w:tcPr>
            <w:tcW w:w="12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2,051.2</w:t>
            </w:r>
          </w:p>
        </w:tc>
        <w:tc>
          <w:tcPr>
            <w:tcW w:w="60" w:type="dxa"/>
            <w:vAlign w:val="bottom"/>
            <w:shd w:val="clear" w:color="auto" w:fill="E6E7E8"/>
          </w:tcPr>
          <w:p>
            <w:pPr>
              <w:spacing w:after="0"/>
              <w:rPr>
                <w:sz w:val="19"/>
                <w:szCs w:val="19"/>
                <w:color w:val="auto"/>
              </w:rPr>
            </w:pPr>
          </w:p>
        </w:tc>
      </w:tr>
      <w:tr>
        <w:trPr>
          <w:trHeight w:val="232"/>
        </w:trPr>
        <w:tc>
          <w:tcPr>
            <w:tcW w:w="7360" w:type="dxa"/>
            <w:vAlign w:val="bottom"/>
            <w:tcBorders>
              <w:bottom w:val="single" w:sz="8" w:color="E6E7E8"/>
            </w:tcBorders>
            <w:gridSpan w:val="2"/>
          </w:tcPr>
          <w:p>
            <w:pPr>
              <w:ind w:left="200"/>
              <w:spacing w:after="0"/>
              <w:rPr>
                <w:sz w:val="20"/>
                <w:szCs w:val="20"/>
                <w:color w:val="auto"/>
              </w:rPr>
            </w:pPr>
            <w:r>
              <w:rPr>
                <w:rFonts w:ascii="Times New Roman" w:cs="Times New Roman" w:eastAsia="Times New Roman" w:hAnsi="Times New Roman"/>
                <w:sz w:val="19"/>
                <w:szCs w:val="19"/>
                <w:color w:val="231F20"/>
              </w:rPr>
              <w:t>Less: Accumulated Depreciation</w:t>
            </w:r>
          </w:p>
        </w:tc>
        <w:tc>
          <w:tcPr>
            <w:tcW w:w="20" w:type="dxa"/>
            <w:vAlign w:val="bottom"/>
            <w:tcBorders>
              <w:bottom w:val="single" w:sz="8" w:color="E6E7E8"/>
            </w:tcBorders>
          </w:tcPr>
          <w:p>
            <w:pPr>
              <w:spacing w:after="0"/>
              <w:rPr>
                <w:sz w:val="20"/>
                <w:szCs w:val="20"/>
                <w:color w:val="auto"/>
              </w:rPr>
            </w:pPr>
          </w:p>
        </w:tc>
        <w:tc>
          <w:tcPr>
            <w:tcW w:w="340" w:type="dxa"/>
            <w:vAlign w:val="bottom"/>
            <w:tcBorders>
              <w:bottom w:val="single" w:sz="8" w:color="231F20"/>
            </w:tcBorders>
          </w:tcPr>
          <w:p>
            <w:pPr>
              <w:spacing w:after="0"/>
              <w:rPr>
                <w:sz w:val="20"/>
                <w:szCs w:val="20"/>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543.7</w:t>
            </w:r>
          </w:p>
        </w:tc>
        <w:tc>
          <w:tcPr>
            <w:tcW w:w="260" w:type="dxa"/>
            <w:vAlign w:val="bottom"/>
            <w:tcBorders>
              <w:bottom w:val="single" w:sz="8" w:color="E6E7E8"/>
            </w:tcBorders>
          </w:tcPr>
          <w:p>
            <w:pPr>
              <w:spacing w:after="0"/>
              <w:rPr>
                <w:sz w:val="20"/>
                <w:szCs w:val="20"/>
                <w:color w:val="auto"/>
              </w:rPr>
            </w:pPr>
          </w:p>
        </w:tc>
        <w:tc>
          <w:tcPr>
            <w:tcW w:w="360" w:type="dxa"/>
            <w:vAlign w:val="bottom"/>
            <w:tcBorders>
              <w:bottom w:val="single" w:sz="8" w:color="231F20"/>
            </w:tcBorders>
          </w:tcPr>
          <w:p>
            <w:pPr>
              <w:spacing w:after="0"/>
              <w:rPr>
                <w:sz w:val="20"/>
                <w:szCs w:val="20"/>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511.6</w:t>
            </w:r>
          </w:p>
        </w:tc>
        <w:tc>
          <w:tcPr>
            <w:tcW w:w="60" w:type="dxa"/>
            <w:vAlign w:val="bottom"/>
            <w:tcBorders>
              <w:bottom w:val="single" w:sz="8" w:color="E6E7E8"/>
            </w:tcBorders>
          </w:tcPr>
          <w:p>
            <w:pPr>
              <w:spacing w:after="0"/>
              <w:rPr>
                <w:sz w:val="20"/>
                <w:szCs w:val="20"/>
                <w:color w:val="auto"/>
              </w:rPr>
            </w:pPr>
          </w:p>
        </w:tc>
      </w:tr>
      <w:tr>
        <w:trPr>
          <w:trHeight w:val="248"/>
        </w:trPr>
        <w:tc>
          <w:tcPr>
            <w:tcW w:w="7360" w:type="dxa"/>
            <w:vAlign w:val="bottom"/>
            <w:tcBorders>
              <w:bottom w:val="single" w:sz="8" w:color="E6E7E8"/>
            </w:tcBorders>
            <w:gridSpan w:val="2"/>
            <w:shd w:val="clear" w:color="auto" w:fill="E6E7E8"/>
          </w:tcPr>
          <w:p>
            <w:pPr>
              <w:ind w:left="400"/>
              <w:spacing w:after="0"/>
              <w:rPr>
                <w:sz w:val="20"/>
                <w:szCs w:val="20"/>
                <w:color w:val="auto"/>
              </w:rPr>
            </w:pPr>
            <w:r>
              <w:rPr>
                <w:rFonts w:ascii="Times New Roman" w:cs="Times New Roman" w:eastAsia="Times New Roman" w:hAnsi="Times New Roman"/>
                <w:sz w:val="19"/>
                <w:szCs w:val="19"/>
                <w:color w:val="231F20"/>
              </w:rPr>
              <w:t>Net Utility Plant</w:t>
            </w:r>
          </w:p>
        </w:tc>
        <w:tc>
          <w:tcPr>
            <w:tcW w:w="20" w:type="dxa"/>
            <w:vAlign w:val="bottom"/>
            <w:tcBorders>
              <w:bottom w:val="single" w:sz="8" w:color="E6E7E8"/>
            </w:tcBorders>
            <w:shd w:val="clear" w:color="auto" w:fill="E6E7E8"/>
          </w:tcPr>
          <w:p>
            <w:pPr>
              <w:spacing w:after="0"/>
              <w:rPr>
                <w:sz w:val="21"/>
                <w:szCs w:val="21"/>
                <w:color w:val="auto"/>
              </w:rPr>
            </w:pPr>
          </w:p>
        </w:tc>
        <w:tc>
          <w:tcPr>
            <w:tcW w:w="340" w:type="dxa"/>
            <w:vAlign w:val="bottom"/>
            <w:tcBorders>
              <w:bottom w:val="single" w:sz="8" w:color="231F20"/>
            </w:tcBorders>
            <w:shd w:val="clear" w:color="auto" w:fill="E6E7E8"/>
          </w:tcPr>
          <w:p>
            <w:pPr>
              <w:spacing w:after="0"/>
              <w:rPr>
                <w:sz w:val="21"/>
                <w:szCs w:val="21"/>
                <w:color w:val="auto"/>
              </w:rPr>
            </w:pPr>
          </w:p>
        </w:tc>
        <w:tc>
          <w:tcPr>
            <w:tcW w:w="120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1,798.5</w:t>
            </w:r>
          </w:p>
        </w:tc>
        <w:tc>
          <w:tcPr>
            <w:tcW w:w="260" w:type="dxa"/>
            <w:vAlign w:val="bottom"/>
            <w:tcBorders>
              <w:bottom w:val="single" w:sz="8" w:color="E6E7E8"/>
            </w:tcBorders>
            <w:shd w:val="clear" w:color="auto" w:fill="E6E7E8"/>
          </w:tcPr>
          <w:p>
            <w:pPr>
              <w:spacing w:after="0"/>
              <w:rPr>
                <w:sz w:val="21"/>
                <w:szCs w:val="21"/>
                <w:color w:val="auto"/>
              </w:rPr>
            </w:pPr>
          </w:p>
        </w:tc>
        <w:tc>
          <w:tcPr>
            <w:tcW w:w="360" w:type="dxa"/>
            <w:vAlign w:val="bottom"/>
            <w:tcBorders>
              <w:bottom w:val="single" w:sz="8" w:color="231F20"/>
            </w:tcBorders>
            <w:shd w:val="clear" w:color="auto" w:fill="E6E7E8"/>
          </w:tcPr>
          <w:p>
            <w:pPr>
              <w:spacing w:after="0"/>
              <w:rPr>
                <w:sz w:val="21"/>
                <w:szCs w:val="21"/>
                <w:color w:val="auto"/>
              </w:rPr>
            </w:pPr>
          </w:p>
        </w:tc>
        <w:tc>
          <w:tcPr>
            <w:tcW w:w="120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1,539.6</w:t>
            </w:r>
          </w:p>
        </w:tc>
        <w:tc>
          <w:tcPr>
            <w:tcW w:w="60" w:type="dxa"/>
            <w:vAlign w:val="bottom"/>
            <w:tcBorders>
              <w:bottom w:val="single" w:sz="8" w:color="E6E7E8"/>
            </w:tcBorders>
            <w:shd w:val="clear" w:color="auto" w:fill="E6E7E8"/>
          </w:tcPr>
          <w:p>
            <w:pPr>
              <w:spacing w:after="0"/>
              <w:rPr>
                <w:sz w:val="21"/>
                <w:szCs w:val="21"/>
                <w:color w:val="auto"/>
              </w:rPr>
            </w:pPr>
          </w:p>
        </w:tc>
      </w:tr>
      <w:tr>
        <w:trPr>
          <w:trHeight w:val="208"/>
        </w:trPr>
        <w:tc>
          <w:tcPr>
            <w:tcW w:w="7360" w:type="dxa"/>
            <w:vAlign w:val="bottom"/>
            <w:gridSpan w:val="2"/>
          </w:tcPr>
          <w:p>
            <w:pPr>
              <w:spacing w:after="0" w:line="207" w:lineRule="exact"/>
              <w:rPr>
                <w:sz w:val="20"/>
                <w:szCs w:val="20"/>
                <w:color w:val="auto"/>
              </w:rPr>
            </w:pPr>
            <w:r>
              <w:rPr>
                <w:rFonts w:ascii="Times New Roman" w:cs="Times New Roman" w:eastAsia="Times New Roman" w:hAnsi="Times New Roman"/>
                <w:sz w:val="19"/>
                <w:szCs w:val="19"/>
                <w:b w:val="1"/>
                <w:bCs w:val="1"/>
                <w:color w:val="231F20"/>
              </w:rPr>
              <w:t>Other Noncurrent Assets: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3"/>
        </w:trPr>
        <w:tc>
          <w:tcPr>
            <w:tcW w:w="736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Regulatory Assets</w:t>
            </w:r>
          </w:p>
        </w:tc>
        <w:tc>
          <w:tcPr>
            <w:tcW w:w="20" w:type="dxa"/>
            <w:vAlign w:val="bottom"/>
            <w:shd w:val="clear" w:color="auto" w:fill="E6E7E8"/>
          </w:tcPr>
          <w:p>
            <w:pPr>
              <w:spacing w:after="0"/>
              <w:rPr>
                <w:sz w:val="20"/>
                <w:szCs w:val="20"/>
                <w:color w:val="auto"/>
              </w:rPr>
            </w:pPr>
          </w:p>
        </w:tc>
        <w:tc>
          <w:tcPr>
            <w:tcW w:w="340" w:type="dxa"/>
            <w:vAlign w:val="bottom"/>
            <w:shd w:val="clear" w:color="auto" w:fill="E6E7E8"/>
          </w:tcPr>
          <w:p>
            <w:pPr>
              <w:spacing w:after="0"/>
              <w:rPr>
                <w:sz w:val="20"/>
                <w:szCs w:val="20"/>
                <w:color w:val="auto"/>
              </w:rPr>
            </w:pPr>
          </w:p>
        </w:tc>
        <w:tc>
          <w:tcPr>
            <w:tcW w:w="12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38.8</w:t>
            </w:r>
          </w:p>
        </w:tc>
        <w:tc>
          <w:tcPr>
            <w:tcW w:w="260" w:type="dxa"/>
            <w:vAlign w:val="bottom"/>
            <w:shd w:val="clear" w:color="auto" w:fill="E6E7E8"/>
          </w:tcPr>
          <w:p>
            <w:pPr>
              <w:spacing w:after="0"/>
              <w:rPr>
                <w:sz w:val="20"/>
                <w:szCs w:val="20"/>
                <w:color w:val="auto"/>
              </w:rPr>
            </w:pPr>
          </w:p>
        </w:tc>
        <w:tc>
          <w:tcPr>
            <w:tcW w:w="360" w:type="dxa"/>
            <w:vAlign w:val="bottom"/>
            <w:shd w:val="clear" w:color="auto" w:fill="E6E7E8"/>
          </w:tcPr>
          <w:p>
            <w:pPr>
              <w:spacing w:after="0"/>
              <w:rPr>
                <w:sz w:val="20"/>
                <w:szCs w:val="20"/>
                <w:color w:val="auto"/>
              </w:rPr>
            </w:pPr>
          </w:p>
        </w:tc>
        <w:tc>
          <w:tcPr>
            <w:tcW w:w="12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41.9</w:t>
            </w:r>
          </w:p>
        </w:tc>
        <w:tc>
          <w:tcPr>
            <w:tcW w:w="60" w:type="dxa"/>
            <w:vAlign w:val="bottom"/>
            <w:shd w:val="clear" w:color="auto" w:fill="E6E7E8"/>
          </w:tcPr>
          <w:p>
            <w:pPr>
              <w:spacing w:after="0"/>
              <w:rPr>
                <w:sz w:val="20"/>
                <w:szCs w:val="20"/>
                <w:color w:val="auto"/>
              </w:rPr>
            </w:pPr>
          </w:p>
        </w:tc>
      </w:tr>
      <w:tr>
        <w:trPr>
          <w:trHeight w:val="233"/>
        </w:trPr>
        <w:tc>
          <w:tcPr>
            <w:tcW w:w="736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Operating Lease Right of Use Assets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7.0</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6.7</w:t>
            </w:r>
          </w:p>
        </w:tc>
        <w:tc>
          <w:tcPr>
            <w:tcW w:w="60" w:type="dxa"/>
            <w:vAlign w:val="bottom"/>
          </w:tcPr>
          <w:p>
            <w:pPr>
              <w:spacing w:after="0"/>
              <w:rPr>
                <w:sz w:val="20"/>
                <w:szCs w:val="20"/>
                <w:color w:val="auto"/>
              </w:rPr>
            </w:pPr>
          </w:p>
        </w:tc>
      </w:tr>
      <w:tr>
        <w:trPr>
          <w:trHeight w:val="233"/>
        </w:trPr>
        <w:tc>
          <w:tcPr>
            <w:tcW w:w="736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Goodwill</w:t>
            </w:r>
          </w:p>
        </w:tc>
        <w:tc>
          <w:tcPr>
            <w:tcW w:w="20" w:type="dxa"/>
            <w:vAlign w:val="bottom"/>
            <w:shd w:val="clear" w:color="auto" w:fill="E6E7E8"/>
          </w:tcPr>
          <w:p>
            <w:pPr>
              <w:spacing w:after="0"/>
              <w:rPr>
                <w:sz w:val="20"/>
                <w:szCs w:val="20"/>
                <w:color w:val="auto"/>
              </w:rPr>
            </w:pPr>
          </w:p>
        </w:tc>
        <w:tc>
          <w:tcPr>
            <w:tcW w:w="340" w:type="dxa"/>
            <w:vAlign w:val="bottom"/>
            <w:shd w:val="clear" w:color="auto" w:fill="E6E7E8"/>
          </w:tcPr>
          <w:p>
            <w:pPr>
              <w:spacing w:after="0"/>
              <w:rPr>
                <w:sz w:val="20"/>
                <w:szCs w:val="20"/>
                <w:color w:val="auto"/>
              </w:rPr>
            </w:pPr>
          </w:p>
        </w:tc>
        <w:tc>
          <w:tcPr>
            <w:tcW w:w="12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4.3</w:t>
            </w:r>
          </w:p>
        </w:tc>
        <w:tc>
          <w:tcPr>
            <w:tcW w:w="260" w:type="dxa"/>
            <w:vAlign w:val="bottom"/>
            <w:shd w:val="clear" w:color="auto" w:fill="E6E7E8"/>
          </w:tcPr>
          <w:p>
            <w:pPr>
              <w:spacing w:after="0"/>
              <w:rPr>
                <w:sz w:val="20"/>
                <w:szCs w:val="20"/>
                <w:color w:val="auto"/>
              </w:rPr>
            </w:pPr>
          </w:p>
        </w:tc>
        <w:tc>
          <w:tcPr>
            <w:tcW w:w="360" w:type="dxa"/>
            <w:vAlign w:val="bottom"/>
            <w:shd w:val="clear" w:color="auto" w:fill="E6E7E8"/>
          </w:tcPr>
          <w:p>
            <w:pPr>
              <w:spacing w:after="0"/>
              <w:rPr>
                <w:sz w:val="20"/>
                <w:szCs w:val="20"/>
                <w:color w:val="auto"/>
              </w:rPr>
            </w:pPr>
          </w:p>
        </w:tc>
        <w:tc>
          <w:tcPr>
            <w:tcW w:w="12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60" w:type="dxa"/>
            <w:vAlign w:val="bottom"/>
            <w:shd w:val="clear" w:color="auto" w:fill="E6E7E8"/>
          </w:tcPr>
          <w:p>
            <w:pPr>
              <w:spacing w:after="0"/>
              <w:rPr>
                <w:sz w:val="20"/>
                <w:szCs w:val="20"/>
                <w:color w:val="auto"/>
              </w:rPr>
            </w:pPr>
          </w:p>
        </w:tc>
      </w:tr>
      <w:tr>
        <w:trPr>
          <w:trHeight w:val="232"/>
        </w:trPr>
        <w:tc>
          <w:tcPr>
            <w:tcW w:w="7360" w:type="dxa"/>
            <w:vAlign w:val="bottom"/>
            <w:tcBorders>
              <w:bottom w:val="single" w:sz="8" w:color="E6E7E8"/>
            </w:tcBorders>
            <w:gridSpan w:val="2"/>
          </w:tcPr>
          <w:p>
            <w:pPr>
              <w:ind w:left="200"/>
              <w:spacing w:after="0"/>
              <w:rPr>
                <w:sz w:val="20"/>
                <w:szCs w:val="20"/>
                <w:color w:val="auto"/>
              </w:rPr>
            </w:pPr>
            <w:r>
              <w:rPr>
                <w:rFonts w:ascii="Times New Roman" w:cs="Times New Roman" w:eastAsia="Times New Roman" w:hAnsi="Times New Roman"/>
                <w:sz w:val="19"/>
                <w:szCs w:val="19"/>
                <w:color w:val="231F20"/>
              </w:rPr>
              <w:t>Other Assets</w:t>
            </w:r>
          </w:p>
        </w:tc>
        <w:tc>
          <w:tcPr>
            <w:tcW w:w="20" w:type="dxa"/>
            <w:vAlign w:val="bottom"/>
            <w:tcBorders>
              <w:bottom w:val="single" w:sz="8" w:color="E6E7E8"/>
            </w:tcBorders>
          </w:tcPr>
          <w:p>
            <w:pPr>
              <w:spacing w:after="0"/>
              <w:rPr>
                <w:sz w:val="20"/>
                <w:szCs w:val="20"/>
                <w:color w:val="auto"/>
              </w:rPr>
            </w:pPr>
          </w:p>
        </w:tc>
        <w:tc>
          <w:tcPr>
            <w:tcW w:w="340" w:type="dxa"/>
            <w:vAlign w:val="bottom"/>
            <w:tcBorders>
              <w:bottom w:val="single" w:sz="8" w:color="231F20"/>
            </w:tcBorders>
          </w:tcPr>
          <w:p>
            <w:pPr>
              <w:spacing w:after="0"/>
              <w:rPr>
                <w:sz w:val="20"/>
                <w:szCs w:val="20"/>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45.5</w:t>
            </w:r>
          </w:p>
        </w:tc>
        <w:tc>
          <w:tcPr>
            <w:tcW w:w="260" w:type="dxa"/>
            <w:vAlign w:val="bottom"/>
            <w:tcBorders>
              <w:bottom w:val="single" w:sz="8" w:color="E6E7E8"/>
            </w:tcBorders>
          </w:tcPr>
          <w:p>
            <w:pPr>
              <w:spacing w:after="0"/>
              <w:rPr>
                <w:sz w:val="20"/>
                <w:szCs w:val="20"/>
                <w:color w:val="auto"/>
              </w:rPr>
            </w:pPr>
          </w:p>
        </w:tc>
        <w:tc>
          <w:tcPr>
            <w:tcW w:w="360" w:type="dxa"/>
            <w:vAlign w:val="bottom"/>
            <w:tcBorders>
              <w:bottom w:val="single" w:sz="8" w:color="231F20"/>
            </w:tcBorders>
          </w:tcPr>
          <w:p>
            <w:pPr>
              <w:spacing w:after="0"/>
              <w:rPr>
                <w:sz w:val="20"/>
                <w:szCs w:val="20"/>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17.5</w:t>
            </w:r>
          </w:p>
        </w:tc>
        <w:tc>
          <w:tcPr>
            <w:tcW w:w="60" w:type="dxa"/>
            <w:vAlign w:val="bottom"/>
            <w:tcBorders>
              <w:bottom w:val="single" w:sz="8" w:color="E6E7E8"/>
            </w:tcBorders>
          </w:tcPr>
          <w:p>
            <w:pPr>
              <w:spacing w:after="0"/>
              <w:rPr>
                <w:sz w:val="20"/>
                <w:szCs w:val="20"/>
                <w:color w:val="auto"/>
              </w:rPr>
            </w:pPr>
          </w:p>
        </w:tc>
      </w:tr>
      <w:tr>
        <w:trPr>
          <w:trHeight w:val="248"/>
        </w:trPr>
        <w:tc>
          <w:tcPr>
            <w:tcW w:w="7360" w:type="dxa"/>
            <w:vAlign w:val="bottom"/>
            <w:tcBorders>
              <w:bottom w:val="single" w:sz="8" w:color="E6E7E8"/>
            </w:tcBorders>
            <w:gridSpan w:val="2"/>
            <w:shd w:val="clear" w:color="auto" w:fill="E6E7E8"/>
          </w:tcPr>
          <w:p>
            <w:pPr>
              <w:ind w:left="400"/>
              <w:spacing w:after="0"/>
              <w:rPr>
                <w:sz w:val="20"/>
                <w:szCs w:val="20"/>
                <w:color w:val="auto"/>
              </w:rPr>
            </w:pPr>
            <w:r>
              <w:rPr>
                <w:rFonts w:ascii="Times New Roman" w:cs="Times New Roman" w:eastAsia="Times New Roman" w:hAnsi="Times New Roman"/>
                <w:sz w:val="19"/>
                <w:szCs w:val="19"/>
                <w:color w:val="231F20"/>
              </w:rPr>
              <w:t>Total Other Noncurrent Assets</w:t>
            </w:r>
          </w:p>
        </w:tc>
        <w:tc>
          <w:tcPr>
            <w:tcW w:w="20" w:type="dxa"/>
            <w:vAlign w:val="bottom"/>
            <w:tcBorders>
              <w:bottom w:val="single" w:sz="8" w:color="E6E7E8"/>
            </w:tcBorders>
            <w:shd w:val="clear" w:color="auto" w:fill="E6E7E8"/>
          </w:tcPr>
          <w:p>
            <w:pPr>
              <w:spacing w:after="0"/>
              <w:rPr>
                <w:sz w:val="21"/>
                <w:szCs w:val="21"/>
                <w:color w:val="auto"/>
              </w:rPr>
            </w:pPr>
          </w:p>
        </w:tc>
        <w:tc>
          <w:tcPr>
            <w:tcW w:w="340" w:type="dxa"/>
            <w:vAlign w:val="bottom"/>
            <w:tcBorders>
              <w:bottom w:val="single" w:sz="8" w:color="231F20"/>
            </w:tcBorders>
            <w:shd w:val="clear" w:color="auto" w:fill="E6E7E8"/>
          </w:tcPr>
          <w:p>
            <w:pPr>
              <w:spacing w:after="0"/>
              <w:rPr>
                <w:sz w:val="21"/>
                <w:szCs w:val="21"/>
                <w:color w:val="auto"/>
              </w:rPr>
            </w:pPr>
          </w:p>
        </w:tc>
        <w:tc>
          <w:tcPr>
            <w:tcW w:w="120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95.6</w:t>
            </w:r>
          </w:p>
        </w:tc>
        <w:tc>
          <w:tcPr>
            <w:tcW w:w="260" w:type="dxa"/>
            <w:vAlign w:val="bottom"/>
            <w:tcBorders>
              <w:bottom w:val="single" w:sz="8" w:color="E6E7E8"/>
            </w:tcBorders>
            <w:shd w:val="clear" w:color="auto" w:fill="E6E7E8"/>
          </w:tcPr>
          <w:p>
            <w:pPr>
              <w:spacing w:after="0"/>
              <w:rPr>
                <w:sz w:val="21"/>
                <w:szCs w:val="21"/>
                <w:color w:val="auto"/>
              </w:rPr>
            </w:pPr>
          </w:p>
        </w:tc>
        <w:tc>
          <w:tcPr>
            <w:tcW w:w="360" w:type="dxa"/>
            <w:vAlign w:val="bottom"/>
            <w:tcBorders>
              <w:bottom w:val="single" w:sz="8" w:color="231F20"/>
            </w:tcBorders>
            <w:shd w:val="clear" w:color="auto" w:fill="E6E7E8"/>
          </w:tcPr>
          <w:p>
            <w:pPr>
              <w:spacing w:after="0"/>
              <w:rPr>
                <w:sz w:val="21"/>
                <w:szCs w:val="21"/>
                <w:color w:val="auto"/>
              </w:rPr>
            </w:pPr>
          </w:p>
        </w:tc>
        <w:tc>
          <w:tcPr>
            <w:tcW w:w="120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66.1</w:t>
            </w:r>
          </w:p>
        </w:tc>
        <w:tc>
          <w:tcPr>
            <w:tcW w:w="60" w:type="dxa"/>
            <w:vAlign w:val="bottom"/>
            <w:tcBorders>
              <w:bottom w:val="single" w:sz="8" w:color="E6E7E8"/>
            </w:tcBorders>
            <w:shd w:val="clear" w:color="auto" w:fill="E6E7E8"/>
          </w:tcPr>
          <w:p>
            <w:pPr>
              <w:spacing w:after="0"/>
              <w:rPr>
                <w:sz w:val="21"/>
                <w:szCs w:val="21"/>
                <w:color w:val="auto"/>
              </w:rPr>
            </w:pPr>
          </w:p>
        </w:tc>
      </w:tr>
      <w:tr>
        <w:trPr>
          <w:trHeight w:val="208"/>
        </w:trPr>
        <w:tc>
          <w:tcPr>
            <w:tcW w:w="7360" w:type="dxa"/>
            <w:vAlign w:val="bottom"/>
            <w:gridSpan w:val="2"/>
          </w:tcPr>
          <w:p>
            <w:pPr>
              <w:ind w:left="400"/>
              <w:spacing w:after="0" w:line="207" w:lineRule="exact"/>
              <w:rPr>
                <w:sz w:val="20"/>
                <w:szCs w:val="20"/>
                <w:color w:val="auto"/>
              </w:rPr>
            </w:pPr>
            <w:r>
              <w:rPr>
                <w:rFonts w:ascii="Times New Roman" w:cs="Times New Roman" w:eastAsia="Times New Roman" w:hAnsi="Times New Roman"/>
                <w:sz w:val="19"/>
                <w:szCs w:val="19"/>
                <w:b w:val="1"/>
                <w:bCs w:val="1"/>
                <w:color w:val="231F20"/>
              </w:rPr>
              <w:t>TOTAL ASSETS</w:t>
            </w:r>
          </w:p>
        </w:tc>
        <w:tc>
          <w:tcPr>
            <w:tcW w:w="20" w:type="dxa"/>
            <w:vAlign w:val="bottom"/>
          </w:tcPr>
          <w:p>
            <w:pPr>
              <w:spacing w:after="0"/>
              <w:rPr>
                <w:sz w:val="18"/>
                <w:szCs w:val="18"/>
                <w:color w:val="auto"/>
              </w:rPr>
            </w:pPr>
          </w:p>
        </w:tc>
        <w:tc>
          <w:tcPr>
            <w:tcW w:w="340" w:type="dxa"/>
            <w:vAlign w:val="bottom"/>
            <w:tcBorders>
              <w:bottom w:val="single" w:sz="8" w:color="231F20"/>
            </w:tcBorders>
          </w:tcPr>
          <w:p>
            <w:pPr>
              <w:jc w:val="right"/>
              <w:ind w:right="176"/>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1200" w:type="dxa"/>
            <w:vAlign w:val="bottom"/>
            <w:tcBorders>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b w:val="1"/>
                <w:bCs w:val="1"/>
                <w:color w:val="231F20"/>
              </w:rPr>
              <w:t>2,134.2</w:t>
            </w:r>
          </w:p>
        </w:tc>
        <w:tc>
          <w:tcPr>
            <w:tcW w:w="260" w:type="dxa"/>
            <w:vAlign w:val="bottom"/>
          </w:tcPr>
          <w:p>
            <w:pPr>
              <w:spacing w:after="0"/>
              <w:rPr>
                <w:sz w:val="18"/>
                <w:szCs w:val="18"/>
                <w:color w:val="auto"/>
              </w:rPr>
            </w:pPr>
          </w:p>
        </w:tc>
        <w:tc>
          <w:tcPr>
            <w:tcW w:w="360" w:type="dxa"/>
            <w:vAlign w:val="bottom"/>
            <w:tcBorders>
              <w:bottom w:val="single" w:sz="8" w:color="231F20"/>
            </w:tcBorders>
          </w:tcPr>
          <w:p>
            <w:pPr>
              <w:jc w:val="right"/>
              <w:ind w:right="165"/>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1200" w:type="dxa"/>
            <w:vAlign w:val="bottom"/>
            <w:tcBorders>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rPr>
              <w:t>1,794.5</w:t>
            </w:r>
          </w:p>
        </w:tc>
        <w:tc>
          <w:tcPr>
            <w:tcW w:w="6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i w:val="1"/>
          <w:iCs w:val="1"/>
          <w:color w:val="231F20"/>
        </w:rPr>
        <w:t>(The accompanying Notes are an integral part of these consolidated financial statements.)</w:t>
      </w:r>
    </w:p>
    <w:p>
      <w:pPr>
        <w:sectPr>
          <w:pgSz w:w="12240" w:h="15840" w:orient="portrait"/>
          <w:cols w:equalWidth="0" w:num="1">
            <w:col w:w="10800"/>
          </w:cols>
          <w:pgMar w:left="720" w:top="930" w:right="72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41</w:t>
      </w:r>
    </w:p>
    <w:p>
      <w:pPr>
        <w:sectPr>
          <w:pgSz w:w="12240" w:h="15840" w:orient="portrait"/>
          <w:cols w:equalWidth="0" w:num="1">
            <w:col w:w="10800"/>
          </w:cols>
          <w:pgMar w:left="720" w:top="930" w:right="720" w:bottom="188"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1"/>
          <w:szCs w:val="21"/>
          <w:b w:val="1"/>
          <w:bCs w:val="1"/>
          <w:i w:val="1"/>
          <w:iCs w:val="1"/>
          <w:color w:val="231F20"/>
        </w:rPr>
        <w:t xml:space="preserve">CONSOLIDATED BALANCE SHEETS (cont.) </w:t>
      </w:r>
      <w:r>
        <w:rPr>
          <w:rFonts w:ascii="Times New Roman" w:cs="Times New Roman" w:eastAsia="Times New Roman" w:hAnsi="Times New Roman"/>
          <w:sz w:val="21"/>
          <w:szCs w:val="21"/>
          <w:i w:val="1"/>
          <w:iCs w:val="1"/>
          <w:color w:val="231F20"/>
        </w:rPr>
        <w:t>(Millions, except number of shares)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LIABILITIES AND CAPITALIZATION</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4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w w:val="98"/>
              </w:rPr>
              <w:t>December 31,</w:t>
            </w:r>
          </w:p>
        </w:tc>
        <w:tc>
          <w:tcPr>
            <w:tcW w:w="6300" w:type="dxa"/>
            <w:vAlign w:val="bottom"/>
            <w:tcBorders>
              <w:bottom w:val="single" w:sz="8" w:color="E6E7E8"/>
            </w:tcBorders>
          </w:tcPr>
          <w:p>
            <w:pPr>
              <w:spacing w:after="0"/>
              <w:rPr>
                <w:sz w:val="18"/>
                <w:szCs w:val="18"/>
                <w:color w:val="auto"/>
              </w:rPr>
            </w:pPr>
          </w:p>
        </w:tc>
        <w:tc>
          <w:tcPr>
            <w:tcW w:w="120" w:type="dxa"/>
            <w:vAlign w:val="bottom"/>
            <w:tcBorders>
              <w:bottom w:val="single" w:sz="8" w:color="E6E7E8"/>
            </w:tcBorders>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1200" w:type="dxa"/>
            <w:vAlign w:val="bottom"/>
            <w:tcBorders>
              <w:bottom w:val="single" w:sz="8" w:color="231F20"/>
            </w:tcBorders>
          </w:tcPr>
          <w:p>
            <w:pPr>
              <w:jc w:val="right"/>
              <w:ind w:right="526"/>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60" w:type="dxa"/>
            <w:vAlign w:val="bottom"/>
            <w:tcBorders>
              <w:bottom w:val="single" w:sz="8" w:color="E6E7E8"/>
            </w:tcBorders>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1200" w:type="dxa"/>
            <w:vAlign w:val="bottom"/>
            <w:tcBorders>
              <w:bottom w:val="single" w:sz="8" w:color="231F20"/>
            </w:tcBorders>
          </w:tcPr>
          <w:p>
            <w:pPr>
              <w:jc w:val="right"/>
              <w:ind w:right="526"/>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Borders>
              <w:bottom w:val="single" w:sz="8" w:color="E6E7E8"/>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40" w:type="dxa"/>
            <w:vAlign w:val="bottom"/>
            <w:tcBorders>
              <w:top w:val="single" w:sz="8" w:color="E6E7E8"/>
            </w:tcBorders>
            <w:gridSpan w:val="2"/>
            <w:shd w:val="clear" w:color="auto" w:fill="E6E7E8"/>
          </w:tcPr>
          <w:p>
            <w:pPr>
              <w:spacing w:after="0" w:line="217" w:lineRule="exact"/>
              <w:rPr>
                <w:sz w:val="20"/>
                <w:szCs w:val="20"/>
                <w:color w:val="auto"/>
              </w:rPr>
            </w:pPr>
            <w:r>
              <w:rPr>
                <w:rFonts w:ascii="Times New Roman" w:cs="Times New Roman" w:eastAsia="Times New Roman" w:hAnsi="Times New Roman"/>
                <w:sz w:val="19"/>
                <w:szCs w:val="19"/>
                <w:b w:val="1"/>
                <w:bCs w:val="1"/>
                <w:color w:val="231F20"/>
              </w:rPr>
              <w:t>Current Liabilities:</w:t>
            </w:r>
          </w:p>
        </w:tc>
        <w:tc>
          <w:tcPr>
            <w:tcW w:w="120" w:type="dxa"/>
            <w:vAlign w:val="bottom"/>
            <w:tcBorders>
              <w:top w:val="single" w:sz="8" w:color="E6E7E8"/>
            </w:tcBorders>
            <w:shd w:val="clear" w:color="auto" w:fill="E6E7E8"/>
          </w:tcPr>
          <w:p>
            <w:pPr>
              <w:spacing w:after="0"/>
              <w:rPr>
                <w:sz w:val="18"/>
                <w:szCs w:val="18"/>
                <w:color w:val="auto"/>
              </w:rPr>
            </w:pPr>
          </w:p>
        </w:tc>
        <w:tc>
          <w:tcPr>
            <w:tcW w:w="360" w:type="dxa"/>
            <w:vAlign w:val="bottom"/>
            <w:tcBorders>
              <w:top w:val="single" w:sz="8" w:color="231F20"/>
            </w:tcBorders>
            <w:shd w:val="clear" w:color="auto" w:fill="E6E7E8"/>
          </w:tcPr>
          <w:p>
            <w:pPr>
              <w:spacing w:after="0"/>
              <w:rPr>
                <w:sz w:val="18"/>
                <w:szCs w:val="18"/>
                <w:color w:val="auto"/>
              </w:rPr>
            </w:pPr>
          </w:p>
        </w:tc>
        <w:tc>
          <w:tcPr>
            <w:tcW w:w="1200" w:type="dxa"/>
            <w:vAlign w:val="bottom"/>
            <w:tcBorders>
              <w:top w:val="single" w:sz="8" w:color="231F20"/>
            </w:tcBorders>
            <w:shd w:val="clear" w:color="auto" w:fill="E6E7E8"/>
          </w:tcPr>
          <w:p>
            <w:pPr>
              <w:spacing w:after="0"/>
              <w:rPr>
                <w:sz w:val="18"/>
                <w:szCs w:val="18"/>
                <w:color w:val="auto"/>
              </w:rPr>
            </w:pPr>
          </w:p>
        </w:tc>
        <w:tc>
          <w:tcPr>
            <w:tcW w:w="260" w:type="dxa"/>
            <w:vAlign w:val="bottom"/>
            <w:tcBorders>
              <w:top w:val="single" w:sz="8" w:color="E6E7E8"/>
            </w:tcBorders>
            <w:shd w:val="clear" w:color="auto" w:fill="E6E7E8"/>
          </w:tcPr>
          <w:p>
            <w:pPr>
              <w:spacing w:after="0"/>
              <w:rPr>
                <w:sz w:val="18"/>
                <w:szCs w:val="18"/>
                <w:color w:val="auto"/>
              </w:rPr>
            </w:pPr>
          </w:p>
        </w:tc>
        <w:tc>
          <w:tcPr>
            <w:tcW w:w="360" w:type="dxa"/>
            <w:vAlign w:val="bottom"/>
            <w:tcBorders>
              <w:top w:val="single" w:sz="8" w:color="231F20"/>
            </w:tcBorders>
            <w:shd w:val="clear" w:color="auto" w:fill="E6E7E8"/>
          </w:tcPr>
          <w:p>
            <w:pPr>
              <w:spacing w:after="0"/>
              <w:rPr>
                <w:sz w:val="18"/>
                <w:szCs w:val="18"/>
                <w:color w:val="auto"/>
              </w:rPr>
            </w:pPr>
          </w:p>
        </w:tc>
        <w:tc>
          <w:tcPr>
            <w:tcW w:w="1200" w:type="dxa"/>
            <w:vAlign w:val="bottom"/>
            <w:tcBorders>
              <w:top w:val="single" w:sz="8" w:color="231F20"/>
            </w:tcBorders>
            <w:shd w:val="clear" w:color="auto" w:fill="E6E7E8"/>
          </w:tcPr>
          <w:p>
            <w:pPr>
              <w:spacing w:after="0"/>
              <w:rPr>
                <w:sz w:val="18"/>
                <w:szCs w:val="18"/>
                <w:color w:val="auto"/>
              </w:rPr>
            </w:pPr>
          </w:p>
        </w:tc>
        <w:tc>
          <w:tcPr>
            <w:tcW w:w="60" w:type="dxa"/>
            <w:vAlign w:val="bottom"/>
            <w:tcBorders>
              <w:top w:val="single" w:sz="8" w:color="E6E7E8"/>
            </w:tcBorders>
            <w:shd w:val="clear" w:color="auto" w:fill="E6E7E8"/>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24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Accounts Payable</w:t>
            </w:r>
          </w:p>
        </w:tc>
        <w:tc>
          <w:tcPr>
            <w:tcW w:w="120" w:type="dxa"/>
            <w:vAlign w:val="bottom"/>
          </w:tcPr>
          <w:p>
            <w:pPr>
              <w:spacing w:after="0"/>
              <w:rPr>
                <w:sz w:val="20"/>
                <w:szCs w:val="20"/>
                <w:color w:val="auto"/>
              </w:rPr>
            </w:pPr>
          </w:p>
        </w:tc>
        <w:tc>
          <w:tcPr>
            <w:tcW w:w="360" w:type="dxa"/>
            <w:vAlign w:val="bottom"/>
          </w:tcPr>
          <w:p>
            <w:pPr>
              <w:jc w:val="right"/>
              <w:ind w:right="165"/>
              <w:spacing w:after="0"/>
              <w:rPr>
                <w:sz w:val="20"/>
                <w:szCs w:val="20"/>
                <w:color w:val="auto"/>
              </w:rPr>
            </w:pPr>
            <w:r>
              <w:rPr>
                <w:rFonts w:ascii="Times New Roman" w:cs="Times New Roman" w:eastAsia="Times New Roman" w:hAnsi="Times New Roman"/>
                <w:sz w:val="19"/>
                <w:szCs w:val="19"/>
                <w:b w:val="1"/>
                <w:bCs w:val="1"/>
                <w:color w:val="231F20"/>
                <w:w w:val="8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62.9</w:t>
            </w:r>
          </w:p>
        </w:tc>
        <w:tc>
          <w:tcPr>
            <w:tcW w:w="260" w:type="dxa"/>
            <w:vAlign w:val="bottom"/>
          </w:tcPr>
          <w:p>
            <w:pPr>
              <w:spacing w:after="0"/>
              <w:rPr>
                <w:sz w:val="20"/>
                <w:szCs w:val="20"/>
                <w:color w:val="auto"/>
              </w:rPr>
            </w:pPr>
          </w:p>
        </w:tc>
        <w:tc>
          <w:tcPr>
            <w:tcW w:w="360" w:type="dxa"/>
            <w:vAlign w:val="bottom"/>
          </w:tcPr>
          <w:p>
            <w:pPr>
              <w:jc w:val="right"/>
              <w:ind w:right="165"/>
              <w:spacing w:after="0"/>
              <w:rPr>
                <w:sz w:val="20"/>
                <w:szCs w:val="20"/>
                <w:color w:val="auto"/>
              </w:rPr>
            </w:pPr>
            <w:r>
              <w:rPr>
                <w:rFonts w:ascii="Times New Roman" w:cs="Times New Roman" w:eastAsia="Times New Roman" w:hAnsi="Times New Roman"/>
                <w:sz w:val="19"/>
                <w:szCs w:val="19"/>
                <w:color w:val="231F20"/>
                <w:w w:val="8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24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Short-Term Debt</w:t>
            </w:r>
          </w:p>
        </w:tc>
        <w:tc>
          <w:tcPr>
            <w:tcW w:w="120" w:type="dxa"/>
            <w:vAlign w:val="bottom"/>
            <w:shd w:val="clear" w:color="auto" w:fill="E6E7E8"/>
          </w:tcPr>
          <w:p>
            <w:pPr>
              <w:spacing w:after="0"/>
              <w:rPr>
                <w:sz w:val="20"/>
                <w:szCs w:val="20"/>
                <w:color w:val="auto"/>
              </w:rPr>
            </w:pPr>
          </w:p>
        </w:tc>
        <w:tc>
          <w:tcPr>
            <w:tcW w:w="360" w:type="dxa"/>
            <w:vAlign w:val="bottom"/>
            <w:shd w:val="clear" w:color="auto" w:fill="E6E7E8"/>
          </w:tcPr>
          <w:p>
            <w:pPr>
              <w:spacing w:after="0"/>
              <w:rPr>
                <w:sz w:val="20"/>
                <w:szCs w:val="20"/>
                <w:color w:val="auto"/>
              </w:rPr>
            </w:pPr>
          </w:p>
        </w:tc>
        <w:tc>
          <w:tcPr>
            <w:tcW w:w="12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255.7</w:t>
            </w:r>
          </w:p>
        </w:tc>
        <w:tc>
          <w:tcPr>
            <w:tcW w:w="260" w:type="dxa"/>
            <w:vAlign w:val="bottom"/>
            <w:shd w:val="clear" w:color="auto" w:fill="E6E7E8"/>
          </w:tcPr>
          <w:p>
            <w:pPr>
              <w:spacing w:after="0"/>
              <w:rPr>
                <w:sz w:val="20"/>
                <w:szCs w:val="20"/>
                <w:color w:val="auto"/>
              </w:rPr>
            </w:pPr>
          </w:p>
        </w:tc>
        <w:tc>
          <w:tcPr>
            <w:tcW w:w="360" w:type="dxa"/>
            <w:vAlign w:val="bottom"/>
            <w:shd w:val="clear" w:color="auto" w:fill="E6E7E8"/>
          </w:tcPr>
          <w:p>
            <w:pPr>
              <w:spacing w:after="0"/>
              <w:rPr>
                <w:sz w:val="20"/>
                <w:szCs w:val="20"/>
                <w:color w:val="auto"/>
              </w:rPr>
            </w:pPr>
          </w:p>
        </w:tc>
        <w:tc>
          <w:tcPr>
            <w:tcW w:w="12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105.8</w:t>
            </w: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24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Long-Term Debt, Current Portion</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37.9</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24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Regulatory Liabilities</w:t>
            </w:r>
          </w:p>
        </w:tc>
        <w:tc>
          <w:tcPr>
            <w:tcW w:w="120" w:type="dxa"/>
            <w:vAlign w:val="bottom"/>
            <w:shd w:val="clear" w:color="auto" w:fill="E6E7E8"/>
          </w:tcPr>
          <w:p>
            <w:pPr>
              <w:spacing w:after="0"/>
              <w:rPr>
                <w:sz w:val="20"/>
                <w:szCs w:val="20"/>
                <w:color w:val="auto"/>
              </w:rPr>
            </w:pPr>
          </w:p>
        </w:tc>
        <w:tc>
          <w:tcPr>
            <w:tcW w:w="360" w:type="dxa"/>
            <w:vAlign w:val="bottom"/>
            <w:shd w:val="clear" w:color="auto" w:fill="E6E7E8"/>
          </w:tcPr>
          <w:p>
            <w:pPr>
              <w:spacing w:after="0"/>
              <w:rPr>
                <w:sz w:val="20"/>
                <w:szCs w:val="20"/>
                <w:color w:val="auto"/>
              </w:rPr>
            </w:pPr>
          </w:p>
        </w:tc>
        <w:tc>
          <w:tcPr>
            <w:tcW w:w="12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16.7</w:t>
            </w:r>
          </w:p>
        </w:tc>
        <w:tc>
          <w:tcPr>
            <w:tcW w:w="260" w:type="dxa"/>
            <w:vAlign w:val="bottom"/>
            <w:shd w:val="clear" w:color="auto" w:fill="E6E7E8"/>
          </w:tcPr>
          <w:p>
            <w:pPr>
              <w:spacing w:after="0"/>
              <w:rPr>
                <w:sz w:val="20"/>
                <w:szCs w:val="20"/>
                <w:color w:val="auto"/>
              </w:rPr>
            </w:pPr>
          </w:p>
        </w:tc>
        <w:tc>
          <w:tcPr>
            <w:tcW w:w="360" w:type="dxa"/>
            <w:vAlign w:val="bottom"/>
            <w:shd w:val="clear" w:color="auto" w:fill="E6E7E8"/>
          </w:tcPr>
          <w:p>
            <w:pPr>
              <w:spacing w:after="0"/>
              <w:rPr>
                <w:sz w:val="20"/>
                <w:szCs w:val="20"/>
                <w:color w:val="auto"/>
              </w:rPr>
            </w:pPr>
          </w:p>
        </w:tc>
        <w:tc>
          <w:tcPr>
            <w:tcW w:w="12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17.2</w:t>
            </w: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24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Energy Supply Obligations</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11.6</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24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Environmental Obligations</w:t>
            </w:r>
          </w:p>
        </w:tc>
        <w:tc>
          <w:tcPr>
            <w:tcW w:w="120" w:type="dxa"/>
            <w:vAlign w:val="bottom"/>
            <w:shd w:val="clear" w:color="auto" w:fill="E6E7E8"/>
          </w:tcPr>
          <w:p>
            <w:pPr>
              <w:spacing w:after="0"/>
              <w:rPr>
                <w:sz w:val="20"/>
                <w:szCs w:val="20"/>
                <w:color w:val="auto"/>
              </w:rPr>
            </w:pPr>
          </w:p>
        </w:tc>
        <w:tc>
          <w:tcPr>
            <w:tcW w:w="360" w:type="dxa"/>
            <w:vAlign w:val="bottom"/>
            <w:shd w:val="clear" w:color="auto" w:fill="E6E7E8"/>
          </w:tcPr>
          <w:p>
            <w:pPr>
              <w:spacing w:after="0"/>
              <w:rPr>
                <w:sz w:val="20"/>
                <w:szCs w:val="20"/>
                <w:color w:val="auto"/>
              </w:rPr>
            </w:pPr>
          </w:p>
        </w:tc>
        <w:tc>
          <w:tcPr>
            <w:tcW w:w="12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0.8</w:t>
            </w:r>
          </w:p>
        </w:tc>
        <w:tc>
          <w:tcPr>
            <w:tcW w:w="260" w:type="dxa"/>
            <w:vAlign w:val="bottom"/>
            <w:shd w:val="clear" w:color="auto" w:fill="E6E7E8"/>
          </w:tcPr>
          <w:p>
            <w:pPr>
              <w:spacing w:after="0"/>
              <w:rPr>
                <w:sz w:val="20"/>
                <w:szCs w:val="20"/>
                <w:color w:val="auto"/>
              </w:rPr>
            </w:pPr>
          </w:p>
        </w:tc>
        <w:tc>
          <w:tcPr>
            <w:tcW w:w="360" w:type="dxa"/>
            <w:vAlign w:val="bottom"/>
            <w:shd w:val="clear" w:color="auto" w:fill="E6E7E8"/>
          </w:tcPr>
          <w:p>
            <w:pPr>
              <w:spacing w:after="0"/>
              <w:rPr>
                <w:sz w:val="20"/>
                <w:szCs w:val="20"/>
                <w:color w:val="auto"/>
              </w:rPr>
            </w:pPr>
          </w:p>
        </w:tc>
        <w:tc>
          <w:tcPr>
            <w:tcW w:w="12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0.7</w:t>
            </w: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24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Operating Lease Obligations</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2.1</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24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Interest Payable</w:t>
            </w:r>
          </w:p>
        </w:tc>
        <w:tc>
          <w:tcPr>
            <w:tcW w:w="120" w:type="dxa"/>
            <w:vAlign w:val="bottom"/>
            <w:shd w:val="clear" w:color="auto" w:fill="E6E7E8"/>
          </w:tcPr>
          <w:p>
            <w:pPr>
              <w:spacing w:after="0"/>
              <w:rPr>
                <w:sz w:val="20"/>
                <w:szCs w:val="20"/>
                <w:color w:val="auto"/>
              </w:rPr>
            </w:pPr>
          </w:p>
        </w:tc>
        <w:tc>
          <w:tcPr>
            <w:tcW w:w="360" w:type="dxa"/>
            <w:vAlign w:val="bottom"/>
            <w:shd w:val="clear" w:color="auto" w:fill="E6E7E8"/>
          </w:tcPr>
          <w:p>
            <w:pPr>
              <w:spacing w:after="0"/>
              <w:rPr>
                <w:sz w:val="20"/>
                <w:szCs w:val="20"/>
                <w:color w:val="auto"/>
              </w:rPr>
            </w:pPr>
          </w:p>
        </w:tc>
        <w:tc>
          <w:tcPr>
            <w:tcW w:w="12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9.4</w:t>
            </w:r>
          </w:p>
        </w:tc>
        <w:tc>
          <w:tcPr>
            <w:tcW w:w="260" w:type="dxa"/>
            <w:vAlign w:val="bottom"/>
            <w:shd w:val="clear" w:color="auto" w:fill="E6E7E8"/>
          </w:tcPr>
          <w:p>
            <w:pPr>
              <w:spacing w:after="0"/>
              <w:rPr>
                <w:sz w:val="20"/>
                <w:szCs w:val="20"/>
                <w:color w:val="auto"/>
              </w:rPr>
            </w:pPr>
          </w:p>
        </w:tc>
        <w:tc>
          <w:tcPr>
            <w:tcW w:w="360" w:type="dxa"/>
            <w:vAlign w:val="bottom"/>
            <w:shd w:val="clear" w:color="auto" w:fill="E6E7E8"/>
          </w:tcPr>
          <w:p>
            <w:pPr>
              <w:spacing w:after="0"/>
              <w:rPr>
                <w:sz w:val="20"/>
                <w:szCs w:val="20"/>
                <w:color w:val="auto"/>
              </w:rPr>
            </w:pPr>
          </w:p>
        </w:tc>
        <w:tc>
          <w:tcPr>
            <w:tcW w:w="12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8.4</w:t>
            </w: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240" w:type="dxa"/>
            <w:vAlign w:val="bottom"/>
            <w:tcBorders>
              <w:bottom w:val="single" w:sz="8" w:color="E6E7E8"/>
            </w:tcBorders>
            <w:gridSpan w:val="2"/>
          </w:tcPr>
          <w:p>
            <w:pPr>
              <w:ind w:left="200"/>
              <w:spacing w:after="0"/>
              <w:rPr>
                <w:sz w:val="20"/>
                <w:szCs w:val="20"/>
                <w:color w:val="auto"/>
              </w:rPr>
            </w:pPr>
            <w:r>
              <w:rPr>
                <w:rFonts w:ascii="Times New Roman" w:cs="Times New Roman" w:eastAsia="Times New Roman" w:hAnsi="Times New Roman"/>
                <w:sz w:val="19"/>
                <w:szCs w:val="19"/>
                <w:color w:val="231F20"/>
              </w:rPr>
              <w:t>Other Current Liabilities</w:t>
            </w:r>
          </w:p>
        </w:tc>
        <w:tc>
          <w:tcPr>
            <w:tcW w:w="120" w:type="dxa"/>
            <w:vAlign w:val="bottom"/>
            <w:tcBorders>
              <w:bottom w:val="single" w:sz="8" w:color="E6E7E8"/>
            </w:tcBorders>
          </w:tcPr>
          <w:p>
            <w:pPr>
              <w:spacing w:after="0"/>
              <w:rPr>
                <w:sz w:val="20"/>
                <w:szCs w:val="20"/>
                <w:color w:val="auto"/>
              </w:rPr>
            </w:pPr>
          </w:p>
        </w:tc>
        <w:tc>
          <w:tcPr>
            <w:tcW w:w="360" w:type="dxa"/>
            <w:vAlign w:val="bottom"/>
            <w:tcBorders>
              <w:bottom w:val="single" w:sz="8" w:color="231F20"/>
            </w:tcBorders>
          </w:tcPr>
          <w:p>
            <w:pPr>
              <w:spacing w:after="0"/>
              <w:rPr>
                <w:sz w:val="20"/>
                <w:szCs w:val="20"/>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28.7</w:t>
            </w:r>
          </w:p>
        </w:tc>
        <w:tc>
          <w:tcPr>
            <w:tcW w:w="260" w:type="dxa"/>
            <w:vAlign w:val="bottom"/>
            <w:tcBorders>
              <w:bottom w:val="single" w:sz="8" w:color="E6E7E8"/>
            </w:tcBorders>
          </w:tcPr>
          <w:p>
            <w:pPr>
              <w:spacing w:after="0"/>
              <w:rPr>
                <w:sz w:val="20"/>
                <w:szCs w:val="20"/>
                <w:color w:val="auto"/>
              </w:rPr>
            </w:pPr>
          </w:p>
        </w:tc>
        <w:tc>
          <w:tcPr>
            <w:tcW w:w="360" w:type="dxa"/>
            <w:vAlign w:val="bottom"/>
            <w:tcBorders>
              <w:bottom w:val="single" w:sz="8" w:color="231F20"/>
            </w:tcBorders>
          </w:tcPr>
          <w:p>
            <w:pPr>
              <w:spacing w:after="0"/>
              <w:rPr>
                <w:sz w:val="20"/>
                <w:szCs w:val="20"/>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30.2</w:t>
            </w:r>
          </w:p>
        </w:tc>
        <w:tc>
          <w:tcPr>
            <w:tcW w:w="60" w:type="dxa"/>
            <w:vAlign w:val="bottom"/>
            <w:tcBorders>
              <w:bottom w:val="single" w:sz="8" w:color="E6E7E8"/>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240" w:type="dxa"/>
            <w:vAlign w:val="bottom"/>
            <w:gridSpan w:val="2"/>
            <w:shd w:val="clear" w:color="auto" w:fill="E6E7E8"/>
          </w:tcPr>
          <w:p>
            <w:pPr>
              <w:ind w:left="400"/>
              <w:spacing w:after="0"/>
              <w:rPr>
                <w:sz w:val="20"/>
                <w:szCs w:val="20"/>
                <w:color w:val="auto"/>
              </w:rPr>
            </w:pPr>
            <w:r>
              <w:rPr>
                <w:rFonts w:ascii="Times New Roman" w:cs="Times New Roman" w:eastAsia="Times New Roman" w:hAnsi="Times New Roman"/>
                <w:sz w:val="19"/>
                <w:szCs w:val="19"/>
                <w:color w:val="231F20"/>
              </w:rPr>
              <w:t>Total Current Liabilities</w:t>
            </w:r>
          </w:p>
        </w:tc>
        <w:tc>
          <w:tcPr>
            <w:tcW w:w="120" w:type="dxa"/>
            <w:vAlign w:val="bottom"/>
            <w:shd w:val="clear" w:color="auto" w:fill="E6E7E8"/>
          </w:tcPr>
          <w:p>
            <w:pPr>
              <w:spacing w:after="0"/>
              <w:rPr>
                <w:sz w:val="19"/>
                <w:szCs w:val="19"/>
                <w:color w:val="auto"/>
              </w:rPr>
            </w:pPr>
          </w:p>
        </w:tc>
        <w:tc>
          <w:tcPr>
            <w:tcW w:w="360" w:type="dxa"/>
            <w:vAlign w:val="bottom"/>
            <w:tcBorders>
              <w:bottom w:val="single" w:sz="8" w:color="231F20"/>
            </w:tcBorders>
            <w:shd w:val="clear" w:color="auto" w:fill="E6E7E8"/>
          </w:tcPr>
          <w:p>
            <w:pPr>
              <w:spacing w:after="0"/>
              <w:rPr>
                <w:sz w:val="19"/>
                <w:szCs w:val="19"/>
                <w:color w:val="auto"/>
              </w:rPr>
            </w:pPr>
          </w:p>
        </w:tc>
        <w:tc>
          <w:tcPr>
            <w:tcW w:w="120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425.8</w:t>
            </w:r>
          </w:p>
        </w:tc>
        <w:tc>
          <w:tcPr>
            <w:tcW w:w="260" w:type="dxa"/>
            <w:vAlign w:val="bottom"/>
            <w:shd w:val="clear" w:color="auto" w:fill="E6E7E8"/>
          </w:tcPr>
          <w:p>
            <w:pPr>
              <w:spacing w:after="0"/>
              <w:rPr>
                <w:sz w:val="19"/>
                <w:szCs w:val="19"/>
                <w:color w:val="auto"/>
              </w:rPr>
            </w:pPr>
          </w:p>
        </w:tc>
        <w:tc>
          <w:tcPr>
            <w:tcW w:w="360" w:type="dxa"/>
            <w:vAlign w:val="bottom"/>
            <w:tcBorders>
              <w:bottom w:val="single" w:sz="8" w:color="231F20"/>
            </w:tcBorders>
            <w:shd w:val="clear" w:color="auto" w:fill="E6E7E8"/>
          </w:tcPr>
          <w:p>
            <w:pPr>
              <w:spacing w:after="0"/>
              <w:rPr>
                <w:sz w:val="19"/>
                <w:szCs w:val="19"/>
                <w:color w:val="auto"/>
              </w:rPr>
            </w:pPr>
          </w:p>
        </w:tc>
        <w:tc>
          <w:tcPr>
            <w:tcW w:w="120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228.7</w:t>
            </w:r>
          </w:p>
        </w:tc>
        <w:tc>
          <w:tcPr>
            <w:tcW w:w="60" w:type="dxa"/>
            <w:vAlign w:val="bottom"/>
            <w:shd w:val="clear" w:color="auto" w:fill="E6E7E8"/>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231F20"/>
              </w:rPr>
              <w:t>Noncurrent Liabilities: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240" w:type="dxa"/>
            <w:vAlign w:val="bottom"/>
            <w:gridSpan w:val="2"/>
            <w:shd w:val="clear" w:color="auto" w:fill="E6E7E8"/>
          </w:tcPr>
          <w:p>
            <w:pPr>
              <w:ind w:left="300"/>
              <w:spacing w:after="0"/>
              <w:rPr>
                <w:sz w:val="20"/>
                <w:szCs w:val="20"/>
                <w:color w:val="auto"/>
              </w:rPr>
            </w:pPr>
            <w:r>
              <w:rPr>
                <w:rFonts w:ascii="Times New Roman" w:cs="Times New Roman" w:eastAsia="Times New Roman" w:hAnsi="Times New Roman"/>
                <w:sz w:val="19"/>
                <w:szCs w:val="19"/>
                <w:color w:val="231F20"/>
              </w:rPr>
              <w:t>Retirement Benefit Obligations</w:t>
            </w:r>
          </w:p>
        </w:tc>
        <w:tc>
          <w:tcPr>
            <w:tcW w:w="120" w:type="dxa"/>
            <w:vAlign w:val="bottom"/>
            <w:shd w:val="clear" w:color="auto" w:fill="E6E7E8"/>
          </w:tcPr>
          <w:p>
            <w:pPr>
              <w:spacing w:after="0"/>
              <w:rPr>
                <w:sz w:val="20"/>
                <w:szCs w:val="20"/>
                <w:color w:val="auto"/>
              </w:rPr>
            </w:pPr>
          </w:p>
        </w:tc>
        <w:tc>
          <w:tcPr>
            <w:tcW w:w="360" w:type="dxa"/>
            <w:vAlign w:val="bottom"/>
            <w:shd w:val="clear" w:color="auto" w:fill="E6E7E8"/>
          </w:tcPr>
          <w:p>
            <w:pPr>
              <w:spacing w:after="0"/>
              <w:rPr>
                <w:sz w:val="20"/>
                <w:szCs w:val="20"/>
                <w:color w:val="auto"/>
              </w:rPr>
            </w:pPr>
          </w:p>
        </w:tc>
        <w:tc>
          <w:tcPr>
            <w:tcW w:w="12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32.9</w:t>
            </w:r>
          </w:p>
        </w:tc>
        <w:tc>
          <w:tcPr>
            <w:tcW w:w="260" w:type="dxa"/>
            <w:vAlign w:val="bottom"/>
            <w:shd w:val="clear" w:color="auto" w:fill="E6E7E8"/>
          </w:tcPr>
          <w:p>
            <w:pPr>
              <w:spacing w:after="0"/>
              <w:rPr>
                <w:sz w:val="20"/>
                <w:szCs w:val="20"/>
                <w:color w:val="auto"/>
              </w:rPr>
            </w:pPr>
          </w:p>
        </w:tc>
        <w:tc>
          <w:tcPr>
            <w:tcW w:w="360" w:type="dxa"/>
            <w:vAlign w:val="bottom"/>
            <w:shd w:val="clear" w:color="auto" w:fill="E6E7E8"/>
          </w:tcPr>
          <w:p>
            <w:pPr>
              <w:spacing w:after="0"/>
              <w:rPr>
                <w:sz w:val="20"/>
                <w:szCs w:val="20"/>
                <w:color w:val="auto"/>
              </w:rPr>
            </w:pPr>
          </w:p>
        </w:tc>
        <w:tc>
          <w:tcPr>
            <w:tcW w:w="12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25.5</w:t>
            </w: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24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231F20"/>
              </w:rPr>
              <w:t>Deferred Income Taxes, Net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196.7</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186.1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240" w:type="dxa"/>
            <w:vAlign w:val="bottom"/>
            <w:gridSpan w:val="2"/>
            <w:shd w:val="clear" w:color="auto" w:fill="E6E7E8"/>
          </w:tcPr>
          <w:p>
            <w:pPr>
              <w:ind w:left="300"/>
              <w:spacing w:after="0"/>
              <w:rPr>
                <w:sz w:val="20"/>
                <w:szCs w:val="20"/>
                <w:color w:val="auto"/>
              </w:rPr>
            </w:pPr>
            <w:r>
              <w:rPr>
                <w:rFonts w:ascii="Times New Roman" w:cs="Times New Roman" w:eastAsia="Times New Roman" w:hAnsi="Times New Roman"/>
                <w:sz w:val="19"/>
                <w:szCs w:val="19"/>
                <w:color w:val="231F20"/>
              </w:rPr>
              <w:t>Cost of Removal Obligations</w:t>
            </w:r>
          </w:p>
        </w:tc>
        <w:tc>
          <w:tcPr>
            <w:tcW w:w="120" w:type="dxa"/>
            <w:vAlign w:val="bottom"/>
            <w:shd w:val="clear" w:color="auto" w:fill="E6E7E8"/>
          </w:tcPr>
          <w:p>
            <w:pPr>
              <w:spacing w:after="0"/>
              <w:rPr>
                <w:sz w:val="20"/>
                <w:szCs w:val="20"/>
                <w:color w:val="auto"/>
              </w:rPr>
            </w:pPr>
          </w:p>
        </w:tc>
        <w:tc>
          <w:tcPr>
            <w:tcW w:w="360" w:type="dxa"/>
            <w:vAlign w:val="bottom"/>
            <w:shd w:val="clear" w:color="auto" w:fill="E6E7E8"/>
          </w:tcPr>
          <w:p>
            <w:pPr>
              <w:spacing w:after="0"/>
              <w:rPr>
                <w:sz w:val="20"/>
                <w:szCs w:val="20"/>
                <w:color w:val="auto"/>
              </w:rPr>
            </w:pPr>
          </w:p>
        </w:tc>
        <w:tc>
          <w:tcPr>
            <w:tcW w:w="12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153.0</w:t>
            </w:r>
          </w:p>
        </w:tc>
        <w:tc>
          <w:tcPr>
            <w:tcW w:w="260" w:type="dxa"/>
            <w:vAlign w:val="bottom"/>
            <w:shd w:val="clear" w:color="auto" w:fill="E6E7E8"/>
          </w:tcPr>
          <w:p>
            <w:pPr>
              <w:spacing w:after="0"/>
              <w:rPr>
                <w:sz w:val="20"/>
                <w:szCs w:val="20"/>
                <w:color w:val="auto"/>
              </w:rPr>
            </w:pPr>
          </w:p>
        </w:tc>
        <w:tc>
          <w:tcPr>
            <w:tcW w:w="360" w:type="dxa"/>
            <w:vAlign w:val="bottom"/>
            <w:shd w:val="clear" w:color="auto" w:fill="E6E7E8"/>
          </w:tcPr>
          <w:p>
            <w:pPr>
              <w:spacing w:after="0"/>
              <w:rPr>
                <w:sz w:val="20"/>
                <w:szCs w:val="20"/>
                <w:color w:val="auto"/>
              </w:rPr>
            </w:pPr>
          </w:p>
        </w:tc>
        <w:tc>
          <w:tcPr>
            <w:tcW w:w="12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139.2</w:t>
            </w: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24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231F20"/>
              </w:rPr>
              <w:t>Regulatory Liabilities</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64.1</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240" w:type="dxa"/>
            <w:vAlign w:val="bottom"/>
            <w:gridSpan w:val="2"/>
            <w:shd w:val="clear" w:color="auto" w:fill="E6E7E8"/>
          </w:tcPr>
          <w:p>
            <w:pPr>
              <w:ind w:left="300"/>
              <w:spacing w:after="0"/>
              <w:rPr>
                <w:sz w:val="20"/>
                <w:szCs w:val="20"/>
                <w:color w:val="auto"/>
              </w:rPr>
            </w:pPr>
            <w:r>
              <w:rPr>
                <w:rFonts w:ascii="Times New Roman" w:cs="Times New Roman" w:eastAsia="Times New Roman" w:hAnsi="Times New Roman"/>
                <w:sz w:val="19"/>
                <w:szCs w:val="19"/>
                <w:color w:val="231F20"/>
              </w:rPr>
              <w:t>Environmental Obligations</w:t>
            </w:r>
          </w:p>
        </w:tc>
        <w:tc>
          <w:tcPr>
            <w:tcW w:w="120" w:type="dxa"/>
            <w:vAlign w:val="bottom"/>
            <w:shd w:val="clear" w:color="auto" w:fill="E6E7E8"/>
          </w:tcPr>
          <w:p>
            <w:pPr>
              <w:spacing w:after="0"/>
              <w:rPr>
                <w:sz w:val="20"/>
                <w:szCs w:val="20"/>
                <w:color w:val="auto"/>
              </w:rPr>
            </w:pPr>
          </w:p>
        </w:tc>
        <w:tc>
          <w:tcPr>
            <w:tcW w:w="360" w:type="dxa"/>
            <w:vAlign w:val="bottom"/>
            <w:shd w:val="clear" w:color="auto" w:fill="E6E7E8"/>
          </w:tcPr>
          <w:p>
            <w:pPr>
              <w:spacing w:after="0"/>
              <w:rPr>
                <w:sz w:val="20"/>
                <w:szCs w:val="20"/>
                <w:color w:val="auto"/>
              </w:rPr>
            </w:pPr>
          </w:p>
        </w:tc>
        <w:tc>
          <w:tcPr>
            <w:tcW w:w="12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7.3</w:t>
            </w:r>
          </w:p>
        </w:tc>
        <w:tc>
          <w:tcPr>
            <w:tcW w:w="260" w:type="dxa"/>
            <w:vAlign w:val="bottom"/>
            <w:shd w:val="clear" w:color="auto" w:fill="E6E7E8"/>
          </w:tcPr>
          <w:p>
            <w:pPr>
              <w:spacing w:after="0"/>
              <w:rPr>
                <w:sz w:val="20"/>
                <w:szCs w:val="20"/>
                <w:color w:val="auto"/>
              </w:rPr>
            </w:pPr>
          </w:p>
        </w:tc>
        <w:tc>
          <w:tcPr>
            <w:tcW w:w="360" w:type="dxa"/>
            <w:vAlign w:val="bottom"/>
            <w:shd w:val="clear" w:color="auto" w:fill="E6E7E8"/>
          </w:tcPr>
          <w:p>
            <w:pPr>
              <w:spacing w:after="0"/>
              <w:rPr>
                <w:sz w:val="20"/>
                <w:szCs w:val="20"/>
                <w:color w:val="auto"/>
              </w:rPr>
            </w:pPr>
          </w:p>
        </w:tc>
        <w:tc>
          <w:tcPr>
            <w:tcW w:w="12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7.1</w:t>
            </w: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24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231F20"/>
              </w:rPr>
              <w:t>Operating Lease Obligations</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4.9</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240" w:type="dxa"/>
            <w:vAlign w:val="bottom"/>
            <w:tcBorders>
              <w:bottom w:val="single" w:sz="8" w:color="E6E7E8"/>
            </w:tcBorders>
            <w:gridSpan w:val="2"/>
            <w:shd w:val="clear" w:color="auto" w:fill="E6E7E8"/>
          </w:tcPr>
          <w:p>
            <w:pPr>
              <w:ind w:left="300"/>
              <w:spacing w:after="0"/>
              <w:rPr>
                <w:sz w:val="20"/>
                <w:szCs w:val="20"/>
                <w:color w:val="auto"/>
              </w:rPr>
            </w:pPr>
            <w:r>
              <w:rPr>
                <w:rFonts w:ascii="Times New Roman" w:cs="Times New Roman" w:eastAsia="Times New Roman" w:hAnsi="Times New Roman"/>
                <w:sz w:val="19"/>
                <w:szCs w:val="19"/>
                <w:color w:val="231F20"/>
              </w:rPr>
              <w:t>Other Noncurrent Liabilities</w:t>
            </w:r>
          </w:p>
        </w:tc>
        <w:tc>
          <w:tcPr>
            <w:tcW w:w="120" w:type="dxa"/>
            <w:vAlign w:val="bottom"/>
            <w:tcBorders>
              <w:bottom w:val="single" w:sz="8" w:color="E6E7E8"/>
            </w:tcBorders>
            <w:shd w:val="clear" w:color="auto" w:fill="E6E7E8"/>
          </w:tcPr>
          <w:p>
            <w:pPr>
              <w:spacing w:after="0"/>
              <w:rPr>
                <w:sz w:val="21"/>
                <w:szCs w:val="21"/>
                <w:color w:val="auto"/>
              </w:rPr>
            </w:pPr>
          </w:p>
        </w:tc>
        <w:tc>
          <w:tcPr>
            <w:tcW w:w="360" w:type="dxa"/>
            <w:vAlign w:val="bottom"/>
            <w:tcBorders>
              <w:bottom w:val="single" w:sz="8" w:color="231F20"/>
            </w:tcBorders>
            <w:shd w:val="clear" w:color="auto" w:fill="E6E7E8"/>
          </w:tcPr>
          <w:p>
            <w:pPr>
              <w:spacing w:after="0"/>
              <w:rPr>
                <w:sz w:val="21"/>
                <w:szCs w:val="21"/>
                <w:color w:val="auto"/>
              </w:rPr>
            </w:pPr>
          </w:p>
        </w:tc>
        <w:tc>
          <w:tcPr>
            <w:tcW w:w="120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7.3</w:t>
            </w:r>
          </w:p>
        </w:tc>
        <w:tc>
          <w:tcPr>
            <w:tcW w:w="260" w:type="dxa"/>
            <w:vAlign w:val="bottom"/>
            <w:tcBorders>
              <w:bottom w:val="single" w:sz="8" w:color="E6E7E8"/>
            </w:tcBorders>
            <w:shd w:val="clear" w:color="auto" w:fill="E6E7E8"/>
          </w:tcPr>
          <w:p>
            <w:pPr>
              <w:spacing w:after="0"/>
              <w:rPr>
                <w:sz w:val="21"/>
                <w:szCs w:val="21"/>
                <w:color w:val="auto"/>
              </w:rPr>
            </w:pPr>
          </w:p>
        </w:tc>
        <w:tc>
          <w:tcPr>
            <w:tcW w:w="360" w:type="dxa"/>
            <w:vAlign w:val="bottom"/>
            <w:tcBorders>
              <w:bottom w:val="single" w:sz="8" w:color="231F20"/>
            </w:tcBorders>
            <w:shd w:val="clear" w:color="auto" w:fill="E6E7E8"/>
          </w:tcPr>
          <w:p>
            <w:pPr>
              <w:spacing w:after="0"/>
              <w:rPr>
                <w:sz w:val="21"/>
                <w:szCs w:val="21"/>
                <w:color w:val="auto"/>
              </w:rPr>
            </w:pPr>
          </w:p>
        </w:tc>
        <w:tc>
          <w:tcPr>
            <w:tcW w:w="120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5.3</w:t>
            </w:r>
          </w:p>
        </w:tc>
        <w:tc>
          <w:tcPr>
            <w:tcW w:w="60" w:type="dxa"/>
            <w:vAlign w:val="bottom"/>
            <w:tcBorders>
              <w:bottom w:val="single" w:sz="8" w:color="E6E7E8"/>
            </w:tcBorders>
            <w:shd w:val="clear" w:color="auto" w:fill="E6E7E8"/>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7240" w:type="dxa"/>
            <w:vAlign w:val="bottom"/>
            <w:tcBorders>
              <w:bottom w:val="single" w:sz="8" w:color="E6E7E8"/>
            </w:tcBorders>
            <w:gridSpan w:val="2"/>
          </w:tcPr>
          <w:p>
            <w:pPr>
              <w:ind w:left="400"/>
              <w:spacing w:after="0" w:line="207" w:lineRule="exact"/>
              <w:rPr>
                <w:sz w:val="20"/>
                <w:szCs w:val="20"/>
                <w:color w:val="auto"/>
              </w:rPr>
            </w:pPr>
            <w:r>
              <w:rPr>
                <w:rFonts w:ascii="Times New Roman" w:cs="Times New Roman" w:eastAsia="Times New Roman" w:hAnsi="Times New Roman"/>
                <w:sz w:val="19"/>
                <w:szCs w:val="19"/>
                <w:color w:val="231F20"/>
              </w:rPr>
              <w:t>Total Noncurrent Liabilities</w:t>
            </w:r>
          </w:p>
        </w:tc>
        <w:tc>
          <w:tcPr>
            <w:tcW w:w="120" w:type="dxa"/>
            <w:vAlign w:val="bottom"/>
            <w:tcBorders>
              <w:bottom w:val="single" w:sz="8" w:color="E6E7E8"/>
            </w:tcBorders>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1200" w:type="dxa"/>
            <w:vAlign w:val="bottom"/>
            <w:tcBorders>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b w:val="1"/>
                <w:bCs w:val="1"/>
                <w:color w:val="231F20"/>
              </w:rPr>
              <w:t>466.2</w:t>
            </w:r>
          </w:p>
        </w:tc>
        <w:tc>
          <w:tcPr>
            <w:tcW w:w="260" w:type="dxa"/>
            <w:vAlign w:val="bottom"/>
            <w:tcBorders>
              <w:bottom w:val="single" w:sz="8" w:color="E6E7E8"/>
            </w:tcBorders>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1200" w:type="dxa"/>
            <w:vAlign w:val="bottom"/>
            <w:tcBorders>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rPr>
              <w:t>414.9</w:t>
            </w:r>
          </w:p>
        </w:tc>
        <w:tc>
          <w:tcPr>
            <w:tcW w:w="60" w:type="dxa"/>
            <w:vAlign w:val="bottom"/>
            <w:tcBorders>
              <w:bottom w:val="single" w:sz="8" w:color="E6E7E8"/>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24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19"/>
                <w:szCs w:val="19"/>
                <w:b w:val="1"/>
                <w:bCs w:val="1"/>
                <w:color w:val="231F20"/>
              </w:rPr>
              <w:t>Capitalization:</w:t>
            </w:r>
          </w:p>
        </w:tc>
        <w:tc>
          <w:tcPr>
            <w:tcW w:w="120" w:type="dxa"/>
            <w:vAlign w:val="bottom"/>
            <w:shd w:val="clear" w:color="auto" w:fill="E6E7E8"/>
          </w:tcPr>
          <w:p>
            <w:pPr>
              <w:spacing w:after="0"/>
              <w:rPr>
                <w:sz w:val="19"/>
                <w:szCs w:val="19"/>
                <w:color w:val="auto"/>
              </w:rPr>
            </w:pPr>
          </w:p>
        </w:tc>
        <w:tc>
          <w:tcPr>
            <w:tcW w:w="360" w:type="dxa"/>
            <w:vAlign w:val="bottom"/>
            <w:shd w:val="clear" w:color="auto" w:fill="E6E7E8"/>
          </w:tcPr>
          <w:p>
            <w:pPr>
              <w:spacing w:after="0"/>
              <w:rPr>
                <w:sz w:val="19"/>
                <w:szCs w:val="19"/>
                <w:color w:val="auto"/>
              </w:rPr>
            </w:pPr>
          </w:p>
        </w:tc>
        <w:tc>
          <w:tcPr>
            <w:tcW w:w="1200" w:type="dxa"/>
            <w:vAlign w:val="bottom"/>
            <w:shd w:val="clear" w:color="auto" w:fill="E6E7E8"/>
          </w:tcPr>
          <w:p>
            <w:pPr>
              <w:spacing w:after="0"/>
              <w:rPr>
                <w:sz w:val="19"/>
                <w:szCs w:val="19"/>
                <w:color w:val="auto"/>
              </w:rPr>
            </w:pPr>
          </w:p>
        </w:tc>
        <w:tc>
          <w:tcPr>
            <w:tcW w:w="260" w:type="dxa"/>
            <w:vAlign w:val="bottom"/>
            <w:shd w:val="clear" w:color="auto" w:fill="E6E7E8"/>
          </w:tcPr>
          <w:p>
            <w:pPr>
              <w:spacing w:after="0"/>
              <w:rPr>
                <w:sz w:val="19"/>
                <w:szCs w:val="19"/>
                <w:color w:val="auto"/>
              </w:rPr>
            </w:pPr>
          </w:p>
        </w:tc>
        <w:tc>
          <w:tcPr>
            <w:tcW w:w="360" w:type="dxa"/>
            <w:vAlign w:val="bottom"/>
            <w:shd w:val="clear" w:color="auto" w:fill="E6E7E8"/>
          </w:tcPr>
          <w:p>
            <w:pPr>
              <w:spacing w:after="0"/>
              <w:rPr>
                <w:sz w:val="19"/>
                <w:szCs w:val="19"/>
                <w:color w:val="auto"/>
              </w:rPr>
            </w:pPr>
          </w:p>
        </w:tc>
        <w:tc>
          <w:tcPr>
            <w:tcW w:w="1200" w:type="dxa"/>
            <w:vAlign w:val="bottom"/>
            <w:shd w:val="clear" w:color="auto" w:fill="E6E7E8"/>
          </w:tcPr>
          <w:p>
            <w:pPr>
              <w:spacing w:after="0"/>
              <w:rPr>
                <w:sz w:val="19"/>
                <w:szCs w:val="19"/>
                <w:color w:val="auto"/>
              </w:rPr>
            </w:pPr>
          </w:p>
        </w:tc>
        <w:tc>
          <w:tcPr>
            <w:tcW w:w="60" w:type="dxa"/>
            <w:vAlign w:val="bottom"/>
            <w:shd w:val="clear" w:color="auto" w:fill="E6E7E8"/>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24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Long-Term Debt, Less Current Portion</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632.6</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638.4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24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Stockholders’ Equity:</w:t>
            </w:r>
          </w:p>
        </w:tc>
        <w:tc>
          <w:tcPr>
            <w:tcW w:w="120" w:type="dxa"/>
            <w:vAlign w:val="bottom"/>
            <w:shd w:val="clear" w:color="auto" w:fill="E6E7E8"/>
          </w:tcPr>
          <w:p>
            <w:pPr>
              <w:spacing w:after="0"/>
              <w:rPr>
                <w:sz w:val="20"/>
                <w:szCs w:val="20"/>
                <w:color w:val="auto"/>
              </w:rPr>
            </w:pPr>
          </w:p>
        </w:tc>
        <w:tc>
          <w:tcPr>
            <w:tcW w:w="360" w:type="dxa"/>
            <w:vAlign w:val="bottom"/>
            <w:shd w:val="clear" w:color="auto" w:fill="E6E7E8"/>
          </w:tcPr>
          <w:p>
            <w:pPr>
              <w:spacing w:after="0"/>
              <w:rPr>
                <w:sz w:val="20"/>
                <w:szCs w:val="20"/>
                <w:color w:val="auto"/>
              </w:rPr>
            </w:pPr>
          </w:p>
        </w:tc>
        <w:tc>
          <w:tcPr>
            <w:tcW w:w="1200" w:type="dxa"/>
            <w:vAlign w:val="bottom"/>
            <w:shd w:val="clear" w:color="auto" w:fill="E6E7E8"/>
          </w:tcPr>
          <w:p>
            <w:pPr>
              <w:spacing w:after="0"/>
              <w:rPr>
                <w:sz w:val="20"/>
                <w:szCs w:val="20"/>
                <w:color w:val="auto"/>
              </w:rPr>
            </w:pPr>
          </w:p>
        </w:tc>
        <w:tc>
          <w:tcPr>
            <w:tcW w:w="260" w:type="dxa"/>
            <w:vAlign w:val="bottom"/>
            <w:shd w:val="clear" w:color="auto" w:fill="E6E7E8"/>
          </w:tcPr>
          <w:p>
            <w:pPr>
              <w:spacing w:after="0"/>
              <w:rPr>
                <w:sz w:val="20"/>
                <w:szCs w:val="20"/>
                <w:color w:val="auto"/>
              </w:rPr>
            </w:pPr>
          </w:p>
        </w:tc>
        <w:tc>
          <w:tcPr>
            <w:tcW w:w="360" w:type="dxa"/>
            <w:vAlign w:val="bottom"/>
            <w:shd w:val="clear" w:color="auto" w:fill="E6E7E8"/>
          </w:tcPr>
          <w:p>
            <w:pPr>
              <w:spacing w:after="0"/>
              <w:rPr>
                <w:sz w:val="20"/>
                <w:szCs w:val="20"/>
                <w:color w:val="auto"/>
              </w:rPr>
            </w:pPr>
          </w:p>
        </w:tc>
        <w:tc>
          <w:tcPr>
            <w:tcW w:w="1200" w:type="dxa"/>
            <w:vAlign w:val="bottom"/>
            <w:shd w:val="clear" w:color="auto" w:fill="E6E7E8"/>
          </w:tcPr>
          <w:p>
            <w:pPr>
              <w:spacing w:after="0"/>
              <w:rPr>
                <w:sz w:val="20"/>
                <w:szCs w:val="20"/>
                <w:color w:val="auto"/>
              </w:rPr>
            </w:pP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240" w:type="dxa"/>
            <w:vAlign w:val="bottom"/>
            <w:gridSpan w:val="2"/>
          </w:tcPr>
          <w:p>
            <w:pPr>
              <w:ind w:left="400"/>
              <w:spacing w:after="0" w:line="213" w:lineRule="exact"/>
              <w:rPr>
                <w:sz w:val="20"/>
                <w:szCs w:val="20"/>
                <w:color w:val="auto"/>
              </w:rPr>
            </w:pPr>
            <w:r>
              <w:rPr>
                <w:rFonts w:ascii="Times New Roman" w:cs="Times New Roman" w:eastAsia="Times New Roman" w:hAnsi="Times New Roman"/>
                <w:sz w:val="19"/>
                <w:szCs w:val="19"/>
                <w:color w:val="231F20"/>
              </w:rPr>
              <w:t>Common Equity (No par value, Authorized 25,000,000 Shares; Outstanding 17,919,191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231F20"/>
              </w:rPr>
              <w:t>418.2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24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231F20"/>
              </w:rPr>
              <w:t>and 16,192,345 Shares as of respective dates)</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341.2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240" w:type="dxa"/>
            <w:vAlign w:val="bottom"/>
            <w:tcBorders>
              <w:bottom w:val="single" w:sz="8" w:color="E6E7E8"/>
            </w:tcBorders>
            <w:gridSpan w:val="2"/>
            <w:shd w:val="clear" w:color="auto" w:fill="E6E7E8"/>
          </w:tcPr>
          <w:p>
            <w:pPr>
              <w:ind w:left="400"/>
              <w:spacing w:after="0"/>
              <w:rPr>
                <w:sz w:val="20"/>
                <w:szCs w:val="20"/>
                <w:color w:val="auto"/>
              </w:rPr>
            </w:pPr>
            <w:r>
              <w:rPr>
                <w:rFonts w:ascii="Times New Roman" w:cs="Times New Roman" w:eastAsia="Times New Roman" w:hAnsi="Times New Roman"/>
                <w:sz w:val="19"/>
                <w:szCs w:val="19"/>
                <w:color w:val="231F20"/>
              </w:rPr>
              <w:t>Retained Earnings</w:t>
            </w:r>
          </w:p>
        </w:tc>
        <w:tc>
          <w:tcPr>
            <w:tcW w:w="120" w:type="dxa"/>
            <w:vAlign w:val="bottom"/>
            <w:tcBorders>
              <w:bottom w:val="single" w:sz="8" w:color="E6E7E8"/>
            </w:tcBorders>
            <w:shd w:val="clear" w:color="auto" w:fill="E6E7E8"/>
          </w:tcPr>
          <w:p>
            <w:pPr>
              <w:spacing w:after="0"/>
              <w:rPr>
                <w:sz w:val="21"/>
                <w:szCs w:val="21"/>
                <w:color w:val="auto"/>
              </w:rPr>
            </w:pPr>
          </w:p>
        </w:tc>
        <w:tc>
          <w:tcPr>
            <w:tcW w:w="360" w:type="dxa"/>
            <w:vAlign w:val="bottom"/>
            <w:tcBorders>
              <w:bottom w:val="single" w:sz="8" w:color="231F20"/>
            </w:tcBorders>
            <w:shd w:val="clear" w:color="auto" w:fill="E6E7E8"/>
          </w:tcPr>
          <w:p>
            <w:pPr>
              <w:spacing w:after="0"/>
              <w:rPr>
                <w:sz w:val="21"/>
                <w:szCs w:val="21"/>
                <w:color w:val="auto"/>
              </w:rPr>
            </w:pPr>
          </w:p>
        </w:tc>
        <w:tc>
          <w:tcPr>
            <w:tcW w:w="120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191.2</w:t>
            </w:r>
          </w:p>
        </w:tc>
        <w:tc>
          <w:tcPr>
            <w:tcW w:w="260" w:type="dxa"/>
            <w:vAlign w:val="bottom"/>
            <w:tcBorders>
              <w:bottom w:val="single" w:sz="8" w:color="E6E7E8"/>
            </w:tcBorders>
            <w:shd w:val="clear" w:color="auto" w:fill="E6E7E8"/>
          </w:tcPr>
          <w:p>
            <w:pPr>
              <w:spacing w:after="0"/>
              <w:rPr>
                <w:sz w:val="21"/>
                <w:szCs w:val="21"/>
                <w:color w:val="auto"/>
              </w:rPr>
            </w:pPr>
          </w:p>
        </w:tc>
        <w:tc>
          <w:tcPr>
            <w:tcW w:w="360" w:type="dxa"/>
            <w:vAlign w:val="bottom"/>
            <w:tcBorders>
              <w:bottom w:val="single" w:sz="8" w:color="231F20"/>
            </w:tcBorders>
            <w:shd w:val="clear" w:color="auto" w:fill="E6E7E8"/>
          </w:tcPr>
          <w:p>
            <w:pPr>
              <w:spacing w:after="0"/>
              <w:rPr>
                <w:sz w:val="21"/>
                <w:szCs w:val="21"/>
                <w:color w:val="auto"/>
              </w:rPr>
            </w:pPr>
          </w:p>
        </w:tc>
        <w:tc>
          <w:tcPr>
            <w:tcW w:w="120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171.1</w:t>
            </w:r>
          </w:p>
        </w:tc>
        <w:tc>
          <w:tcPr>
            <w:tcW w:w="60" w:type="dxa"/>
            <w:vAlign w:val="bottom"/>
            <w:tcBorders>
              <w:bottom w:val="single" w:sz="8" w:color="E6E7E8"/>
            </w:tcBorders>
            <w:shd w:val="clear" w:color="auto" w:fill="E6E7E8"/>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7240" w:type="dxa"/>
            <w:vAlign w:val="bottom"/>
            <w:gridSpan w:val="2"/>
          </w:tcPr>
          <w:p>
            <w:pPr>
              <w:ind w:left="800"/>
              <w:spacing w:after="0" w:line="207" w:lineRule="exact"/>
              <w:rPr>
                <w:sz w:val="20"/>
                <w:szCs w:val="20"/>
                <w:color w:val="auto"/>
              </w:rPr>
            </w:pPr>
            <w:r>
              <w:rPr>
                <w:rFonts w:ascii="Times New Roman" w:cs="Times New Roman" w:eastAsia="Times New Roman" w:hAnsi="Times New Roman"/>
                <w:sz w:val="19"/>
                <w:szCs w:val="19"/>
                <w:color w:val="231F20"/>
              </w:rPr>
              <w:t>Total Common Stock Equity</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line="207" w:lineRule="exact"/>
              <w:rPr>
                <w:sz w:val="20"/>
                <w:szCs w:val="20"/>
                <w:color w:val="auto"/>
              </w:rPr>
            </w:pPr>
            <w:r>
              <w:rPr>
                <w:rFonts w:ascii="Times New Roman" w:cs="Times New Roman" w:eastAsia="Times New Roman" w:hAnsi="Times New Roman"/>
                <w:sz w:val="19"/>
                <w:szCs w:val="19"/>
                <w:b w:val="1"/>
                <w:bCs w:val="1"/>
                <w:color w:val="231F20"/>
              </w:rPr>
              <w:t>609.4</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line="207" w:lineRule="exact"/>
              <w:rPr>
                <w:sz w:val="20"/>
                <w:szCs w:val="20"/>
                <w:color w:val="auto"/>
              </w:rPr>
            </w:pPr>
            <w:r>
              <w:rPr>
                <w:rFonts w:ascii="Times New Roman" w:cs="Times New Roman" w:eastAsia="Times New Roman" w:hAnsi="Times New Roman"/>
                <w:sz w:val="19"/>
                <w:szCs w:val="19"/>
                <w:color w:val="231F20"/>
              </w:rPr>
              <w:t>512.3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7240" w:type="dxa"/>
            <w:vAlign w:val="bottom"/>
            <w:tcBorders>
              <w:bottom w:val="single" w:sz="8" w:color="E6E7E8"/>
            </w:tcBorders>
            <w:gridSpan w:val="2"/>
            <w:shd w:val="clear" w:color="auto" w:fill="E6E7E8"/>
          </w:tcPr>
          <w:p>
            <w:pPr>
              <w:ind w:left="400"/>
              <w:spacing w:after="0"/>
              <w:rPr>
                <w:sz w:val="20"/>
                <w:szCs w:val="20"/>
                <w:color w:val="auto"/>
              </w:rPr>
            </w:pPr>
            <w:r>
              <w:rPr>
                <w:rFonts w:ascii="Times New Roman" w:cs="Times New Roman" w:eastAsia="Times New Roman" w:hAnsi="Times New Roman"/>
                <w:sz w:val="19"/>
                <w:szCs w:val="19"/>
                <w:color w:val="231F20"/>
              </w:rPr>
              <w:t>Preferred Stock</w:t>
            </w:r>
          </w:p>
        </w:tc>
        <w:tc>
          <w:tcPr>
            <w:tcW w:w="120" w:type="dxa"/>
            <w:vAlign w:val="bottom"/>
            <w:tcBorders>
              <w:bottom w:val="single" w:sz="8" w:color="E6E7E8"/>
            </w:tcBorders>
            <w:shd w:val="clear" w:color="auto" w:fill="E6E7E8"/>
          </w:tcPr>
          <w:p>
            <w:pPr>
              <w:spacing w:after="0"/>
              <w:rPr>
                <w:sz w:val="21"/>
                <w:szCs w:val="21"/>
                <w:color w:val="auto"/>
              </w:rPr>
            </w:pPr>
          </w:p>
        </w:tc>
        <w:tc>
          <w:tcPr>
            <w:tcW w:w="360" w:type="dxa"/>
            <w:vAlign w:val="bottom"/>
            <w:tcBorders>
              <w:bottom w:val="single" w:sz="8" w:color="231F20"/>
            </w:tcBorders>
            <w:shd w:val="clear" w:color="auto" w:fill="E6E7E8"/>
          </w:tcPr>
          <w:p>
            <w:pPr>
              <w:spacing w:after="0"/>
              <w:rPr>
                <w:sz w:val="21"/>
                <w:szCs w:val="21"/>
                <w:color w:val="auto"/>
              </w:rPr>
            </w:pPr>
          </w:p>
        </w:tc>
        <w:tc>
          <w:tcPr>
            <w:tcW w:w="120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0.2</w:t>
            </w:r>
          </w:p>
        </w:tc>
        <w:tc>
          <w:tcPr>
            <w:tcW w:w="260" w:type="dxa"/>
            <w:vAlign w:val="bottom"/>
            <w:tcBorders>
              <w:bottom w:val="single" w:sz="8" w:color="E6E7E8"/>
            </w:tcBorders>
            <w:shd w:val="clear" w:color="auto" w:fill="E6E7E8"/>
          </w:tcPr>
          <w:p>
            <w:pPr>
              <w:spacing w:after="0"/>
              <w:rPr>
                <w:sz w:val="21"/>
                <w:szCs w:val="21"/>
                <w:color w:val="auto"/>
              </w:rPr>
            </w:pPr>
          </w:p>
        </w:tc>
        <w:tc>
          <w:tcPr>
            <w:tcW w:w="360" w:type="dxa"/>
            <w:vAlign w:val="bottom"/>
            <w:tcBorders>
              <w:bottom w:val="single" w:sz="8" w:color="231F20"/>
            </w:tcBorders>
            <w:shd w:val="clear" w:color="auto" w:fill="E6E7E8"/>
          </w:tcPr>
          <w:p>
            <w:pPr>
              <w:spacing w:after="0"/>
              <w:rPr>
                <w:sz w:val="21"/>
                <w:szCs w:val="21"/>
                <w:color w:val="auto"/>
              </w:rPr>
            </w:pPr>
          </w:p>
        </w:tc>
        <w:tc>
          <w:tcPr>
            <w:tcW w:w="120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0.2</w:t>
            </w:r>
          </w:p>
        </w:tc>
        <w:tc>
          <w:tcPr>
            <w:tcW w:w="60" w:type="dxa"/>
            <w:vAlign w:val="bottom"/>
            <w:tcBorders>
              <w:bottom w:val="single" w:sz="8" w:color="E6E7E8"/>
            </w:tcBorders>
            <w:shd w:val="clear" w:color="auto" w:fill="E6E7E8"/>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7240" w:type="dxa"/>
            <w:vAlign w:val="bottom"/>
            <w:tcBorders>
              <w:bottom w:val="single" w:sz="8" w:color="E6E7E8"/>
            </w:tcBorders>
            <w:gridSpan w:val="2"/>
          </w:tcPr>
          <w:p>
            <w:pPr>
              <w:ind w:left="800"/>
              <w:spacing w:after="0" w:line="207" w:lineRule="exact"/>
              <w:rPr>
                <w:sz w:val="20"/>
                <w:szCs w:val="20"/>
                <w:color w:val="auto"/>
              </w:rPr>
            </w:pPr>
            <w:r>
              <w:rPr>
                <w:rFonts w:ascii="Times New Roman" w:cs="Times New Roman" w:eastAsia="Times New Roman" w:hAnsi="Times New Roman"/>
                <w:sz w:val="19"/>
                <w:szCs w:val="19"/>
                <w:color w:val="231F20"/>
              </w:rPr>
              <w:t>Total Stockholders’ Equity</w:t>
            </w:r>
          </w:p>
        </w:tc>
        <w:tc>
          <w:tcPr>
            <w:tcW w:w="120" w:type="dxa"/>
            <w:vAlign w:val="bottom"/>
            <w:tcBorders>
              <w:bottom w:val="single" w:sz="8" w:color="E6E7E8"/>
            </w:tcBorders>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1200" w:type="dxa"/>
            <w:vAlign w:val="bottom"/>
            <w:tcBorders>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b w:val="1"/>
                <w:bCs w:val="1"/>
                <w:color w:val="231F20"/>
              </w:rPr>
              <w:t>609.6</w:t>
            </w:r>
          </w:p>
        </w:tc>
        <w:tc>
          <w:tcPr>
            <w:tcW w:w="260" w:type="dxa"/>
            <w:vAlign w:val="bottom"/>
            <w:tcBorders>
              <w:bottom w:val="single" w:sz="8" w:color="E6E7E8"/>
            </w:tcBorders>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1200" w:type="dxa"/>
            <w:vAlign w:val="bottom"/>
            <w:tcBorders>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rPr>
              <w:t>512.5</w:t>
            </w:r>
          </w:p>
        </w:tc>
        <w:tc>
          <w:tcPr>
            <w:tcW w:w="60" w:type="dxa"/>
            <w:vAlign w:val="bottom"/>
            <w:tcBorders>
              <w:bottom w:val="single" w:sz="8" w:color="E6E7E8"/>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240" w:type="dxa"/>
            <w:vAlign w:val="bottom"/>
            <w:tcBorders>
              <w:bottom w:val="single" w:sz="8" w:color="E6E7E8"/>
            </w:tcBorders>
            <w:gridSpan w:val="2"/>
            <w:shd w:val="clear" w:color="auto" w:fill="E6E7E8"/>
          </w:tcPr>
          <w:p>
            <w:pPr>
              <w:ind w:left="600"/>
              <w:spacing w:after="0"/>
              <w:rPr>
                <w:sz w:val="20"/>
                <w:szCs w:val="20"/>
                <w:color w:val="auto"/>
              </w:rPr>
            </w:pPr>
            <w:r>
              <w:rPr>
                <w:rFonts w:ascii="Times New Roman" w:cs="Times New Roman" w:eastAsia="Times New Roman" w:hAnsi="Times New Roman"/>
                <w:sz w:val="19"/>
                <w:szCs w:val="19"/>
                <w:color w:val="231F20"/>
              </w:rPr>
              <w:t>Total Capitalization</w:t>
            </w:r>
          </w:p>
        </w:tc>
        <w:tc>
          <w:tcPr>
            <w:tcW w:w="120" w:type="dxa"/>
            <w:vAlign w:val="bottom"/>
            <w:tcBorders>
              <w:bottom w:val="single" w:sz="8" w:color="E6E7E8"/>
            </w:tcBorders>
            <w:shd w:val="clear" w:color="auto" w:fill="E6E7E8"/>
          </w:tcPr>
          <w:p>
            <w:pPr>
              <w:spacing w:after="0"/>
              <w:rPr>
                <w:sz w:val="21"/>
                <w:szCs w:val="21"/>
                <w:color w:val="auto"/>
              </w:rPr>
            </w:pPr>
          </w:p>
        </w:tc>
        <w:tc>
          <w:tcPr>
            <w:tcW w:w="360" w:type="dxa"/>
            <w:vAlign w:val="bottom"/>
            <w:tcBorders>
              <w:bottom w:val="single" w:sz="8" w:color="231F20"/>
            </w:tcBorders>
            <w:shd w:val="clear" w:color="auto" w:fill="E6E7E8"/>
          </w:tcPr>
          <w:p>
            <w:pPr>
              <w:spacing w:after="0"/>
              <w:rPr>
                <w:sz w:val="21"/>
                <w:szCs w:val="21"/>
                <w:color w:val="auto"/>
              </w:rPr>
            </w:pPr>
          </w:p>
        </w:tc>
        <w:tc>
          <w:tcPr>
            <w:tcW w:w="120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1,242.2</w:t>
            </w:r>
          </w:p>
        </w:tc>
        <w:tc>
          <w:tcPr>
            <w:tcW w:w="260" w:type="dxa"/>
            <w:vAlign w:val="bottom"/>
            <w:tcBorders>
              <w:bottom w:val="single" w:sz="8" w:color="E6E7E8"/>
            </w:tcBorders>
            <w:shd w:val="clear" w:color="auto" w:fill="E6E7E8"/>
          </w:tcPr>
          <w:p>
            <w:pPr>
              <w:spacing w:after="0"/>
              <w:rPr>
                <w:sz w:val="21"/>
                <w:szCs w:val="21"/>
                <w:color w:val="auto"/>
              </w:rPr>
            </w:pPr>
          </w:p>
        </w:tc>
        <w:tc>
          <w:tcPr>
            <w:tcW w:w="360" w:type="dxa"/>
            <w:vAlign w:val="bottom"/>
            <w:tcBorders>
              <w:bottom w:val="single" w:sz="8" w:color="231F20"/>
            </w:tcBorders>
            <w:shd w:val="clear" w:color="auto" w:fill="E6E7E8"/>
          </w:tcPr>
          <w:p>
            <w:pPr>
              <w:spacing w:after="0"/>
              <w:rPr>
                <w:sz w:val="21"/>
                <w:szCs w:val="21"/>
                <w:color w:val="auto"/>
              </w:rPr>
            </w:pPr>
          </w:p>
        </w:tc>
        <w:tc>
          <w:tcPr>
            <w:tcW w:w="120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1,150.9</w:t>
            </w:r>
          </w:p>
        </w:tc>
        <w:tc>
          <w:tcPr>
            <w:tcW w:w="60" w:type="dxa"/>
            <w:vAlign w:val="bottom"/>
            <w:tcBorders>
              <w:bottom w:val="single" w:sz="8" w:color="E6E7E8"/>
            </w:tcBorders>
            <w:shd w:val="clear" w:color="auto" w:fill="E6E7E8"/>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7240" w:type="dxa"/>
            <w:vAlign w:val="bottom"/>
            <w:gridSpan w:val="2"/>
          </w:tcPr>
          <w:p>
            <w:pPr>
              <w:spacing w:after="0" w:line="207" w:lineRule="exact"/>
              <w:rPr>
                <w:sz w:val="20"/>
                <w:szCs w:val="20"/>
                <w:color w:val="auto"/>
              </w:rPr>
            </w:pPr>
            <w:r>
              <w:rPr>
                <w:rFonts w:ascii="Times New Roman" w:cs="Times New Roman" w:eastAsia="Times New Roman" w:hAnsi="Times New Roman"/>
                <w:sz w:val="19"/>
                <w:szCs w:val="19"/>
                <w:b w:val="1"/>
                <w:bCs w:val="1"/>
                <w:color w:val="231F20"/>
              </w:rPr>
              <w:t>Commitments and Contingencies (Note 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7240" w:type="dxa"/>
            <w:vAlign w:val="bottom"/>
            <w:gridSpan w:val="2"/>
            <w:shd w:val="clear" w:color="auto" w:fill="E6E7E8"/>
          </w:tcPr>
          <w:p>
            <w:pPr>
              <w:ind w:left="600"/>
              <w:spacing w:after="0"/>
              <w:rPr>
                <w:sz w:val="20"/>
                <w:szCs w:val="20"/>
                <w:color w:val="auto"/>
              </w:rPr>
            </w:pPr>
            <w:r>
              <w:rPr>
                <w:rFonts w:ascii="Times New Roman" w:cs="Times New Roman" w:eastAsia="Times New Roman" w:hAnsi="Times New Roman"/>
                <w:sz w:val="19"/>
                <w:szCs w:val="19"/>
                <w:b w:val="1"/>
                <w:bCs w:val="1"/>
                <w:color w:val="231F20"/>
              </w:rPr>
              <w:t>TOTAL LIABILITIES AND CAPITALIZATION</w:t>
            </w:r>
          </w:p>
        </w:tc>
        <w:tc>
          <w:tcPr>
            <w:tcW w:w="480" w:type="dxa"/>
            <w:vAlign w:val="bottom"/>
            <w:gridSpan w:val="2"/>
            <w:shd w:val="clear" w:color="auto" w:fill="E6E7E8"/>
          </w:tcPr>
          <w:p>
            <w:pPr>
              <w:jc w:val="right"/>
              <w:ind w:right="165"/>
              <w:spacing w:after="0"/>
              <w:rPr>
                <w:sz w:val="20"/>
                <w:szCs w:val="20"/>
                <w:color w:val="auto"/>
              </w:rPr>
            </w:pPr>
            <w:r>
              <w:rPr>
                <w:rFonts w:ascii="Times New Roman" w:cs="Times New Roman" w:eastAsia="Times New Roman" w:hAnsi="Times New Roman"/>
                <w:sz w:val="19"/>
                <w:szCs w:val="19"/>
                <w:b w:val="1"/>
                <w:bCs w:val="1"/>
                <w:color w:val="231F20"/>
              </w:rPr>
              <w:t>$</w:t>
            </w:r>
          </w:p>
        </w:tc>
        <w:tc>
          <w:tcPr>
            <w:tcW w:w="12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2,134.2</w:t>
            </w:r>
          </w:p>
        </w:tc>
        <w:tc>
          <w:tcPr>
            <w:tcW w:w="620" w:type="dxa"/>
            <w:vAlign w:val="bottom"/>
            <w:gridSpan w:val="2"/>
            <w:shd w:val="clear" w:color="auto" w:fill="E6E7E8"/>
          </w:tcPr>
          <w:p>
            <w:pPr>
              <w:jc w:val="right"/>
              <w:ind w:right="165"/>
              <w:spacing w:after="0"/>
              <w:rPr>
                <w:sz w:val="20"/>
                <w:szCs w:val="20"/>
                <w:color w:val="auto"/>
              </w:rPr>
            </w:pPr>
            <w:r>
              <w:rPr>
                <w:rFonts w:ascii="Times New Roman" w:cs="Times New Roman" w:eastAsia="Times New Roman" w:hAnsi="Times New Roman"/>
                <w:sz w:val="19"/>
                <w:szCs w:val="19"/>
                <w:color w:val="231F20"/>
              </w:rPr>
              <w:t>$</w:t>
            </w:r>
          </w:p>
        </w:tc>
        <w:tc>
          <w:tcPr>
            <w:tcW w:w="12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1,794.5</w:t>
            </w:r>
          </w:p>
        </w:tc>
        <w:tc>
          <w:tcPr>
            <w:tcW w:w="60" w:type="dxa"/>
            <w:vAlign w:val="bottom"/>
            <w:shd w:val="clear" w:color="auto" w:fill="E6E7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E6E7E8"/>
            </w:tcBorders>
          </w:tcPr>
          <w:p>
            <w:pPr>
              <w:spacing w:after="0" w:line="20" w:lineRule="exact"/>
              <w:rPr>
                <w:sz w:val="1"/>
                <w:szCs w:val="1"/>
                <w:color w:val="auto"/>
              </w:rPr>
            </w:pPr>
          </w:p>
        </w:tc>
        <w:tc>
          <w:tcPr>
            <w:tcW w:w="6300" w:type="dxa"/>
            <w:vAlign w:val="bottom"/>
            <w:tcBorders>
              <w:top w:val="single" w:sz="8" w:color="E6E7E8"/>
            </w:tcBorders>
          </w:tcPr>
          <w:p>
            <w:pPr>
              <w:spacing w:after="0" w:line="20" w:lineRule="exact"/>
              <w:rPr>
                <w:sz w:val="1"/>
                <w:szCs w:val="1"/>
                <w:color w:val="auto"/>
              </w:rPr>
            </w:pPr>
          </w:p>
        </w:tc>
        <w:tc>
          <w:tcPr>
            <w:tcW w:w="120" w:type="dxa"/>
            <w:vAlign w:val="bottom"/>
            <w:tcBorders>
              <w:top w:val="single" w:sz="8" w:color="E6E7E8"/>
            </w:tcBorders>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120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Borders>
              <w:top w:val="single" w:sz="8" w:color="E6E7E8"/>
            </w:tcBorders>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12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6E7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i w:val="1"/>
          <w:iCs w:val="1"/>
          <w:color w:val="231F20"/>
        </w:rPr>
        <w:t>(The accompanying Notes are an integral part of these consolidated financial statements.)</w:t>
      </w:r>
    </w:p>
    <w:p>
      <w:pPr>
        <w:sectPr>
          <w:pgSz w:w="12240" w:h="15840" w:orient="portrait"/>
          <w:cols w:equalWidth="0" w:num="1">
            <w:col w:w="10800"/>
          </w:cols>
          <w:pgMar w:left="720" w:top="930" w:right="72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42</w:t>
      </w:r>
    </w:p>
    <w:p>
      <w:pPr>
        <w:sectPr>
          <w:pgSz w:w="12240" w:h="15840" w:orient="portrait"/>
          <w:cols w:equalWidth="0" w:num="1">
            <w:col w:w="10800"/>
          </w:cols>
          <w:pgMar w:left="720" w:top="930" w:right="720" w:bottom="188"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21"/>
          <w:szCs w:val="21"/>
          <w:b w:val="1"/>
          <w:bCs w:val="1"/>
          <w:i w:val="1"/>
          <w:iCs w:val="1"/>
          <w:color w:val="231F20"/>
        </w:rPr>
        <w:t xml:space="preserve">CONSOLIDATED STATEMENTS OF CASH FLOWS </w:t>
      </w:r>
      <w:r>
        <w:rPr>
          <w:rFonts w:ascii="Times New Roman" w:cs="Times New Roman" w:eastAsia="Times New Roman" w:hAnsi="Times New Roman"/>
          <w:sz w:val="21"/>
          <w:szCs w:val="21"/>
          <w:i w:val="1"/>
          <w:iCs w:val="1"/>
          <w:color w:val="231F20"/>
        </w:rPr>
        <w:t>(Millions)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80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w w:val="99"/>
              </w:rPr>
              <w:t>Year Ended December 31,</w:t>
            </w:r>
          </w:p>
        </w:tc>
        <w:tc>
          <w:tcPr>
            <w:tcW w:w="4100" w:type="dxa"/>
            <w:vAlign w:val="bottom"/>
            <w:tcBorders>
              <w:bottom w:val="single" w:sz="8" w:color="E6E7E8"/>
            </w:tcBorders>
          </w:tcPr>
          <w:p>
            <w:pPr>
              <w:spacing w:after="0"/>
              <w:rPr>
                <w:sz w:val="18"/>
                <w:szCs w:val="18"/>
                <w:color w:val="auto"/>
              </w:rPr>
            </w:pPr>
          </w:p>
        </w:tc>
        <w:tc>
          <w:tcPr>
            <w:tcW w:w="380" w:type="dxa"/>
            <w:vAlign w:val="bottom"/>
            <w:tcBorders>
              <w:bottom w:val="single" w:sz="8" w:color="E6E7E8"/>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1020" w:type="dxa"/>
            <w:vAlign w:val="bottom"/>
            <w:tcBorders>
              <w:bottom w:val="single" w:sz="8" w:color="231F20"/>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40" w:type="dxa"/>
            <w:vAlign w:val="bottom"/>
            <w:tcBorders>
              <w:bottom w:val="single" w:sz="8" w:color="E6E7E8"/>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1020" w:type="dxa"/>
            <w:vAlign w:val="bottom"/>
            <w:tcBorders>
              <w:bottom w:val="single" w:sz="8" w:color="231F20"/>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60" w:type="dxa"/>
            <w:vAlign w:val="bottom"/>
            <w:tcBorders>
              <w:bottom w:val="single" w:sz="8" w:color="E6E7E8"/>
            </w:tcBorders>
          </w:tcPr>
          <w:p>
            <w:pPr>
              <w:spacing w:after="0"/>
              <w:rPr>
                <w:sz w:val="18"/>
                <w:szCs w:val="18"/>
                <w:color w:val="auto"/>
              </w:rPr>
            </w:pPr>
          </w:p>
        </w:tc>
        <w:tc>
          <w:tcPr>
            <w:tcW w:w="100" w:type="dxa"/>
            <w:vAlign w:val="bottom"/>
            <w:tcBorders>
              <w:bottom w:val="single" w:sz="8" w:color="E6E7E8"/>
            </w:tcBorders>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1020" w:type="dxa"/>
            <w:vAlign w:val="bottom"/>
            <w:tcBorders>
              <w:bottom w:val="single" w:sz="8" w:color="231F20"/>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Borders>
              <w:bottom w:val="single" w:sz="8" w:color="E6E7E8"/>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00" w:type="dxa"/>
            <w:vAlign w:val="bottom"/>
            <w:tcBorders>
              <w:top w:val="single" w:sz="8" w:color="E6E7E8"/>
            </w:tcBorders>
            <w:gridSpan w:val="2"/>
            <w:shd w:val="clear" w:color="auto" w:fill="E6E7E8"/>
          </w:tcPr>
          <w:p>
            <w:pPr>
              <w:spacing w:after="0" w:line="217" w:lineRule="exact"/>
              <w:rPr>
                <w:sz w:val="20"/>
                <w:szCs w:val="20"/>
                <w:color w:val="auto"/>
              </w:rPr>
            </w:pPr>
            <w:r>
              <w:rPr>
                <w:rFonts w:ascii="Times New Roman" w:cs="Times New Roman" w:eastAsia="Times New Roman" w:hAnsi="Times New Roman"/>
                <w:sz w:val="19"/>
                <w:szCs w:val="19"/>
                <w:b w:val="1"/>
                <w:bCs w:val="1"/>
                <w:color w:val="231F20"/>
              </w:rPr>
              <w:t>Operating Activities:</w:t>
            </w:r>
          </w:p>
        </w:tc>
        <w:tc>
          <w:tcPr>
            <w:tcW w:w="380" w:type="dxa"/>
            <w:vAlign w:val="bottom"/>
            <w:tcBorders>
              <w:top w:val="single" w:sz="8" w:color="E6E7E8"/>
            </w:tcBorders>
            <w:shd w:val="clear" w:color="auto" w:fill="E6E7E8"/>
          </w:tcPr>
          <w:p>
            <w:pPr>
              <w:spacing w:after="0"/>
              <w:rPr>
                <w:sz w:val="18"/>
                <w:szCs w:val="18"/>
                <w:color w:val="auto"/>
              </w:rPr>
            </w:pPr>
          </w:p>
        </w:tc>
        <w:tc>
          <w:tcPr>
            <w:tcW w:w="300" w:type="dxa"/>
            <w:vAlign w:val="bottom"/>
            <w:tcBorders>
              <w:top w:val="single" w:sz="8" w:color="231F20"/>
            </w:tcBorders>
            <w:shd w:val="clear" w:color="auto" w:fill="E6E7E8"/>
          </w:tcPr>
          <w:p>
            <w:pPr>
              <w:spacing w:after="0"/>
              <w:rPr>
                <w:sz w:val="18"/>
                <w:szCs w:val="18"/>
                <w:color w:val="auto"/>
              </w:rPr>
            </w:pPr>
          </w:p>
        </w:tc>
        <w:tc>
          <w:tcPr>
            <w:tcW w:w="1020" w:type="dxa"/>
            <w:vAlign w:val="bottom"/>
            <w:tcBorders>
              <w:top w:val="single" w:sz="8" w:color="231F20"/>
            </w:tcBorders>
            <w:shd w:val="clear" w:color="auto" w:fill="E6E7E8"/>
          </w:tcPr>
          <w:p>
            <w:pPr>
              <w:spacing w:after="0"/>
              <w:rPr>
                <w:sz w:val="18"/>
                <w:szCs w:val="18"/>
                <w:color w:val="auto"/>
              </w:rPr>
            </w:pPr>
          </w:p>
        </w:tc>
        <w:tc>
          <w:tcPr>
            <w:tcW w:w="240" w:type="dxa"/>
            <w:vAlign w:val="bottom"/>
            <w:tcBorders>
              <w:top w:val="single" w:sz="8" w:color="E6E7E8"/>
            </w:tcBorders>
            <w:shd w:val="clear" w:color="auto" w:fill="E6E7E8"/>
          </w:tcPr>
          <w:p>
            <w:pPr>
              <w:spacing w:after="0"/>
              <w:rPr>
                <w:sz w:val="18"/>
                <w:szCs w:val="18"/>
                <w:color w:val="auto"/>
              </w:rPr>
            </w:pPr>
          </w:p>
        </w:tc>
        <w:tc>
          <w:tcPr>
            <w:tcW w:w="300" w:type="dxa"/>
            <w:vAlign w:val="bottom"/>
            <w:tcBorders>
              <w:top w:val="single" w:sz="8" w:color="231F20"/>
            </w:tcBorders>
            <w:shd w:val="clear" w:color="auto" w:fill="E6E7E8"/>
          </w:tcPr>
          <w:p>
            <w:pPr>
              <w:spacing w:after="0"/>
              <w:rPr>
                <w:sz w:val="18"/>
                <w:szCs w:val="18"/>
                <w:color w:val="auto"/>
              </w:rPr>
            </w:pPr>
          </w:p>
        </w:tc>
        <w:tc>
          <w:tcPr>
            <w:tcW w:w="1020" w:type="dxa"/>
            <w:vAlign w:val="bottom"/>
            <w:tcBorders>
              <w:top w:val="single" w:sz="8" w:color="231F20"/>
            </w:tcBorders>
            <w:shd w:val="clear" w:color="auto" w:fill="E6E7E8"/>
          </w:tcPr>
          <w:p>
            <w:pPr>
              <w:spacing w:after="0"/>
              <w:rPr>
                <w:sz w:val="18"/>
                <w:szCs w:val="18"/>
                <w:color w:val="auto"/>
              </w:rPr>
            </w:pPr>
          </w:p>
        </w:tc>
        <w:tc>
          <w:tcPr>
            <w:tcW w:w="160" w:type="dxa"/>
            <w:vAlign w:val="bottom"/>
            <w:tcBorders>
              <w:top w:val="single" w:sz="8" w:color="E6E7E8"/>
            </w:tcBorders>
            <w:shd w:val="clear" w:color="auto" w:fill="E6E7E8"/>
          </w:tcPr>
          <w:p>
            <w:pPr>
              <w:spacing w:after="0"/>
              <w:rPr>
                <w:sz w:val="18"/>
                <w:szCs w:val="18"/>
                <w:color w:val="auto"/>
              </w:rPr>
            </w:pPr>
          </w:p>
        </w:tc>
        <w:tc>
          <w:tcPr>
            <w:tcW w:w="100" w:type="dxa"/>
            <w:vAlign w:val="bottom"/>
            <w:tcBorders>
              <w:top w:val="single" w:sz="8" w:color="E6E7E8"/>
            </w:tcBorders>
            <w:shd w:val="clear" w:color="auto" w:fill="E6E7E8"/>
          </w:tcPr>
          <w:p>
            <w:pPr>
              <w:spacing w:after="0"/>
              <w:rPr>
                <w:sz w:val="18"/>
                <w:szCs w:val="18"/>
                <w:color w:val="auto"/>
              </w:rPr>
            </w:pPr>
          </w:p>
        </w:tc>
        <w:tc>
          <w:tcPr>
            <w:tcW w:w="280" w:type="dxa"/>
            <w:vAlign w:val="bottom"/>
            <w:tcBorders>
              <w:top w:val="single" w:sz="8" w:color="231F20"/>
            </w:tcBorders>
            <w:shd w:val="clear" w:color="auto" w:fill="E6E7E8"/>
          </w:tcPr>
          <w:p>
            <w:pPr>
              <w:spacing w:after="0"/>
              <w:rPr>
                <w:sz w:val="18"/>
                <w:szCs w:val="18"/>
                <w:color w:val="auto"/>
              </w:rPr>
            </w:pPr>
          </w:p>
        </w:tc>
        <w:tc>
          <w:tcPr>
            <w:tcW w:w="1020" w:type="dxa"/>
            <w:vAlign w:val="bottom"/>
            <w:tcBorders>
              <w:top w:val="single" w:sz="8" w:color="231F20"/>
            </w:tcBorders>
            <w:shd w:val="clear" w:color="auto" w:fill="E6E7E8"/>
          </w:tcPr>
          <w:p>
            <w:pPr>
              <w:spacing w:after="0"/>
              <w:rPr>
                <w:sz w:val="18"/>
                <w:szCs w:val="18"/>
                <w:color w:val="auto"/>
              </w:rPr>
            </w:pPr>
          </w:p>
        </w:tc>
        <w:tc>
          <w:tcPr>
            <w:tcW w:w="80" w:type="dxa"/>
            <w:vAlign w:val="bottom"/>
            <w:tcBorders>
              <w:top w:val="single" w:sz="8" w:color="E6E7E8"/>
            </w:tcBorders>
            <w:shd w:val="clear" w:color="auto" w:fill="E6E7E8"/>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90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Net Income</w:t>
            </w:r>
          </w:p>
        </w:tc>
        <w:tc>
          <w:tcPr>
            <w:tcW w:w="380" w:type="dxa"/>
            <w:vAlign w:val="bottom"/>
          </w:tcPr>
          <w:p>
            <w:pPr>
              <w:spacing w:after="0"/>
              <w:rPr>
                <w:sz w:val="20"/>
                <w:szCs w:val="20"/>
                <w:color w:val="auto"/>
              </w:rPr>
            </w:pPr>
          </w:p>
        </w:tc>
        <w:tc>
          <w:tcPr>
            <w:tcW w:w="300" w:type="dxa"/>
            <w:vAlign w:val="bottom"/>
          </w:tcPr>
          <w:p>
            <w:pPr>
              <w:jc w:val="right"/>
              <w:ind w:right="105"/>
              <w:spacing w:after="0"/>
              <w:rPr>
                <w:sz w:val="20"/>
                <w:szCs w:val="20"/>
                <w:color w:val="auto"/>
              </w:rPr>
            </w:pPr>
            <w:r>
              <w:rPr>
                <w:rFonts w:ascii="Times New Roman" w:cs="Times New Roman" w:eastAsia="Times New Roman" w:hAnsi="Times New Roman"/>
                <w:sz w:val="19"/>
                <w:szCs w:val="19"/>
                <w:b w:val="1"/>
                <w:bCs w:val="1"/>
                <w:color w:val="231F20"/>
                <w:w w:val="8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50.2</w:t>
            </w:r>
          </w:p>
        </w:tc>
        <w:tc>
          <w:tcPr>
            <w:tcW w:w="240" w:type="dxa"/>
            <w:vAlign w:val="bottom"/>
          </w:tcPr>
          <w:p>
            <w:pPr>
              <w:spacing w:after="0"/>
              <w:rPr>
                <w:sz w:val="20"/>
                <w:szCs w:val="20"/>
                <w:color w:val="auto"/>
              </w:rPr>
            </w:pPr>
          </w:p>
        </w:tc>
        <w:tc>
          <w:tcPr>
            <w:tcW w:w="30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231F20"/>
                <w:w w:val="8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47.1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231F20"/>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900" w:type="dxa"/>
            <w:vAlign w:val="bottom"/>
            <w:gridSpan w:val="2"/>
            <w:shd w:val="clear" w:color="auto" w:fill="E6E7E8"/>
          </w:tcPr>
          <w:p>
            <w:pPr>
              <w:ind w:left="200"/>
              <w:spacing w:after="0" w:line="213" w:lineRule="exact"/>
              <w:rPr>
                <w:sz w:val="20"/>
                <w:szCs w:val="20"/>
                <w:color w:val="auto"/>
              </w:rPr>
            </w:pPr>
            <w:r>
              <w:rPr>
                <w:rFonts w:ascii="Times New Roman" w:cs="Times New Roman" w:eastAsia="Times New Roman" w:hAnsi="Times New Roman"/>
                <w:sz w:val="19"/>
                <w:szCs w:val="19"/>
                <w:color w:val="231F20"/>
              </w:rPr>
              <w:t>Adjustments to Reconcile Net Income to Cash Provided by Operating</w:t>
            </w:r>
          </w:p>
        </w:tc>
        <w:tc>
          <w:tcPr>
            <w:tcW w:w="380" w:type="dxa"/>
            <w:vAlign w:val="bottom"/>
            <w:shd w:val="clear" w:color="auto" w:fill="E6E7E8"/>
          </w:tcPr>
          <w:p>
            <w:pPr>
              <w:spacing w:after="0"/>
              <w:rPr>
                <w:sz w:val="18"/>
                <w:szCs w:val="18"/>
                <w:color w:val="auto"/>
              </w:rPr>
            </w:pPr>
          </w:p>
        </w:tc>
        <w:tc>
          <w:tcPr>
            <w:tcW w:w="300" w:type="dxa"/>
            <w:vAlign w:val="bottom"/>
            <w:shd w:val="clear" w:color="auto" w:fill="E6E7E8"/>
          </w:tcPr>
          <w:p>
            <w:pPr>
              <w:spacing w:after="0"/>
              <w:rPr>
                <w:sz w:val="18"/>
                <w:szCs w:val="18"/>
                <w:color w:val="auto"/>
              </w:rPr>
            </w:pPr>
          </w:p>
        </w:tc>
        <w:tc>
          <w:tcPr>
            <w:tcW w:w="1020" w:type="dxa"/>
            <w:vAlign w:val="bottom"/>
            <w:shd w:val="clear" w:color="auto" w:fill="E6E7E8"/>
          </w:tcPr>
          <w:p>
            <w:pPr>
              <w:spacing w:after="0"/>
              <w:rPr>
                <w:sz w:val="18"/>
                <w:szCs w:val="18"/>
                <w:color w:val="auto"/>
              </w:rPr>
            </w:pPr>
          </w:p>
        </w:tc>
        <w:tc>
          <w:tcPr>
            <w:tcW w:w="240" w:type="dxa"/>
            <w:vAlign w:val="bottom"/>
            <w:shd w:val="clear" w:color="auto" w:fill="E6E7E8"/>
          </w:tcPr>
          <w:p>
            <w:pPr>
              <w:spacing w:after="0"/>
              <w:rPr>
                <w:sz w:val="18"/>
                <w:szCs w:val="18"/>
                <w:color w:val="auto"/>
              </w:rPr>
            </w:pPr>
          </w:p>
        </w:tc>
        <w:tc>
          <w:tcPr>
            <w:tcW w:w="300" w:type="dxa"/>
            <w:vAlign w:val="bottom"/>
            <w:shd w:val="clear" w:color="auto" w:fill="E6E7E8"/>
          </w:tcPr>
          <w:p>
            <w:pPr>
              <w:spacing w:after="0"/>
              <w:rPr>
                <w:sz w:val="18"/>
                <w:szCs w:val="18"/>
                <w:color w:val="auto"/>
              </w:rPr>
            </w:pPr>
          </w:p>
        </w:tc>
        <w:tc>
          <w:tcPr>
            <w:tcW w:w="1020" w:type="dxa"/>
            <w:vAlign w:val="bottom"/>
            <w:shd w:val="clear" w:color="auto" w:fill="E6E7E8"/>
          </w:tcPr>
          <w:p>
            <w:pPr>
              <w:spacing w:after="0"/>
              <w:rPr>
                <w:sz w:val="18"/>
                <w:szCs w:val="18"/>
                <w:color w:val="auto"/>
              </w:rPr>
            </w:pPr>
          </w:p>
        </w:tc>
        <w:tc>
          <w:tcPr>
            <w:tcW w:w="160" w:type="dxa"/>
            <w:vAlign w:val="bottom"/>
            <w:shd w:val="clear" w:color="auto" w:fill="E6E7E8"/>
          </w:tcPr>
          <w:p>
            <w:pPr>
              <w:spacing w:after="0"/>
              <w:rPr>
                <w:sz w:val="18"/>
                <w:szCs w:val="18"/>
                <w:color w:val="auto"/>
              </w:rPr>
            </w:pPr>
          </w:p>
        </w:tc>
        <w:tc>
          <w:tcPr>
            <w:tcW w:w="100" w:type="dxa"/>
            <w:vAlign w:val="bottom"/>
            <w:shd w:val="clear" w:color="auto" w:fill="E6E7E8"/>
          </w:tcPr>
          <w:p>
            <w:pPr>
              <w:spacing w:after="0"/>
              <w:rPr>
                <w:sz w:val="18"/>
                <w:szCs w:val="18"/>
                <w:color w:val="auto"/>
              </w:rPr>
            </w:pPr>
          </w:p>
        </w:tc>
        <w:tc>
          <w:tcPr>
            <w:tcW w:w="280" w:type="dxa"/>
            <w:vAlign w:val="bottom"/>
            <w:shd w:val="clear" w:color="auto" w:fill="E6E7E8"/>
          </w:tcPr>
          <w:p>
            <w:pPr>
              <w:spacing w:after="0"/>
              <w:rPr>
                <w:sz w:val="18"/>
                <w:szCs w:val="18"/>
                <w:color w:val="auto"/>
              </w:rPr>
            </w:pPr>
          </w:p>
        </w:tc>
        <w:tc>
          <w:tcPr>
            <w:tcW w:w="1020" w:type="dxa"/>
            <w:vAlign w:val="bottom"/>
            <w:shd w:val="clear" w:color="auto" w:fill="E6E7E8"/>
          </w:tcPr>
          <w:p>
            <w:pPr>
              <w:spacing w:after="0"/>
              <w:rPr>
                <w:sz w:val="18"/>
                <w:szCs w:val="18"/>
                <w:color w:val="auto"/>
              </w:rPr>
            </w:pPr>
          </w:p>
        </w:tc>
        <w:tc>
          <w:tcPr>
            <w:tcW w:w="80" w:type="dxa"/>
            <w:vAlign w:val="bottom"/>
            <w:shd w:val="clear" w:color="auto" w:fill="E6E7E8"/>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00" w:type="dxa"/>
            <w:vAlign w:val="bottom"/>
            <w:gridSpan w:val="2"/>
            <w:shd w:val="clear" w:color="auto" w:fill="E6E7E8"/>
          </w:tcPr>
          <w:p>
            <w:pPr>
              <w:ind w:left="340"/>
              <w:spacing w:after="0"/>
              <w:rPr>
                <w:sz w:val="20"/>
                <w:szCs w:val="20"/>
                <w:color w:val="auto"/>
              </w:rPr>
            </w:pPr>
            <w:r>
              <w:rPr>
                <w:rFonts w:ascii="Times New Roman" w:cs="Times New Roman" w:eastAsia="Times New Roman" w:hAnsi="Times New Roman"/>
                <w:sz w:val="19"/>
                <w:szCs w:val="19"/>
                <w:color w:val="231F20"/>
              </w:rPr>
              <w:t>Activities:</w:t>
            </w:r>
          </w:p>
        </w:tc>
        <w:tc>
          <w:tcPr>
            <w:tcW w:w="380" w:type="dxa"/>
            <w:vAlign w:val="bottom"/>
            <w:shd w:val="clear" w:color="auto" w:fill="E6E7E8"/>
          </w:tcPr>
          <w:p>
            <w:pPr>
              <w:spacing w:after="0"/>
              <w:rPr>
                <w:sz w:val="20"/>
                <w:szCs w:val="20"/>
                <w:color w:val="auto"/>
              </w:rPr>
            </w:pPr>
          </w:p>
        </w:tc>
        <w:tc>
          <w:tcPr>
            <w:tcW w:w="300" w:type="dxa"/>
            <w:vAlign w:val="bottom"/>
            <w:shd w:val="clear" w:color="auto" w:fill="E6E7E8"/>
          </w:tcPr>
          <w:p>
            <w:pPr>
              <w:spacing w:after="0"/>
              <w:rPr>
                <w:sz w:val="20"/>
                <w:szCs w:val="20"/>
                <w:color w:val="auto"/>
              </w:rPr>
            </w:pPr>
          </w:p>
        </w:tc>
        <w:tc>
          <w:tcPr>
            <w:tcW w:w="1020" w:type="dxa"/>
            <w:vAlign w:val="bottom"/>
            <w:shd w:val="clear" w:color="auto" w:fill="E6E7E8"/>
          </w:tcPr>
          <w:p>
            <w:pPr>
              <w:spacing w:after="0"/>
              <w:rPr>
                <w:sz w:val="20"/>
                <w:szCs w:val="20"/>
                <w:color w:val="auto"/>
              </w:rPr>
            </w:pPr>
          </w:p>
        </w:tc>
        <w:tc>
          <w:tcPr>
            <w:tcW w:w="240" w:type="dxa"/>
            <w:vAlign w:val="bottom"/>
            <w:shd w:val="clear" w:color="auto" w:fill="E6E7E8"/>
          </w:tcPr>
          <w:p>
            <w:pPr>
              <w:spacing w:after="0"/>
              <w:rPr>
                <w:sz w:val="20"/>
                <w:szCs w:val="20"/>
                <w:color w:val="auto"/>
              </w:rPr>
            </w:pPr>
          </w:p>
        </w:tc>
        <w:tc>
          <w:tcPr>
            <w:tcW w:w="300" w:type="dxa"/>
            <w:vAlign w:val="bottom"/>
            <w:shd w:val="clear" w:color="auto" w:fill="E6E7E8"/>
          </w:tcPr>
          <w:p>
            <w:pPr>
              <w:spacing w:after="0"/>
              <w:rPr>
                <w:sz w:val="20"/>
                <w:szCs w:val="20"/>
                <w:color w:val="auto"/>
              </w:rPr>
            </w:pPr>
          </w:p>
        </w:tc>
        <w:tc>
          <w:tcPr>
            <w:tcW w:w="1020" w:type="dxa"/>
            <w:vAlign w:val="bottom"/>
            <w:shd w:val="clear" w:color="auto" w:fill="E6E7E8"/>
          </w:tcPr>
          <w:p>
            <w:pPr>
              <w:spacing w:after="0"/>
              <w:rPr>
                <w:sz w:val="20"/>
                <w:szCs w:val="20"/>
                <w:color w:val="auto"/>
              </w:rPr>
            </w:pPr>
          </w:p>
        </w:tc>
        <w:tc>
          <w:tcPr>
            <w:tcW w:w="160" w:type="dxa"/>
            <w:vAlign w:val="bottom"/>
            <w:shd w:val="clear" w:color="auto" w:fill="E6E7E8"/>
          </w:tcPr>
          <w:p>
            <w:pPr>
              <w:spacing w:after="0"/>
              <w:rPr>
                <w:sz w:val="20"/>
                <w:szCs w:val="20"/>
                <w:color w:val="auto"/>
              </w:rPr>
            </w:pPr>
          </w:p>
        </w:tc>
        <w:tc>
          <w:tcPr>
            <w:tcW w:w="10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02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90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231F20"/>
              </w:rPr>
              <w:t>Depreciation and Amortization</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88.7</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76.1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67.4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900" w:type="dxa"/>
            <w:vAlign w:val="bottom"/>
            <w:gridSpan w:val="2"/>
            <w:shd w:val="clear" w:color="auto" w:fill="E6E7E8"/>
          </w:tcPr>
          <w:p>
            <w:pPr>
              <w:ind w:left="400"/>
              <w:spacing w:after="0"/>
              <w:rPr>
                <w:sz w:val="20"/>
                <w:szCs w:val="20"/>
                <w:color w:val="auto"/>
              </w:rPr>
            </w:pPr>
            <w:r>
              <w:rPr>
                <w:rFonts w:ascii="Times New Roman" w:cs="Times New Roman" w:eastAsia="Times New Roman" w:hAnsi="Times New Roman"/>
                <w:sz w:val="19"/>
                <w:szCs w:val="19"/>
                <w:color w:val="231F20"/>
              </w:rPr>
              <w:t>Deferred Tax Provision</w:t>
            </w:r>
          </w:p>
        </w:tc>
        <w:tc>
          <w:tcPr>
            <w:tcW w:w="380" w:type="dxa"/>
            <w:vAlign w:val="bottom"/>
            <w:shd w:val="clear" w:color="auto" w:fill="E6E7E8"/>
          </w:tcPr>
          <w:p>
            <w:pPr>
              <w:spacing w:after="0"/>
              <w:rPr>
                <w:sz w:val="20"/>
                <w:szCs w:val="20"/>
                <w:color w:val="auto"/>
              </w:rPr>
            </w:pPr>
          </w:p>
        </w:tc>
        <w:tc>
          <w:tcPr>
            <w:tcW w:w="300" w:type="dxa"/>
            <w:vAlign w:val="bottom"/>
            <w:shd w:val="clear" w:color="auto" w:fill="E6E7E8"/>
          </w:tcPr>
          <w:p>
            <w:pPr>
              <w:spacing w:after="0"/>
              <w:rPr>
                <w:sz w:val="20"/>
                <w:szCs w:val="20"/>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9.6</w:t>
            </w:r>
          </w:p>
        </w:tc>
        <w:tc>
          <w:tcPr>
            <w:tcW w:w="240" w:type="dxa"/>
            <w:vAlign w:val="bottom"/>
            <w:shd w:val="clear" w:color="auto" w:fill="E6E7E8"/>
          </w:tcPr>
          <w:p>
            <w:pPr>
              <w:spacing w:after="0"/>
              <w:rPr>
                <w:sz w:val="20"/>
                <w:szCs w:val="20"/>
                <w:color w:val="auto"/>
              </w:rPr>
            </w:pPr>
          </w:p>
        </w:tc>
        <w:tc>
          <w:tcPr>
            <w:tcW w:w="300" w:type="dxa"/>
            <w:vAlign w:val="bottom"/>
            <w:shd w:val="clear" w:color="auto" w:fill="E6E7E8"/>
          </w:tcPr>
          <w:p>
            <w:pPr>
              <w:spacing w:after="0"/>
              <w:rPr>
                <w:sz w:val="20"/>
                <w:szCs w:val="20"/>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13.2</w:t>
            </w:r>
          </w:p>
        </w:tc>
        <w:tc>
          <w:tcPr>
            <w:tcW w:w="160" w:type="dxa"/>
            <w:vAlign w:val="bottom"/>
            <w:shd w:val="clear" w:color="auto" w:fill="E6E7E8"/>
          </w:tcPr>
          <w:p>
            <w:pPr>
              <w:spacing w:after="0"/>
              <w:rPr>
                <w:sz w:val="20"/>
                <w:szCs w:val="20"/>
                <w:color w:val="auto"/>
              </w:rPr>
            </w:pPr>
          </w:p>
        </w:tc>
        <w:tc>
          <w:tcPr>
            <w:tcW w:w="10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7.4</w:t>
            </w:r>
          </w:p>
        </w:tc>
        <w:tc>
          <w:tcPr>
            <w:tcW w:w="8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90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Changes in Working Capital Items:</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900" w:type="dxa"/>
            <w:vAlign w:val="bottom"/>
            <w:gridSpan w:val="2"/>
            <w:shd w:val="clear" w:color="auto" w:fill="E6E7E8"/>
          </w:tcPr>
          <w:p>
            <w:pPr>
              <w:ind w:left="400"/>
              <w:spacing w:after="0"/>
              <w:rPr>
                <w:sz w:val="20"/>
                <w:szCs w:val="20"/>
                <w:color w:val="auto"/>
              </w:rPr>
            </w:pPr>
            <w:r>
              <w:rPr>
                <w:rFonts w:ascii="Times New Roman" w:cs="Times New Roman" w:eastAsia="Times New Roman" w:hAnsi="Times New Roman"/>
                <w:sz w:val="19"/>
                <w:szCs w:val="19"/>
                <w:color w:val="231F20"/>
              </w:rPr>
              <w:t>Accounts Receivable</w:t>
            </w:r>
          </w:p>
        </w:tc>
        <w:tc>
          <w:tcPr>
            <w:tcW w:w="380" w:type="dxa"/>
            <w:vAlign w:val="bottom"/>
            <w:shd w:val="clear" w:color="auto" w:fill="E6E7E8"/>
          </w:tcPr>
          <w:p>
            <w:pPr>
              <w:spacing w:after="0"/>
              <w:rPr>
                <w:sz w:val="20"/>
                <w:szCs w:val="20"/>
                <w:color w:val="auto"/>
              </w:rPr>
            </w:pPr>
          </w:p>
        </w:tc>
        <w:tc>
          <w:tcPr>
            <w:tcW w:w="300" w:type="dxa"/>
            <w:vAlign w:val="bottom"/>
            <w:shd w:val="clear" w:color="auto" w:fill="E6E7E8"/>
          </w:tcPr>
          <w:p>
            <w:pPr>
              <w:spacing w:after="0"/>
              <w:rPr>
                <w:sz w:val="20"/>
                <w:szCs w:val="20"/>
                <w:color w:val="auto"/>
              </w:rPr>
            </w:pPr>
          </w:p>
        </w:tc>
        <w:tc>
          <w:tcPr>
            <w:tcW w:w="1260" w:type="dxa"/>
            <w:vAlign w:val="bottom"/>
            <w:gridSpan w:val="2"/>
            <w:shd w:val="clear" w:color="auto" w:fill="E6E7E8"/>
          </w:tcPr>
          <w:p>
            <w:pPr>
              <w:jc w:val="right"/>
              <w:ind w:right="180"/>
              <w:spacing w:after="0"/>
              <w:rPr>
                <w:sz w:val="20"/>
                <w:szCs w:val="20"/>
                <w:color w:val="auto"/>
              </w:rPr>
            </w:pPr>
            <w:r>
              <w:rPr>
                <w:rFonts w:ascii="Times New Roman" w:cs="Times New Roman" w:eastAsia="Times New Roman" w:hAnsi="Times New Roman"/>
                <w:sz w:val="19"/>
                <w:szCs w:val="19"/>
                <w:b w:val="1"/>
                <w:bCs w:val="1"/>
                <w:color w:val="231F20"/>
              </w:rPr>
              <w:t>(18.4)</w:t>
            </w:r>
          </w:p>
        </w:tc>
        <w:tc>
          <w:tcPr>
            <w:tcW w:w="300" w:type="dxa"/>
            <w:vAlign w:val="bottom"/>
            <w:shd w:val="clear" w:color="auto" w:fill="E6E7E8"/>
          </w:tcPr>
          <w:p>
            <w:pPr>
              <w:spacing w:after="0"/>
              <w:rPr>
                <w:sz w:val="20"/>
                <w:szCs w:val="20"/>
                <w:color w:val="auto"/>
              </w:rPr>
            </w:pPr>
          </w:p>
        </w:tc>
        <w:tc>
          <w:tcPr>
            <w:tcW w:w="1180" w:type="dxa"/>
            <w:vAlign w:val="bottom"/>
            <w:gridSpan w:val="2"/>
            <w:shd w:val="clear" w:color="auto" w:fill="E6E7E8"/>
          </w:tcPr>
          <w:p>
            <w:pPr>
              <w:jc w:val="right"/>
              <w:ind w:right="180"/>
              <w:spacing w:after="0"/>
              <w:rPr>
                <w:sz w:val="20"/>
                <w:szCs w:val="20"/>
                <w:color w:val="auto"/>
              </w:rPr>
            </w:pPr>
            <w:r>
              <w:rPr>
                <w:rFonts w:ascii="Times New Roman" w:cs="Times New Roman" w:eastAsia="Times New Roman" w:hAnsi="Times New Roman"/>
                <w:sz w:val="19"/>
                <w:szCs w:val="19"/>
                <w:color w:val="231F20"/>
              </w:rPr>
              <w:t>—</w:t>
            </w:r>
          </w:p>
        </w:tc>
        <w:tc>
          <w:tcPr>
            <w:tcW w:w="10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10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19"/>
                <w:szCs w:val="19"/>
                <w:color w:val="231F20"/>
              </w:rPr>
              <w:t>(1.2)</w:t>
            </w:r>
          </w:p>
        </w:tc>
        <w:tc>
          <w:tcPr>
            <w:tcW w:w="0" w:type="dxa"/>
            <w:vAlign w:val="bottom"/>
          </w:tcPr>
          <w:p>
            <w:pPr>
              <w:spacing w:after="0"/>
              <w:rPr>
                <w:sz w:val="1"/>
                <w:szCs w:val="1"/>
                <w:color w:val="auto"/>
              </w:rPr>
            </w:pPr>
          </w:p>
        </w:tc>
      </w:tr>
      <w:tr>
        <w:trPr>
          <w:trHeight w:val="233"/>
        </w:trPr>
        <w:tc>
          <w:tcPr>
            <w:tcW w:w="590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231F20"/>
              </w:rPr>
              <w:t>Accrued Revenue</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b w:val="1"/>
                <w:bCs w:val="1"/>
                <w:color w:val="231F20"/>
              </w:rPr>
              <w:t>(0.3)</w:t>
            </w:r>
          </w:p>
        </w:tc>
        <w:tc>
          <w:tcPr>
            <w:tcW w:w="3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231F20"/>
              </w:rPr>
              <w:t>(14.0)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900" w:type="dxa"/>
            <w:vAlign w:val="bottom"/>
            <w:gridSpan w:val="2"/>
            <w:shd w:val="clear" w:color="auto" w:fill="E6E7E8"/>
          </w:tcPr>
          <w:p>
            <w:pPr>
              <w:ind w:left="400"/>
              <w:spacing w:after="0"/>
              <w:rPr>
                <w:sz w:val="20"/>
                <w:szCs w:val="20"/>
                <w:color w:val="auto"/>
              </w:rPr>
            </w:pPr>
            <w:r>
              <w:rPr>
                <w:rFonts w:ascii="Times New Roman" w:cs="Times New Roman" w:eastAsia="Times New Roman" w:hAnsi="Times New Roman"/>
                <w:sz w:val="19"/>
                <w:szCs w:val="19"/>
                <w:color w:val="231F20"/>
              </w:rPr>
              <w:t>Regulatory Liabilities</w:t>
            </w:r>
          </w:p>
        </w:tc>
        <w:tc>
          <w:tcPr>
            <w:tcW w:w="380" w:type="dxa"/>
            <w:vAlign w:val="bottom"/>
            <w:shd w:val="clear" w:color="auto" w:fill="E6E7E8"/>
          </w:tcPr>
          <w:p>
            <w:pPr>
              <w:spacing w:after="0"/>
              <w:rPr>
                <w:sz w:val="20"/>
                <w:szCs w:val="20"/>
                <w:color w:val="auto"/>
              </w:rPr>
            </w:pPr>
          </w:p>
        </w:tc>
        <w:tc>
          <w:tcPr>
            <w:tcW w:w="300" w:type="dxa"/>
            <w:vAlign w:val="bottom"/>
            <w:shd w:val="clear" w:color="auto" w:fill="E6E7E8"/>
          </w:tcPr>
          <w:p>
            <w:pPr>
              <w:spacing w:after="0"/>
              <w:rPr>
                <w:sz w:val="20"/>
                <w:szCs w:val="20"/>
                <w:color w:val="auto"/>
              </w:rPr>
            </w:pPr>
          </w:p>
        </w:tc>
        <w:tc>
          <w:tcPr>
            <w:tcW w:w="1260" w:type="dxa"/>
            <w:vAlign w:val="bottom"/>
            <w:gridSpan w:val="2"/>
            <w:shd w:val="clear" w:color="auto" w:fill="E6E7E8"/>
          </w:tcPr>
          <w:p>
            <w:pPr>
              <w:jc w:val="right"/>
              <w:ind w:right="180"/>
              <w:spacing w:after="0"/>
              <w:rPr>
                <w:sz w:val="20"/>
                <w:szCs w:val="20"/>
                <w:color w:val="auto"/>
              </w:rPr>
            </w:pPr>
            <w:r>
              <w:rPr>
                <w:rFonts w:ascii="Times New Roman" w:cs="Times New Roman" w:eastAsia="Times New Roman" w:hAnsi="Times New Roman"/>
                <w:sz w:val="19"/>
                <w:szCs w:val="19"/>
                <w:b w:val="1"/>
                <w:bCs w:val="1"/>
                <w:color w:val="231F20"/>
              </w:rPr>
              <w:t>(3.3)</w:t>
            </w:r>
          </w:p>
        </w:tc>
        <w:tc>
          <w:tcPr>
            <w:tcW w:w="300" w:type="dxa"/>
            <w:vAlign w:val="bottom"/>
            <w:shd w:val="clear" w:color="auto" w:fill="E6E7E8"/>
          </w:tcPr>
          <w:p>
            <w:pPr>
              <w:spacing w:after="0"/>
              <w:rPr>
                <w:sz w:val="20"/>
                <w:szCs w:val="20"/>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3.7</w:t>
            </w:r>
          </w:p>
        </w:tc>
        <w:tc>
          <w:tcPr>
            <w:tcW w:w="160" w:type="dxa"/>
            <w:vAlign w:val="bottom"/>
            <w:shd w:val="clear" w:color="auto" w:fill="E6E7E8"/>
          </w:tcPr>
          <w:p>
            <w:pPr>
              <w:spacing w:after="0"/>
              <w:rPr>
                <w:sz w:val="20"/>
                <w:szCs w:val="20"/>
                <w:color w:val="auto"/>
              </w:rPr>
            </w:pPr>
          </w:p>
        </w:tc>
        <w:tc>
          <w:tcPr>
            <w:tcW w:w="10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10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19"/>
                <w:szCs w:val="19"/>
                <w:color w:val="231F20"/>
              </w:rPr>
              <w:t>(1.5)</w:t>
            </w:r>
          </w:p>
        </w:tc>
        <w:tc>
          <w:tcPr>
            <w:tcW w:w="0" w:type="dxa"/>
            <w:vAlign w:val="bottom"/>
          </w:tcPr>
          <w:p>
            <w:pPr>
              <w:spacing w:after="0"/>
              <w:rPr>
                <w:sz w:val="1"/>
                <w:szCs w:val="1"/>
                <w:color w:val="auto"/>
              </w:rPr>
            </w:pPr>
          </w:p>
        </w:tc>
      </w:tr>
      <w:tr>
        <w:trPr>
          <w:trHeight w:val="233"/>
        </w:trPr>
        <w:tc>
          <w:tcPr>
            <w:tcW w:w="590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231F20"/>
              </w:rPr>
              <w:t>Exchange Gas Receivable</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b w:val="1"/>
                <w:bCs w:val="1"/>
                <w:color w:val="231F20"/>
              </w:rPr>
              <w:t>(3.4)</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900" w:type="dxa"/>
            <w:vAlign w:val="bottom"/>
            <w:gridSpan w:val="2"/>
            <w:shd w:val="clear" w:color="auto" w:fill="E6E7E8"/>
          </w:tcPr>
          <w:p>
            <w:pPr>
              <w:ind w:left="400"/>
              <w:spacing w:after="0"/>
              <w:rPr>
                <w:sz w:val="20"/>
                <w:szCs w:val="20"/>
                <w:color w:val="auto"/>
              </w:rPr>
            </w:pPr>
            <w:r>
              <w:rPr>
                <w:rFonts w:ascii="Times New Roman" w:cs="Times New Roman" w:eastAsia="Times New Roman" w:hAnsi="Times New Roman"/>
                <w:sz w:val="19"/>
                <w:szCs w:val="19"/>
                <w:color w:val="231F20"/>
              </w:rPr>
              <w:t>Accounts Payable</w:t>
            </w:r>
          </w:p>
        </w:tc>
        <w:tc>
          <w:tcPr>
            <w:tcW w:w="380" w:type="dxa"/>
            <w:vAlign w:val="bottom"/>
            <w:shd w:val="clear" w:color="auto" w:fill="E6E7E8"/>
          </w:tcPr>
          <w:p>
            <w:pPr>
              <w:spacing w:after="0"/>
              <w:rPr>
                <w:sz w:val="20"/>
                <w:szCs w:val="20"/>
                <w:color w:val="auto"/>
              </w:rPr>
            </w:pPr>
          </w:p>
        </w:tc>
        <w:tc>
          <w:tcPr>
            <w:tcW w:w="300" w:type="dxa"/>
            <w:vAlign w:val="bottom"/>
            <w:shd w:val="clear" w:color="auto" w:fill="E6E7E8"/>
          </w:tcPr>
          <w:p>
            <w:pPr>
              <w:spacing w:after="0"/>
              <w:rPr>
                <w:sz w:val="20"/>
                <w:szCs w:val="20"/>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7.0</w:t>
            </w:r>
          </w:p>
        </w:tc>
        <w:tc>
          <w:tcPr>
            <w:tcW w:w="240" w:type="dxa"/>
            <w:vAlign w:val="bottom"/>
            <w:shd w:val="clear" w:color="auto" w:fill="E6E7E8"/>
          </w:tcPr>
          <w:p>
            <w:pPr>
              <w:spacing w:after="0"/>
              <w:rPr>
                <w:sz w:val="20"/>
                <w:szCs w:val="20"/>
                <w:color w:val="auto"/>
              </w:rPr>
            </w:pPr>
          </w:p>
        </w:tc>
        <w:tc>
          <w:tcPr>
            <w:tcW w:w="300" w:type="dxa"/>
            <w:vAlign w:val="bottom"/>
            <w:shd w:val="clear" w:color="auto" w:fill="E6E7E8"/>
          </w:tcPr>
          <w:p>
            <w:pPr>
              <w:spacing w:after="0"/>
              <w:rPr>
                <w:sz w:val="20"/>
                <w:szCs w:val="20"/>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2.0</w:t>
            </w:r>
          </w:p>
        </w:tc>
        <w:tc>
          <w:tcPr>
            <w:tcW w:w="160" w:type="dxa"/>
            <w:vAlign w:val="bottom"/>
            <w:shd w:val="clear" w:color="auto" w:fill="E6E7E8"/>
          </w:tcPr>
          <w:p>
            <w:pPr>
              <w:spacing w:after="0"/>
              <w:rPr>
                <w:sz w:val="20"/>
                <w:szCs w:val="20"/>
                <w:color w:val="auto"/>
              </w:rPr>
            </w:pPr>
          </w:p>
        </w:tc>
        <w:tc>
          <w:tcPr>
            <w:tcW w:w="10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10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19"/>
                <w:szCs w:val="19"/>
                <w:color w:val="231F20"/>
              </w:rPr>
              <w:t>(20.9)</w:t>
            </w:r>
          </w:p>
        </w:tc>
        <w:tc>
          <w:tcPr>
            <w:tcW w:w="0" w:type="dxa"/>
            <w:vAlign w:val="bottom"/>
          </w:tcPr>
          <w:p>
            <w:pPr>
              <w:spacing w:after="0"/>
              <w:rPr>
                <w:sz w:val="1"/>
                <w:szCs w:val="1"/>
                <w:color w:val="auto"/>
              </w:rPr>
            </w:pPr>
          </w:p>
        </w:tc>
      </w:tr>
      <w:tr>
        <w:trPr>
          <w:trHeight w:val="233"/>
        </w:trPr>
        <w:tc>
          <w:tcPr>
            <w:tcW w:w="590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231F20"/>
              </w:rPr>
              <w:t>Other Changes in Working Capital Items</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b w:val="1"/>
                <w:bCs w:val="1"/>
                <w:color w:val="231F20"/>
              </w:rPr>
              <w:t>(2.2)</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900" w:type="dxa"/>
            <w:vAlign w:val="bottom"/>
            <w:gridSpan w:val="2"/>
            <w:shd w:val="clear" w:color="auto" w:fill="E6E7E8"/>
          </w:tcPr>
          <w:p>
            <w:pPr>
              <w:ind w:left="400"/>
              <w:spacing w:after="0"/>
              <w:rPr>
                <w:sz w:val="20"/>
                <w:szCs w:val="20"/>
                <w:color w:val="auto"/>
              </w:rPr>
            </w:pPr>
            <w:r>
              <w:rPr>
                <w:rFonts w:ascii="Times New Roman" w:cs="Times New Roman" w:eastAsia="Times New Roman" w:hAnsi="Times New Roman"/>
                <w:sz w:val="19"/>
                <w:szCs w:val="19"/>
                <w:color w:val="231F20"/>
              </w:rPr>
              <w:t>Deferred Regulatory and Other Charges</w:t>
            </w:r>
          </w:p>
        </w:tc>
        <w:tc>
          <w:tcPr>
            <w:tcW w:w="380" w:type="dxa"/>
            <w:vAlign w:val="bottom"/>
            <w:shd w:val="clear" w:color="auto" w:fill="E6E7E8"/>
          </w:tcPr>
          <w:p>
            <w:pPr>
              <w:spacing w:after="0"/>
              <w:rPr>
                <w:sz w:val="20"/>
                <w:szCs w:val="20"/>
                <w:color w:val="auto"/>
              </w:rPr>
            </w:pPr>
          </w:p>
        </w:tc>
        <w:tc>
          <w:tcPr>
            <w:tcW w:w="300" w:type="dxa"/>
            <w:vAlign w:val="bottom"/>
            <w:shd w:val="clear" w:color="auto" w:fill="E6E7E8"/>
          </w:tcPr>
          <w:p>
            <w:pPr>
              <w:spacing w:after="0"/>
              <w:rPr>
                <w:sz w:val="20"/>
                <w:szCs w:val="20"/>
                <w:color w:val="auto"/>
              </w:rPr>
            </w:pPr>
          </w:p>
        </w:tc>
        <w:tc>
          <w:tcPr>
            <w:tcW w:w="1260" w:type="dxa"/>
            <w:vAlign w:val="bottom"/>
            <w:gridSpan w:val="2"/>
            <w:shd w:val="clear" w:color="auto" w:fill="E6E7E8"/>
          </w:tcPr>
          <w:p>
            <w:pPr>
              <w:jc w:val="right"/>
              <w:ind w:right="180"/>
              <w:spacing w:after="0"/>
              <w:rPr>
                <w:sz w:val="20"/>
                <w:szCs w:val="20"/>
                <w:color w:val="auto"/>
              </w:rPr>
            </w:pPr>
            <w:r>
              <w:rPr>
                <w:rFonts w:ascii="Times New Roman" w:cs="Times New Roman" w:eastAsia="Times New Roman" w:hAnsi="Times New Roman"/>
                <w:sz w:val="19"/>
                <w:szCs w:val="19"/>
                <w:b w:val="1"/>
                <w:bCs w:val="1"/>
                <w:color w:val="231F20"/>
              </w:rPr>
              <w:t>(3.6)</w:t>
            </w:r>
          </w:p>
        </w:tc>
        <w:tc>
          <w:tcPr>
            <w:tcW w:w="300" w:type="dxa"/>
            <w:vAlign w:val="bottom"/>
            <w:shd w:val="clear" w:color="auto" w:fill="E6E7E8"/>
          </w:tcPr>
          <w:p>
            <w:pPr>
              <w:spacing w:after="0"/>
              <w:rPr>
                <w:sz w:val="20"/>
                <w:szCs w:val="20"/>
                <w:color w:val="auto"/>
              </w:rPr>
            </w:pPr>
          </w:p>
        </w:tc>
        <w:tc>
          <w:tcPr>
            <w:tcW w:w="1180" w:type="dxa"/>
            <w:vAlign w:val="bottom"/>
            <w:gridSpan w:val="2"/>
            <w:shd w:val="clear" w:color="auto" w:fill="E6E7E8"/>
          </w:tcPr>
          <w:p>
            <w:pPr>
              <w:jc w:val="right"/>
              <w:ind w:right="100"/>
              <w:spacing w:after="0"/>
              <w:rPr>
                <w:sz w:val="20"/>
                <w:szCs w:val="20"/>
                <w:color w:val="auto"/>
              </w:rPr>
            </w:pPr>
            <w:r>
              <w:rPr>
                <w:rFonts w:ascii="Times New Roman" w:cs="Times New Roman" w:eastAsia="Times New Roman" w:hAnsi="Times New Roman"/>
                <w:sz w:val="19"/>
                <w:szCs w:val="19"/>
                <w:color w:val="231F20"/>
              </w:rPr>
              <w:t>(6.9)</w:t>
            </w:r>
          </w:p>
        </w:tc>
        <w:tc>
          <w:tcPr>
            <w:tcW w:w="10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10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19"/>
                <w:szCs w:val="19"/>
                <w:color w:val="231F20"/>
              </w:rPr>
              <w:t>(8.5)</w:t>
            </w:r>
          </w:p>
        </w:tc>
        <w:tc>
          <w:tcPr>
            <w:tcW w:w="0" w:type="dxa"/>
            <w:vAlign w:val="bottom"/>
          </w:tcPr>
          <w:p>
            <w:pPr>
              <w:spacing w:after="0"/>
              <w:rPr>
                <w:sz w:val="1"/>
                <w:szCs w:val="1"/>
                <w:color w:val="auto"/>
              </w:rPr>
            </w:pPr>
          </w:p>
        </w:tc>
      </w:tr>
      <w:tr>
        <w:trPr>
          <w:trHeight w:val="232"/>
        </w:trPr>
        <w:tc>
          <w:tcPr>
            <w:tcW w:w="590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Other, net</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7.0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231F20"/>
              </w:rPr>
              <w:t>(2.0)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900" w:type="dxa"/>
            <w:vAlign w:val="bottom"/>
            <w:tcBorders>
              <w:top w:val="single" w:sz="8" w:color="E6E7E8"/>
              <w:bottom w:val="single" w:sz="8" w:color="E6E7E8"/>
            </w:tcBorders>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Cash Provided by Operating Activities</w:t>
            </w:r>
          </w:p>
        </w:tc>
        <w:tc>
          <w:tcPr>
            <w:tcW w:w="380" w:type="dxa"/>
            <w:vAlign w:val="bottom"/>
            <w:tcBorders>
              <w:top w:val="single" w:sz="8" w:color="E6E7E8"/>
              <w:bottom w:val="single" w:sz="8" w:color="E6E7E8"/>
            </w:tcBorders>
            <w:shd w:val="clear" w:color="auto" w:fill="E6E7E8"/>
          </w:tcPr>
          <w:p>
            <w:pPr>
              <w:spacing w:after="0"/>
              <w:rPr>
                <w:sz w:val="21"/>
                <w:szCs w:val="21"/>
                <w:color w:val="auto"/>
              </w:rPr>
            </w:pPr>
          </w:p>
        </w:tc>
        <w:tc>
          <w:tcPr>
            <w:tcW w:w="300" w:type="dxa"/>
            <w:vAlign w:val="bottom"/>
            <w:tcBorders>
              <w:top w:val="single" w:sz="8" w:color="231F20"/>
              <w:bottom w:val="single" w:sz="8" w:color="231F20"/>
            </w:tcBorders>
            <w:shd w:val="clear" w:color="auto" w:fill="E6E7E8"/>
          </w:tcPr>
          <w:p>
            <w:pPr>
              <w:spacing w:after="0"/>
              <w:rPr>
                <w:sz w:val="21"/>
                <w:szCs w:val="21"/>
                <w:color w:val="auto"/>
              </w:rPr>
            </w:pPr>
          </w:p>
        </w:tc>
        <w:tc>
          <w:tcPr>
            <w:tcW w:w="1020" w:type="dxa"/>
            <w:vAlign w:val="bottom"/>
            <w:tcBorders>
              <w:top w:val="single" w:sz="8" w:color="231F20"/>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131.3</w:t>
            </w:r>
          </w:p>
        </w:tc>
        <w:tc>
          <w:tcPr>
            <w:tcW w:w="240" w:type="dxa"/>
            <w:vAlign w:val="bottom"/>
            <w:tcBorders>
              <w:top w:val="single" w:sz="8" w:color="E6E7E8"/>
              <w:bottom w:val="single" w:sz="8" w:color="E6E7E8"/>
            </w:tcBorders>
            <w:shd w:val="clear" w:color="auto" w:fill="E6E7E8"/>
          </w:tcPr>
          <w:p>
            <w:pPr>
              <w:spacing w:after="0"/>
              <w:rPr>
                <w:sz w:val="21"/>
                <w:szCs w:val="21"/>
                <w:color w:val="auto"/>
              </w:rPr>
            </w:pPr>
          </w:p>
        </w:tc>
        <w:tc>
          <w:tcPr>
            <w:tcW w:w="300" w:type="dxa"/>
            <w:vAlign w:val="bottom"/>
            <w:tcBorders>
              <w:top w:val="single" w:sz="8" w:color="231F20"/>
              <w:bottom w:val="single" w:sz="8" w:color="231F20"/>
            </w:tcBorders>
            <w:shd w:val="clear" w:color="auto" w:fill="E6E7E8"/>
          </w:tcPr>
          <w:p>
            <w:pPr>
              <w:spacing w:after="0"/>
              <w:rPr>
                <w:sz w:val="21"/>
                <w:szCs w:val="21"/>
                <w:color w:val="auto"/>
              </w:rPr>
            </w:pPr>
          </w:p>
        </w:tc>
        <w:tc>
          <w:tcPr>
            <w:tcW w:w="1020" w:type="dxa"/>
            <w:vAlign w:val="bottom"/>
            <w:tcBorders>
              <w:top w:val="single" w:sz="8" w:color="231F20"/>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125.9</w:t>
            </w:r>
          </w:p>
        </w:tc>
        <w:tc>
          <w:tcPr>
            <w:tcW w:w="160" w:type="dxa"/>
            <w:vAlign w:val="bottom"/>
            <w:tcBorders>
              <w:top w:val="single" w:sz="8" w:color="E6E7E8"/>
              <w:bottom w:val="single" w:sz="8" w:color="E6E7E8"/>
            </w:tcBorders>
            <w:shd w:val="clear" w:color="auto" w:fill="E6E7E8"/>
          </w:tcPr>
          <w:p>
            <w:pPr>
              <w:spacing w:after="0"/>
              <w:rPr>
                <w:sz w:val="21"/>
                <w:szCs w:val="21"/>
                <w:color w:val="auto"/>
              </w:rPr>
            </w:pPr>
          </w:p>
        </w:tc>
        <w:tc>
          <w:tcPr>
            <w:tcW w:w="100" w:type="dxa"/>
            <w:vAlign w:val="bottom"/>
            <w:tcBorders>
              <w:top w:val="single" w:sz="8" w:color="E6E7E8"/>
              <w:bottom w:val="single" w:sz="8" w:color="E6E7E8"/>
            </w:tcBorders>
            <w:shd w:val="clear" w:color="auto" w:fill="E6E7E8"/>
          </w:tcPr>
          <w:p>
            <w:pPr>
              <w:spacing w:after="0"/>
              <w:rPr>
                <w:sz w:val="21"/>
                <w:szCs w:val="21"/>
                <w:color w:val="auto"/>
              </w:rPr>
            </w:pPr>
          </w:p>
        </w:tc>
        <w:tc>
          <w:tcPr>
            <w:tcW w:w="280" w:type="dxa"/>
            <w:vAlign w:val="bottom"/>
            <w:tcBorders>
              <w:top w:val="single" w:sz="8" w:color="231F20"/>
              <w:bottom w:val="single" w:sz="8" w:color="231F20"/>
            </w:tcBorders>
            <w:shd w:val="clear" w:color="auto" w:fill="E6E7E8"/>
          </w:tcPr>
          <w:p>
            <w:pPr>
              <w:spacing w:after="0"/>
              <w:rPr>
                <w:sz w:val="21"/>
                <w:szCs w:val="21"/>
                <w:color w:val="auto"/>
              </w:rPr>
            </w:pPr>
          </w:p>
        </w:tc>
        <w:tc>
          <w:tcPr>
            <w:tcW w:w="1020" w:type="dxa"/>
            <w:vAlign w:val="bottom"/>
            <w:tcBorders>
              <w:top w:val="single" w:sz="8" w:color="231F20"/>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107.0</w:t>
            </w:r>
          </w:p>
        </w:tc>
        <w:tc>
          <w:tcPr>
            <w:tcW w:w="80" w:type="dxa"/>
            <w:vAlign w:val="bottom"/>
            <w:tcBorders>
              <w:top w:val="single" w:sz="8" w:color="E6E7E8"/>
              <w:bottom w:val="single" w:sz="8" w:color="E6E7E8"/>
            </w:tcBorders>
            <w:shd w:val="clear" w:color="auto" w:fill="E6E7E8"/>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5900" w:type="dxa"/>
            <w:vAlign w:val="bottom"/>
            <w:gridSpan w:val="2"/>
          </w:tcPr>
          <w:p>
            <w:pPr>
              <w:spacing w:after="0" w:line="207" w:lineRule="exact"/>
              <w:rPr>
                <w:sz w:val="20"/>
                <w:szCs w:val="20"/>
                <w:color w:val="auto"/>
              </w:rPr>
            </w:pPr>
            <w:r>
              <w:rPr>
                <w:rFonts w:ascii="Times New Roman" w:cs="Times New Roman" w:eastAsia="Times New Roman" w:hAnsi="Times New Roman"/>
                <w:sz w:val="19"/>
                <w:szCs w:val="19"/>
                <w:b w:val="1"/>
                <w:bCs w:val="1"/>
                <w:color w:val="231F20"/>
              </w:rPr>
              <w:t>Investing Activities:</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90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Property, Plant and Equipment Additions</w:t>
            </w:r>
          </w:p>
        </w:tc>
        <w:tc>
          <w:tcPr>
            <w:tcW w:w="380" w:type="dxa"/>
            <w:vAlign w:val="bottom"/>
            <w:shd w:val="clear" w:color="auto" w:fill="E6E7E8"/>
          </w:tcPr>
          <w:p>
            <w:pPr>
              <w:spacing w:after="0"/>
              <w:rPr>
                <w:sz w:val="20"/>
                <w:szCs w:val="20"/>
                <w:color w:val="auto"/>
              </w:rPr>
            </w:pPr>
          </w:p>
        </w:tc>
        <w:tc>
          <w:tcPr>
            <w:tcW w:w="300" w:type="dxa"/>
            <w:vAlign w:val="bottom"/>
            <w:shd w:val="clear" w:color="auto" w:fill="E6E7E8"/>
          </w:tcPr>
          <w:p>
            <w:pPr>
              <w:spacing w:after="0"/>
              <w:rPr>
                <w:sz w:val="20"/>
                <w:szCs w:val="20"/>
                <w:color w:val="auto"/>
              </w:rPr>
            </w:pPr>
          </w:p>
        </w:tc>
        <w:tc>
          <w:tcPr>
            <w:tcW w:w="1260" w:type="dxa"/>
            <w:vAlign w:val="bottom"/>
            <w:gridSpan w:val="2"/>
            <w:shd w:val="clear" w:color="auto" w:fill="E6E7E8"/>
          </w:tcPr>
          <w:p>
            <w:pPr>
              <w:jc w:val="right"/>
              <w:ind w:right="180"/>
              <w:spacing w:after="0"/>
              <w:rPr>
                <w:sz w:val="20"/>
                <w:szCs w:val="20"/>
                <w:color w:val="auto"/>
              </w:rPr>
            </w:pPr>
            <w:r>
              <w:rPr>
                <w:rFonts w:ascii="Times New Roman" w:cs="Times New Roman" w:eastAsia="Times New Roman" w:hAnsi="Times New Roman"/>
                <w:sz w:val="19"/>
                <w:szCs w:val="19"/>
                <w:b w:val="1"/>
                <w:bCs w:val="1"/>
                <w:color w:val="231F20"/>
              </w:rPr>
              <w:t>(185.1)</w:t>
            </w:r>
          </w:p>
        </w:tc>
        <w:tc>
          <w:tcPr>
            <w:tcW w:w="300" w:type="dxa"/>
            <w:vAlign w:val="bottom"/>
            <w:shd w:val="clear" w:color="auto" w:fill="E6E7E8"/>
          </w:tcPr>
          <w:p>
            <w:pPr>
              <w:spacing w:after="0"/>
              <w:rPr>
                <w:sz w:val="20"/>
                <w:szCs w:val="20"/>
                <w:color w:val="auto"/>
              </w:rPr>
            </w:pPr>
          </w:p>
        </w:tc>
        <w:tc>
          <w:tcPr>
            <w:tcW w:w="1180" w:type="dxa"/>
            <w:vAlign w:val="bottom"/>
            <w:gridSpan w:val="2"/>
            <w:shd w:val="clear" w:color="auto" w:fill="E6E7E8"/>
          </w:tcPr>
          <w:p>
            <w:pPr>
              <w:jc w:val="right"/>
              <w:ind w:right="100"/>
              <w:spacing w:after="0"/>
              <w:rPr>
                <w:sz w:val="20"/>
                <w:szCs w:val="20"/>
                <w:color w:val="auto"/>
              </w:rPr>
            </w:pPr>
            <w:r>
              <w:rPr>
                <w:rFonts w:ascii="Times New Roman" w:cs="Times New Roman" w:eastAsia="Times New Roman" w:hAnsi="Times New Roman"/>
                <w:sz w:val="19"/>
                <w:szCs w:val="19"/>
                <w:color w:val="231F20"/>
              </w:rPr>
              <w:t>(169.9)</w:t>
            </w:r>
          </w:p>
        </w:tc>
        <w:tc>
          <w:tcPr>
            <w:tcW w:w="10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10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19"/>
                <w:szCs w:val="19"/>
                <w:color w:val="231F20"/>
              </w:rPr>
              <w:t>(141.0)</w:t>
            </w:r>
          </w:p>
        </w:tc>
        <w:tc>
          <w:tcPr>
            <w:tcW w:w="0" w:type="dxa"/>
            <w:vAlign w:val="bottom"/>
          </w:tcPr>
          <w:p>
            <w:pPr>
              <w:spacing w:after="0"/>
              <w:rPr>
                <w:sz w:val="1"/>
                <w:szCs w:val="1"/>
                <w:color w:val="auto"/>
              </w:rPr>
            </w:pPr>
          </w:p>
        </w:tc>
      </w:tr>
      <w:tr>
        <w:trPr>
          <w:trHeight w:val="232"/>
        </w:trPr>
        <w:tc>
          <w:tcPr>
            <w:tcW w:w="590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Acquisitions, Net of Cash Acquired</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b w:val="1"/>
                <w:bCs w:val="1"/>
                <w:color w:val="231F20"/>
              </w:rPr>
              <w:t>(160.4)</w:t>
            </w:r>
          </w:p>
        </w:tc>
        <w:tc>
          <w:tcPr>
            <w:tcW w:w="3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231F20"/>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0"/>
        </w:trPr>
        <w:tc>
          <w:tcPr>
            <w:tcW w:w="5900" w:type="dxa"/>
            <w:vAlign w:val="bottom"/>
            <w:gridSpan w:val="2"/>
            <w:vMerge w:val="restart"/>
            <w:shd w:val="clear" w:color="auto" w:fill="E6E7E8"/>
          </w:tcPr>
          <w:p>
            <w:pPr>
              <w:ind w:left="400"/>
              <w:spacing w:after="0"/>
              <w:rPr>
                <w:sz w:val="20"/>
                <w:szCs w:val="20"/>
                <w:color w:val="auto"/>
              </w:rPr>
            </w:pPr>
            <w:r>
              <w:rPr>
                <w:rFonts w:ascii="Times New Roman" w:cs="Times New Roman" w:eastAsia="Times New Roman" w:hAnsi="Times New Roman"/>
                <w:sz w:val="19"/>
                <w:szCs w:val="19"/>
                <w:color w:val="231F20"/>
              </w:rPr>
              <w:t>Cash Used In Investing Activities</w:t>
            </w:r>
          </w:p>
        </w:tc>
        <w:tc>
          <w:tcPr>
            <w:tcW w:w="380" w:type="dxa"/>
            <w:vAlign w:val="bottom"/>
            <w:shd w:val="clear" w:color="auto" w:fill="E6E7E8"/>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1020" w:type="dxa"/>
            <w:vAlign w:val="bottom"/>
            <w:shd w:val="clear" w:color="auto" w:fill="231F2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102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1020" w:type="dxa"/>
            <w:vAlign w:val="bottom"/>
            <w:shd w:val="clear" w:color="auto" w:fill="231F2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900" w:type="dxa"/>
            <w:vAlign w:val="bottom"/>
            <w:gridSpan w:val="2"/>
            <w:vMerge w:val="continue"/>
            <w:shd w:val="clear" w:color="auto" w:fill="E6E7E8"/>
          </w:tcPr>
          <w:p>
            <w:pPr>
              <w:spacing w:after="0"/>
              <w:rPr>
                <w:sz w:val="21"/>
                <w:szCs w:val="21"/>
                <w:color w:val="auto"/>
              </w:rPr>
            </w:pPr>
          </w:p>
        </w:tc>
        <w:tc>
          <w:tcPr>
            <w:tcW w:w="380" w:type="dxa"/>
            <w:vAlign w:val="bottom"/>
            <w:shd w:val="clear" w:color="auto" w:fill="E6E7E8"/>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b w:val="1"/>
                <w:bCs w:val="1"/>
                <w:color w:val="231F20"/>
              </w:rPr>
              <w:t>(345.5)</w:t>
            </w: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231F20"/>
              </w:rPr>
              <w:t>(169.9)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231F20"/>
              </w:rPr>
              <w:t>(141.0)</w:t>
            </w:r>
          </w:p>
        </w:tc>
        <w:tc>
          <w:tcPr>
            <w:tcW w:w="0" w:type="dxa"/>
            <w:vAlign w:val="bottom"/>
          </w:tcPr>
          <w:p>
            <w:pPr>
              <w:spacing w:after="0"/>
              <w:rPr>
                <w:sz w:val="1"/>
                <w:szCs w:val="1"/>
                <w:color w:val="auto"/>
              </w:rPr>
            </w:pPr>
          </w:p>
        </w:tc>
      </w:tr>
      <w:tr>
        <w:trPr>
          <w:trHeight w:val="208"/>
        </w:trPr>
        <w:tc>
          <w:tcPr>
            <w:tcW w:w="5900" w:type="dxa"/>
            <w:vAlign w:val="bottom"/>
            <w:tcBorders>
              <w:top w:val="single" w:sz="8" w:color="E6E7E8"/>
            </w:tcBorders>
            <w:gridSpan w:val="2"/>
          </w:tcPr>
          <w:p>
            <w:pPr>
              <w:spacing w:after="0" w:line="207" w:lineRule="exact"/>
              <w:rPr>
                <w:sz w:val="20"/>
                <w:szCs w:val="20"/>
                <w:color w:val="auto"/>
              </w:rPr>
            </w:pPr>
            <w:r>
              <w:rPr>
                <w:rFonts w:ascii="Times New Roman" w:cs="Times New Roman" w:eastAsia="Times New Roman" w:hAnsi="Times New Roman"/>
                <w:sz w:val="19"/>
                <w:szCs w:val="19"/>
                <w:b w:val="1"/>
                <w:bCs w:val="1"/>
                <w:color w:val="231F20"/>
              </w:rPr>
              <w:t>Financing Activities:</w:t>
            </w:r>
          </w:p>
        </w:tc>
        <w:tc>
          <w:tcPr>
            <w:tcW w:w="380" w:type="dxa"/>
            <w:vAlign w:val="bottom"/>
            <w:tcBorders>
              <w:top w:val="single" w:sz="8" w:color="E6E7E8"/>
            </w:tcBorders>
          </w:tcPr>
          <w:p>
            <w:pPr>
              <w:spacing w:after="0"/>
              <w:rPr>
                <w:sz w:val="18"/>
                <w:szCs w:val="18"/>
                <w:color w:val="auto"/>
              </w:rPr>
            </w:pPr>
          </w:p>
        </w:tc>
        <w:tc>
          <w:tcPr>
            <w:tcW w:w="300" w:type="dxa"/>
            <w:vAlign w:val="bottom"/>
            <w:tcBorders>
              <w:top w:val="single" w:sz="8" w:color="231F20"/>
            </w:tcBorders>
          </w:tcPr>
          <w:p>
            <w:pPr>
              <w:spacing w:after="0"/>
              <w:rPr>
                <w:sz w:val="18"/>
                <w:szCs w:val="18"/>
                <w:color w:val="auto"/>
              </w:rPr>
            </w:pPr>
          </w:p>
        </w:tc>
        <w:tc>
          <w:tcPr>
            <w:tcW w:w="1020" w:type="dxa"/>
            <w:vAlign w:val="bottom"/>
            <w:tcBorders>
              <w:top w:val="single" w:sz="8" w:color="231F20"/>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231F20"/>
            </w:tcBorders>
          </w:tcPr>
          <w:p>
            <w:pPr>
              <w:spacing w:after="0"/>
              <w:rPr>
                <w:sz w:val="18"/>
                <w:szCs w:val="18"/>
                <w:color w:val="auto"/>
              </w:rPr>
            </w:pPr>
          </w:p>
        </w:tc>
        <w:tc>
          <w:tcPr>
            <w:tcW w:w="1020" w:type="dxa"/>
            <w:vAlign w:val="bottom"/>
            <w:tcBorders>
              <w:top w:val="single" w:sz="8" w:color="231F20"/>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231F20"/>
            </w:tcBorders>
          </w:tcPr>
          <w:p>
            <w:pPr>
              <w:spacing w:after="0"/>
              <w:rPr>
                <w:sz w:val="18"/>
                <w:szCs w:val="18"/>
                <w:color w:val="auto"/>
              </w:rPr>
            </w:pPr>
          </w:p>
        </w:tc>
        <w:tc>
          <w:tcPr>
            <w:tcW w:w="1020" w:type="dxa"/>
            <w:vAlign w:val="bottom"/>
            <w:tcBorders>
              <w:top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90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Proceeds (Repayment of) from Short-Term Debt, net</w:t>
            </w:r>
          </w:p>
        </w:tc>
        <w:tc>
          <w:tcPr>
            <w:tcW w:w="380" w:type="dxa"/>
            <w:vAlign w:val="bottom"/>
            <w:shd w:val="clear" w:color="auto" w:fill="E6E7E8"/>
          </w:tcPr>
          <w:p>
            <w:pPr>
              <w:spacing w:after="0"/>
              <w:rPr>
                <w:sz w:val="20"/>
                <w:szCs w:val="20"/>
                <w:color w:val="auto"/>
              </w:rPr>
            </w:pPr>
          </w:p>
        </w:tc>
        <w:tc>
          <w:tcPr>
            <w:tcW w:w="300" w:type="dxa"/>
            <w:vAlign w:val="bottom"/>
            <w:shd w:val="clear" w:color="auto" w:fill="E6E7E8"/>
          </w:tcPr>
          <w:p>
            <w:pPr>
              <w:spacing w:after="0"/>
              <w:rPr>
                <w:sz w:val="20"/>
                <w:szCs w:val="20"/>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149.9</w:t>
            </w:r>
          </w:p>
        </w:tc>
        <w:tc>
          <w:tcPr>
            <w:tcW w:w="240" w:type="dxa"/>
            <w:vAlign w:val="bottom"/>
            <w:shd w:val="clear" w:color="auto" w:fill="E6E7E8"/>
          </w:tcPr>
          <w:p>
            <w:pPr>
              <w:spacing w:after="0"/>
              <w:rPr>
                <w:sz w:val="20"/>
                <w:szCs w:val="20"/>
                <w:color w:val="auto"/>
              </w:rPr>
            </w:pPr>
          </w:p>
        </w:tc>
        <w:tc>
          <w:tcPr>
            <w:tcW w:w="300" w:type="dxa"/>
            <w:vAlign w:val="bottom"/>
            <w:shd w:val="clear" w:color="auto" w:fill="E6E7E8"/>
          </w:tcPr>
          <w:p>
            <w:pPr>
              <w:spacing w:after="0"/>
              <w:rPr>
                <w:sz w:val="20"/>
                <w:szCs w:val="20"/>
                <w:color w:val="auto"/>
              </w:rPr>
            </w:pPr>
          </w:p>
        </w:tc>
        <w:tc>
          <w:tcPr>
            <w:tcW w:w="1180" w:type="dxa"/>
            <w:vAlign w:val="bottom"/>
            <w:gridSpan w:val="2"/>
            <w:shd w:val="clear" w:color="auto" w:fill="E6E7E8"/>
          </w:tcPr>
          <w:p>
            <w:pPr>
              <w:jc w:val="right"/>
              <w:ind w:right="100"/>
              <w:spacing w:after="0"/>
              <w:rPr>
                <w:sz w:val="20"/>
                <w:szCs w:val="20"/>
                <w:color w:val="auto"/>
              </w:rPr>
            </w:pPr>
            <w:r>
              <w:rPr>
                <w:rFonts w:ascii="Times New Roman" w:cs="Times New Roman" w:eastAsia="Times New Roman" w:hAnsi="Times New Roman"/>
                <w:sz w:val="19"/>
                <w:szCs w:val="19"/>
                <w:color w:val="231F20"/>
              </w:rPr>
              <w:t>(56.2)</w:t>
            </w:r>
          </w:p>
        </w:tc>
        <w:tc>
          <w:tcPr>
            <w:tcW w:w="10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46.0</w:t>
            </w:r>
          </w:p>
        </w:tc>
        <w:tc>
          <w:tcPr>
            <w:tcW w:w="8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90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Issuance of Long-Term Debt</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32.0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135.0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90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Repayment of Long-Term Debt</w:t>
            </w:r>
          </w:p>
        </w:tc>
        <w:tc>
          <w:tcPr>
            <w:tcW w:w="380" w:type="dxa"/>
            <w:vAlign w:val="bottom"/>
            <w:shd w:val="clear" w:color="auto" w:fill="E6E7E8"/>
          </w:tcPr>
          <w:p>
            <w:pPr>
              <w:spacing w:after="0"/>
              <w:rPr>
                <w:sz w:val="20"/>
                <w:szCs w:val="20"/>
                <w:color w:val="auto"/>
              </w:rPr>
            </w:pPr>
          </w:p>
        </w:tc>
        <w:tc>
          <w:tcPr>
            <w:tcW w:w="300" w:type="dxa"/>
            <w:vAlign w:val="bottom"/>
            <w:shd w:val="clear" w:color="auto" w:fill="E6E7E8"/>
          </w:tcPr>
          <w:p>
            <w:pPr>
              <w:spacing w:after="0"/>
              <w:rPr>
                <w:sz w:val="20"/>
                <w:szCs w:val="20"/>
                <w:color w:val="auto"/>
              </w:rPr>
            </w:pPr>
          </w:p>
        </w:tc>
        <w:tc>
          <w:tcPr>
            <w:tcW w:w="1260" w:type="dxa"/>
            <w:vAlign w:val="bottom"/>
            <w:gridSpan w:val="2"/>
            <w:shd w:val="clear" w:color="auto" w:fill="E6E7E8"/>
          </w:tcPr>
          <w:p>
            <w:pPr>
              <w:jc w:val="right"/>
              <w:ind w:right="180"/>
              <w:spacing w:after="0"/>
              <w:rPr>
                <w:sz w:val="20"/>
                <w:szCs w:val="20"/>
                <w:color w:val="auto"/>
              </w:rPr>
            </w:pPr>
            <w:r>
              <w:rPr>
                <w:rFonts w:ascii="Times New Roman" w:cs="Times New Roman" w:eastAsia="Times New Roman" w:hAnsi="Times New Roman"/>
                <w:sz w:val="19"/>
                <w:szCs w:val="19"/>
                <w:b w:val="1"/>
                <w:bCs w:val="1"/>
                <w:color w:val="231F20"/>
              </w:rPr>
              <w:t>(4.9)</w:t>
            </w:r>
          </w:p>
        </w:tc>
        <w:tc>
          <w:tcPr>
            <w:tcW w:w="300" w:type="dxa"/>
            <w:vAlign w:val="bottom"/>
            <w:shd w:val="clear" w:color="auto" w:fill="E6E7E8"/>
          </w:tcPr>
          <w:p>
            <w:pPr>
              <w:spacing w:after="0"/>
              <w:rPr>
                <w:sz w:val="20"/>
                <w:szCs w:val="20"/>
                <w:color w:val="auto"/>
              </w:rPr>
            </w:pPr>
          </w:p>
        </w:tc>
        <w:tc>
          <w:tcPr>
            <w:tcW w:w="1180" w:type="dxa"/>
            <w:vAlign w:val="bottom"/>
            <w:gridSpan w:val="2"/>
            <w:shd w:val="clear" w:color="auto" w:fill="E6E7E8"/>
          </w:tcPr>
          <w:p>
            <w:pPr>
              <w:jc w:val="right"/>
              <w:ind w:right="100"/>
              <w:spacing w:after="0"/>
              <w:rPr>
                <w:sz w:val="20"/>
                <w:szCs w:val="20"/>
                <w:color w:val="auto"/>
              </w:rPr>
            </w:pPr>
            <w:r>
              <w:rPr>
                <w:rFonts w:ascii="Times New Roman" w:cs="Times New Roman" w:eastAsia="Times New Roman" w:hAnsi="Times New Roman"/>
                <w:sz w:val="19"/>
                <w:szCs w:val="19"/>
                <w:color w:val="231F20"/>
              </w:rPr>
              <w:t>(4.9)</w:t>
            </w:r>
          </w:p>
        </w:tc>
        <w:tc>
          <w:tcPr>
            <w:tcW w:w="10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10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19"/>
                <w:szCs w:val="19"/>
                <w:color w:val="231F20"/>
              </w:rPr>
              <w:t>(6.9)</w:t>
            </w:r>
          </w:p>
        </w:tc>
        <w:tc>
          <w:tcPr>
            <w:tcW w:w="0" w:type="dxa"/>
            <w:vAlign w:val="bottom"/>
          </w:tcPr>
          <w:p>
            <w:pPr>
              <w:spacing w:after="0"/>
              <w:rPr>
                <w:sz w:val="1"/>
                <w:szCs w:val="1"/>
                <w:color w:val="auto"/>
              </w:rPr>
            </w:pPr>
          </w:p>
        </w:tc>
      </w:tr>
      <w:tr>
        <w:trPr>
          <w:trHeight w:val="233"/>
        </w:trPr>
        <w:tc>
          <w:tcPr>
            <w:tcW w:w="590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Long-Term Debt Issuance Costs</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b w:val="1"/>
                <w:bCs w:val="1"/>
                <w:color w:val="231F20"/>
              </w:rPr>
              <w:t>(0.2)</w:t>
            </w:r>
          </w:p>
        </w:tc>
        <w:tc>
          <w:tcPr>
            <w:tcW w:w="3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231F20"/>
              </w:rPr>
              <w:t>(1.1)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231F20"/>
              </w:rPr>
              <w:t>(0.2)</w:t>
            </w:r>
          </w:p>
        </w:tc>
        <w:tc>
          <w:tcPr>
            <w:tcW w:w="0" w:type="dxa"/>
            <w:vAlign w:val="bottom"/>
          </w:tcPr>
          <w:p>
            <w:pPr>
              <w:spacing w:after="0"/>
              <w:rPr>
                <w:sz w:val="1"/>
                <w:szCs w:val="1"/>
                <w:color w:val="auto"/>
              </w:rPr>
            </w:pPr>
          </w:p>
        </w:tc>
      </w:tr>
      <w:tr>
        <w:trPr>
          <w:trHeight w:val="233"/>
        </w:trPr>
        <w:tc>
          <w:tcPr>
            <w:tcW w:w="590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Increase in Capital Lease Obligations</w:t>
            </w:r>
          </w:p>
        </w:tc>
        <w:tc>
          <w:tcPr>
            <w:tcW w:w="380" w:type="dxa"/>
            <w:vAlign w:val="bottom"/>
            <w:shd w:val="clear" w:color="auto" w:fill="E6E7E8"/>
          </w:tcPr>
          <w:p>
            <w:pPr>
              <w:spacing w:after="0"/>
              <w:rPr>
                <w:sz w:val="20"/>
                <w:szCs w:val="20"/>
                <w:color w:val="auto"/>
              </w:rPr>
            </w:pPr>
          </w:p>
        </w:tc>
        <w:tc>
          <w:tcPr>
            <w:tcW w:w="300" w:type="dxa"/>
            <w:vAlign w:val="bottom"/>
            <w:shd w:val="clear" w:color="auto" w:fill="E6E7E8"/>
          </w:tcPr>
          <w:p>
            <w:pPr>
              <w:spacing w:after="0"/>
              <w:rPr>
                <w:sz w:val="20"/>
                <w:szCs w:val="20"/>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0.1</w:t>
            </w:r>
          </w:p>
        </w:tc>
        <w:tc>
          <w:tcPr>
            <w:tcW w:w="240" w:type="dxa"/>
            <w:vAlign w:val="bottom"/>
            <w:shd w:val="clear" w:color="auto" w:fill="E6E7E8"/>
          </w:tcPr>
          <w:p>
            <w:pPr>
              <w:spacing w:after="0"/>
              <w:rPr>
                <w:sz w:val="20"/>
                <w:szCs w:val="20"/>
                <w:color w:val="auto"/>
              </w:rPr>
            </w:pPr>
          </w:p>
        </w:tc>
        <w:tc>
          <w:tcPr>
            <w:tcW w:w="300" w:type="dxa"/>
            <w:vAlign w:val="bottom"/>
            <w:shd w:val="clear" w:color="auto" w:fill="E6E7E8"/>
          </w:tcPr>
          <w:p>
            <w:pPr>
              <w:spacing w:after="0"/>
              <w:rPr>
                <w:sz w:val="20"/>
                <w:szCs w:val="20"/>
                <w:color w:val="auto"/>
              </w:rPr>
            </w:pPr>
          </w:p>
        </w:tc>
        <w:tc>
          <w:tcPr>
            <w:tcW w:w="1180" w:type="dxa"/>
            <w:vAlign w:val="bottom"/>
            <w:gridSpan w:val="2"/>
            <w:shd w:val="clear" w:color="auto" w:fill="E6E7E8"/>
          </w:tcPr>
          <w:p>
            <w:pPr>
              <w:jc w:val="right"/>
              <w:ind w:right="180"/>
              <w:spacing w:after="0"/>
              <w:rPr>
                <w:sz w:val="20"/>
                <w:szCs w:val="20"/>
                <w:color w:val="auto"/>
              </w:rPr>
            </w:pPr>
            <w:r>
              <w:rPr>
                <w:rFonts w:ascii="Times New Roman" w:cs="Times New Roman" w:eastAsia="Times New Roman" w:hAnsi="Times New Roman"/>
                <w:sz w:val="19"/>
                <w:szCs w:val="19"/>
                <w:color w:val="231F20"/>
              </w:rPr>
              <w:t>—</w:t>
            </w:r>
          </w:p>
        </w:tc>
        <w:tc>
          <w:tcPr>
            <w:tcW w:w="10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0.3</w:t>
            </w:r>
          </w:p>
        </w:tc>
        <w:tc>
          <w:tcPr>
            <w:tcW w:w="8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90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Net Increase (Decrease) in Exchange Gas Financing</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3.3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231F20"/>
              </w:rPr>
              <w:t>(2.6)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231F20"/>
              </w:rPr>
              <w:t>(7.6)</w:t>
            </w:r>
          </w:p>
        </w:tc>
        <w:tc>
          <w:tcPr>
            <w:tcW w:w="0" w:type="dxa"/>
            <w:vAlign w:val="bottom"/>
          </w:tcPr>
          <w:p>
            <w:pPr>
              <w:spacing w:after="0"/>
              <w:rPr>
                <w:sz w:val="1"/>
                <w:szCs w:val="1"/>
                <w:color w:val="auto"/>
              </w:rPr>
            </w:pPr>
          </w:p>
        </w:tc>
      </w:tr>
      <w:tr>
        <w:trPr>
          <w:trHeight w:val="233"/>
        </w:trPr>
        <w:tc>
          <w:tcPr>
            <w:tcW w:w="590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Dividends Paid</w:t>
            </w:r>
          </w:p>
        </w:tc>
        <w:tc>
          <w:tcPr>
            <w:tcW w:w="380" w:type="dxa"/>
            <w:vAlign w:val="bottom"/>
            <w:shd w:val="clear" w:color="auto" w:fill="E6E7E8"/>
          </w:tcPr>
          <w:p>
            <w:pPr>
              <w:spacing w:after="0"/>
              <w:rPr>
                <w:sz w:val="20"/>
                <w:szCs w:val="20"/>
                <w:color w:val="auto"/>
              </w:rPr>
            </w:pPr>
          </w:p>
        </w:tc>
        <w:tc>
          <w:tcPr>
            <w:tcW w:w="300" w:type="dxa"/>
            <w:vAlign w:val="bottom"/>
            <w:shd w:val="clear" w:color="auto" w:fill="E6E7E8"/>
          </w:tcPr>
          <w:p>
            <w:pPr>
              <w:spacing w:after="0"/>
              <w:rPr>
                <w:sz w:val="20"/>
                <w:szCs w:val="20"/>
                <w:color w:val="auto"/>
              </w:rPr>
            </w:pPr>
          </w:p>
        </w:tc>
        <w:tc>
          <w:tcPr>
            <w:tcW w:w="1260" w:type="dxa"/>
            <w:vAlign w:val="bottom"/>
            <w:gridSpan w:val="2"/>
            <w:shd w:val="clear" w:color="auto" w:fill="E6E7E8"/>
          </w:tcPr>
          <w:p>
            <w:pPr>
              <w:jc w:val="right"/>
              <w:ind w:right="180"/>
              <w:spacing w:after="0"/>
              <w:rPr>
                <w:sz w:val="20"/>
                <w:szCs w:val="20"/>
                <w:color w:val="auto"/>
              </w:rPr>
            </w:pPr>
            <w:r>
              <w:rPr>
                <w:rFonts w:ascii="Times New Roman" w:cs="Times New Roman" w:eastAsia="Times New Roman" w:hAnsi="Times New Roman"/>
                <w:sz w:val="19"/>
                <w:szCs w:val="19"/>
                <w:b w:val="1"/>
                <w:bCs w:val="1"/>
                <w:color w:val="231F20"/>
              </w:rPr>
              <w:t>(30.1)</w:t>
            </w:r>
          </w:p>
        </w:tc>
        <w:tc>
          <w:tcPr>
            <w:tcW w:w="300" w:type="dxa"/>
            <w:vAlign w:val="bottom"/>
            <w:shd w:val="clear" w:color="auto" w:fill="E6E7E8"/>
          </w:tcPr>
          <w:p>
            <w:pPr>
              <w:spacing w:after="0"/>
              <w:rPr>
                <w:sz w:val="20"/>
                <w:szCs w:val="20"/>
                <w:color w:val="auto"/>
              </w:rPr>
            </w:pPr>
          </w:p>
        </w:tc>
        <w:tc>
          <w:tcPr>
            <w:tcW w:w="1180" w:type="dxa"/>
            <w:vAlign w:val="bottom"/>
            <w:gridSpan w:val="2"/>
            <w:shd w:val="clear" w:color="auto" w:fill="E6E7E8"/>
          </w:tcPr>
          <w:p>
            <w:pPr>
              <w:jc w:val="right"/>
              <w:ind w:right="100"/>
              <w:spacing w:after="0"/>
              <w:rPr>
                <w:sz w:val="20"/>
                <w:szCs w:val="20"/>
                <w:color w:val="auto"/>
              </w:rPr>
            </w:pPr>
            <w:r>
              <w:rPr>
                <w:rFonts w:ascii="Times New Roman" w:cs="Times New Roman" w:eastAsia="Times New Roman" w:hAnsi="Times New Roman"/>
                <w:sz w:val="19"/>
                <w:szCs w:val="19"/>
                <w:color w:val="231F20"/>
              </w:rPr>
              <w:t>(27.5)</w:t>
            </w:r>
          </w:p>
        </w:tc>
        <w:tc>
          <w:tcPr>
            <w:tcW w:w="10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10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19"/>
                <w:szCs w:val="19"/>
                <w:color w:val="231F20"/>
              </w:rPr>
              <w:t>(26.2)</w:t>
            </w:r>
          </w:p>
        </w:tc>
        <w:tc>
          <w:tcPr>
            <w:tcW w:w="0" w:type="dxa"/>
            <w:vAlign w:val="bottom"/>
          </w:tcPr>
          <w:p>
            <w:pPr>
              <w:spacing w:after="0"/>
              <w:rPr>
                <w:sz w:val="1"/>
                <w:szCs w:val="1"/>
                <w:color w:val="auto"/>
              </w:rPr>
            </w:pPr>
          </w:p>
        </w:tc>
      </w:tr>
      <w:tr>
        <w:trPr>
          <w:trHeight w:val="233"/>
        </w:trPr>
        <w:tc>
          <w:tcPr>
            <w:tcW w:w="590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Proceeds from Issuance of Common Stock</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73.5</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90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Construction Advances</w:t>
            </w:r>
          </w:p>
        </w:tc>
        <w:tc>
          <w:tcPr>
            <w:tcW w:w="380" w:type="dxa"/>
            <w:vAlign w:val="bottom"/>
            <w:shd w:val="clear" w:color="auto" w:fill="E6E7E8"/>
          </w:tcPr>
          <w:p>
            <w:pPr>
              <w:spacing w:after="0"/>
              <w:rPr>
                <w:sz w:val="21"/>
                <w:szCs w:val="21"/>
                <w:color w:val="auto"/>
              </w:rPr>
            </w:pPr>
          </w:p>
        </w:tc>
        <w:tc>
          <w:tcPr>
            <w:tcW w:w="300" w:type="dxa"/>
            <w:vAlign w:val="bottom"/>
            <w:shd w:val="clear" w:color="auto" w:fill="E6E7E8"/>
          </w:tcPr>
          <w:p>
            <w:pPr>
              <w:spacing w:after="0"/>
              <w:rPr>
                <w:sz w:val="21"/>
                <w:szCs w:val="21"/>
                <w:color w:val="auto"/>
              </w:rPr>
            </w:pPr>
          </w:p>
        </w:tc>
        <w:tc>
          <w:tcPr>
            <w:tcW w:w="1260" w:type="dxa"/>
            <w:vAlign w:val="bottom"/>
            <w:gridSpan w:val="2"/>
            <w:shd w:val="clear" w:color="auto" w:fill="E6E7E8"/>
          </w:tcPr>
          <w:p>
            <w:pPr>
              <w:jc w:val="right"/>
              <w:ind w:right="180"/>
              <w:spacing w:after="0"/>
              <w:rPr>
                <w:sz w:val="20"/>
                <w:szCs w:val="20"/>
                <w:color w:val="auto"/>
              </w:rPr>
            </w:pPr>
            <w:r>
              <w:rPr>
                <w:rFonts w:ascii="Times New Roman" w:cs="Times New Roman" w:eastAsia="Times New Roman" w:hAnsi="Times New Roman"/>
                <w:sz w:val="19"/>
                <w:szCs w:val="19"/>
                <w:b w:val="1"/>
                <w:bCs w:val="1"/>
                <w:color w:val="231F20"/>
              </w:rPr>
              <w:t>(0.1)</w:t>
            </w:r>
          </w:p>
        </w:tc>
        <w:tc>
          <w:tcPr>
            <w:tcW w:w="300" w:type="dxa"/>
            <w:vAlign w:val="bottom"/>
            <w:shd w:val="clear" w:color="auto" w:fill="E6E7E8"/>
          </w:tcPr>
          <w:p>
            <w:pPr>
              <w:spacing w:after="0"/>
              <w:rPr>
                <w:sz w:val="21"/>
                <w:szCs w:val="21"/>
                <w:color w:val="auto"/>
              </w:rPr>
            </w:pPr>
          </w:p>
        </w:tc>
        <w:tc>
          <w:tcPr>
            <w:tcW w:w="1180" w:type="dxa"/>
            <w:vAlign w:val="bottom"/>
            <w:gridSpan w:val="2"/>
            <w:shd w:val="clear" w:color="auto" w:fill="E6E7E8"/>
          </w:tcPr>
          <w:p>
            <w:pPr>
              <w:jc w:val="right"/>
              <w:ind w:right="180"/>
              <w:spacing w:after="0"/>
              <w:rPr>
                <w:sz w:val="20"/>
                <w:szCs w:val="20"/>
                <w:color w:val="auto"/>
              </w:rPr>
            </w:pPr>
            <w:r>
              <w:rPr>
                <w:rFonts w:ascii="Times New Roman" w:cs="Times New Roman" w:eastAsia="Times New Roman" w:hAnsi="Times New Roman"/>
                <w:sz w:val="19"/>
                <w:szCs w:val="19"/>
                <w:color w:val="231F20"/>
              </w:rPr>
              <w:t>—</w:t>
            </w:r>
          </w:p>
        </w:tc>
        <w:tc>
          <w:tcPr>
            <w:tcW w:w="10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00" w:type="dxa"/>
            <w:vAlign w:val="bottom"/>
            <w:gridSpan w:val="2"/>
            <w:shd w:val="clear" w:color="auto" w:fill="E6E7E8"/>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08"/>
        </w:trPr>
        <w:tc>
          <w:tcPr>
            <w:tcW w:w="5900" w:type="dxa"/>
            <w:vAlign w:val="bottom"/>
            <w:tcBorders>
              <w:top w:val="single" w:sz="8" w:color="E6E7E8"/>
              <w:bottom w:val="single" w:sz="8" w:color="E6E7E8"/>
            </w:tcBorders>
            <w:gridSpan w:val="2"/>
          </w:tcPr>
          <w:p>
            <w:pPr>
              <w:ind w:left="400"/>
              <w:spacing w:after="0" w:line="207" w:lineRule="exact"/>
              <w:rPr>
                <w:sz w:val="20"/>
                <w:szCs w:val="20"/>
                <w:color w:val="auto"/>
              </w:rPr>
            </w:pPr>
            <w:r>
              <w:rPr>
                <w:rFonts w:ascii="Times New Roman" w:cs="Times New Roman" w:eastAsia="Times New Roman" w:hAnsi="Times New Roman"/>
                <w:sz w:val="19"/>
                <w:szCs w:val="19"/>
                <w:color w:val="231F20"/>
              </w:rPr>
              <w:t>Cash Provided by Financing Activities</w:t>
            </w:r>
          </w:p>
        </w:tc>
        <w:tc>
          <w:tcPr>
            <w:tcW w:w="380" w:type="dxa"/>
            <w:vAlign w:val="bottom"/>
            <w:tcBorders>
              <w:top w:val="single" w:sz="8" w:color="E6E7E8"/>
              <w:bottom w:val="single" w:sz="8" w:color="E6E7E8"/>
            </w:tcBorders>
          </w:tcPr>
          <w:p>
            <w:pPr>
              <w:spacing w:after="0"/>
              <w:rPr>
                <w:sz w:val="18"/>
                <w:szCs w:val="18"/>
                <w:color w:val="auto"/>
              </w:rPr>
            </w:pPr>
          </w:p>
        </w:tc>
        <w:tc>
          <w:tcPr>
            <w:tcW w:w="300" w:type="dxa"/>
            <w:vAlign w:val="bottom"/>
            <w:tcBorders>
              <w:top w:val="single" w:sz="8" w:color="231F20"/>
              <w:bottom w:val="single" w:sz="8" w:color="231F20"/>
            </w:tcBorders>
          </w:tcPr>
          <w:p>
            <w:pPr>
              <w:spacing w:after="0"/>
              <w:rPr>
                <w:sz w:val="18"/>
                <w:szCs w:val="18"/>
                <w:color w:val="auto"/>
              </w:rPr>
            </w:pPr>
          </w:p>
        </w:tc>
        <w:tc>
          <w:tcPr>
            <w:tcW w:w="1020" w:type="dxa"/>
            <w:vAlign w:val="bottom"/>
            <w:tcBorders>
              <w:top w:val="single" w:sz="8" w:color="231F20"/>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b w:val="1"/>
                <w:bCs w:val="1"/>
                <w:color w:val="231F20"/>
              </w:rPr>
              <w:t>223.5</w:t>
            </w:r>
          </w:p>
        </w:tc>
        <w:tc>
          <w:tcPr>
            <w:tcW w:w="240" w:type="dxa"/>
            <w:vAlign w:val="bottom"/>
            <w:tcBorders>
              <w:top w:val="single" w:sz="8" w:color="E6E7E8"/>
              <w:bottom w:val="single" w:sz="8" w:color="E6E7E8"/>
            </w:tcBorders>
          </w:tcPr>
          <w:p>
            <w:pPr>
              <w:spacing w:after="0"/>
              <w:rPr>
                <w:sz w:val="18"/>
                <w:szCs w:val="18"/>
                <w:color w:val="auto"/>
              </w:rPr>
            </w:pPr>
          </w:p>
        </w:tc>
        <w:tc>
          <w:tcPr>
            <w:tcW w:w="300" w:type="dxa"/>
            <w:vAlign w:val="bottom"/>
            <w:tcBorders>
              <w:top w:val="single" w:sz="8" w:color="231F20"/>
              <w:bottom w:val="single" w:sz="8" w:color="231F20"/>
            </w:tcBorders>
          </w:tcPr>
          <w:p>
            <w:pPr>
              <w:spacing w:after="0"/>
              <w:rPr>
                <w:sz w:val="18"/>
                <w:szCs w:val="18"/>
                <w:color w:val="auto"/>
              </w:rPr>
            </w:pPr>
          </w:p>
        </w:tc>
        <w:tc>
          <w:tcPr>
            <w:tcW w:w="1020" w:type="dxa"/>
            <w:vAlign w:val="bottom"/>
            <w:tcBorders>
              <w:top w:val="single" w:sz="8" w:color="231F20"/>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rPr>
              <w:t>43.8</w:t>
            </w:r>
          </w:p>
        </w:tc>
        <w:tc>
          <w:tcPr>
            <w:tcW w:w="160" w:type="dxa"/>
            <w:vAlign w:val="bottom"/>
            <w:tcBorders>
              <w:top w:val="single" w:sz="8" w:color="E6E7E8"/>
            </w:tcBorders>
          </w:tcPr>
          <w:p>
            <w:pPr>
              <w:spacing w:after="0"/>
              <w:rPr>
                <w:sz w:val="18"/>
                <w:szCs w:val="18"/>
                <w:color w:val="auto"/>
              </w:rPr>
            </w:pPr>
          </w:p>
        </w:tc>
        <w:tc>
          <w:tcPr>
            <w:tcW w:w="100" w:type="dxa"/>
            <w:vAlign w:val="bottom"/>
            <w:tcBorders>
              <w:top w:val="single" w:sz="8" w:color="E6E7E8"/>
            </w:tcBorders>
          </w:tcPr>
          <w:p>
            <w:pPr>
              <w:spacing w:after="0"/>
              <w:rPr>
                <w:sz w:val="18"/>
                <w:szCs w:val="18"/>
                <w:color w:val="auto"/>
              </w:rPr>
            </w:pPr>
          </w:p>
        </w:tc>
        <w:tc>
          <w:tcPr>
            <w:tcW w:w="280" w:type="dxa"/>
            <w:vAlign w:val="bottom"/>
            <w:tcBorders>
              <w:top w:val="single" w:sz="8" w:color="231F20"/>
              <w:bottom w:val="single" w:sz="8" w:color="231F20"/>
            </w:tcBorders>
          </w:tcPr>
          <w:p>
            <w:pPr>
              <w:spacing w:after="0"/>
              <w:rPr>
                <w:sz w:val="18"/>
                <w:szCs w:val="18"/>
                <w:color w:val="auto"/>
              </w:rPr>
            </w:pPr>
          </w:p>
        </w:tc>
        <w:tc>
          <w:tcPr>
            <w:tcW w:w="1020" w:type="dxa"/>
            <w:vAlign w:val="bottom"/>
            <w:tcBorders>
              <w:top w:val="single" w:sz="8" w:color="231F20"/>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rPr>
              <w:t>31.5</w:t>
            </w:r>
          </w:p>
        </w:tc>
        <w:tc>
          <w:tcPr>
            <w:tcW w:w="80" w:type="dxa"/>
            <w:vAlign w:val="bottom"/>
            <w:tcBorders>
              <w:top w:val="single" w:sz="8" w:color="E6E7E8"/>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90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19"/>
                <w:szCs w:val="19"/>
                <w:color w:val="231F20"/>
              </w:rPr>
              <w:t>Net Increase (Decrease) in Cash and Cash Equivalents</w:t>
            </w:r>
          </w:p>
        </w:tc>
        <w:tc>
          <w:tcPr>
            <w:tcW w:w="380" w:type="dxa"/>
            <w:vAlign w:val="bottom"/>
            <w:shd w:val="clear" w:color="auto" w:fill="E6E7E8"/>
          </w:tcPr>
          <w:p>
            <w:pPr>
              <w:spacing w:after="0"/>
              <w:rPr>
                <w:sz w:val="19"/>
                <w:szCs w:val="19"/>
                <w:color w:val="auto"/>
              </w:rPr>
            </w:pPr>
          </w:p>
        </w:tc>
        <w:tc>
          <w:tcPr>
            <w:tcW w:w="300" w:type="dxa"/>
            <w:vAlign w:val="bottom"/>
            <w:shd w:val="clear" w:color="auto" w:fill="E6E7E8"/>
          </w:tcPr>
          <w:p>
            <w:pPr>
              <w:spacing w:after="0"/>
              <w:rPr>
                <w:sz w:val="19"/>
                <w:szCs w:val="19"/>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9.3</w:t>
            </w:r>
          </w:p>
        </w:tc>
        <w:tc>
          <w:tcPr>
            <w:tcW w:w="240" w:type="dxa"/>
            <w:vAlign w:val="bottom"/>
            <w:shd w:val="clear" w:color="auto" w:fill="E6E7E8"/>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231F20"/>
              </w:rPr>
              <w:t>(0.2)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231F20"/>
              </w:rPr>
              <w:t>(2.5)</w:t>
            </w:r>
          </w:p>
        </w:tc>
        <w:tc>
          <w:tcPr>
            <w:tcW w:w="0" w:type="dxa"/>
            <w:vAlign w:val="bottom"/>
          </w:tcPr>
          <w:p>
            <w:pPr>
              <w:spacing w:after="0"/>
              <w:rPr>
                <w:sz w:val="1"/>
                <w:szCs w:val="1"/>
                <w:color w:val="auto"/>
              </w:rPr>
            </w:pPr>
          </w:p>
        </w:tc>
      </w:tr>
      <w:tr>
        <w:trPr>
          <w:trHeight w:val="232"/>
        </w:trPr>
        <w:tc>
          <w:tcPr>
            <w:tcW w:w="5900" w:type="dxa"/>
            <w:vAlign w:val="bottom"/>
            <w:tcBorders>
              <w:bottom w:val="single" w:sz="8" w:color="E6E7E8"/>
            </w:tcBorders>
            <w:gridSpan w:val="2"/>
          </w:tcPr>
          <w:p>
            <w:pPr>
              <w:spacing w:after="0"/>
              <w:rPr>
                <w:sz w:val="20"/>
                <w:szCs w:val="20"/>
                <w:color w:val="auto"/>
              </w:rPr>
            </w:pPr>
            <w:r>
              <w:rPr>
                <w:rFonts w:ascii="Times New Roman" w:cs="Times New Roman" w:eastAsia="Times New Roman" w:hAnsi="Times New Roman"/>
                <w:sz w:val="19"/>
                <w:szCs w:val="19"/>
                <w:color w:val="231F20"/>
              </w:rPr>
              <w:t>Cash and Cash Equivalents at Beginning of Year</w:t>
            </w:r>
          </w:p>
        </w:tc>
        <w:tc>
          <w:tcPr>
            <w:tcW w:w="380" w:type="dxa"/>
            <w:vAlign w:val="bottom"/>
            <w:tcBorders>
              <w:bottom w:val="single" w:sz="8" w:color="E6E7E8"/>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6.3</w:t>
            </w:r>
          </w:p>
        </w:tc>
        <w:tc>
          <w:tcPr>
            <w:tcW w:w="240" w:type="dxa"/>
            <w:vAlign w:val="bottom"/>
            <w:tcBorders>
              <w:bottom w:val="single" w:sz="8" w:color="E6E7E8"/>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6.5</w:t>
            </w:r>
          </w:p>
        </w:tc>
        <w:tc>
          <w:tcPr>
            <w:tcW w:w="160" w:type="dxa"/>
            <w:vAlign w:val="bottom"/>
            <w:tcBorders>
              <w:bottom w:val="single" w:sz="8" w:color="E6E7E8"/>
            </w:tcBorders>
          </w:tcPr>
          <w:p>
            <w:pPr>
              <w:spacing w:after="0"/>
              <w:rPr>
                <w:sz w:val="20"/>
                <w:szCs w:val="20"/>
                <w:color w:val="auto"/>
              </w:rPr>
            </w:pPr>
          </w:p>
        </w:tc>
        <w:tc>
          <w:tcPr>
            <w:tcW w:w="100" w:type="dxa"/>
            <w:vAlign w:val="bottom"/>
            <w:tcBorders>
              <w:bottom w:val="single" w:sz="8" w:color="E6E7E8"/>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9.0</w:t>
            </w:r>
          </w:p>
        </w:tc>
        <w:tc>
          <w:tcPr>
            <w:tcW w:w="80" w:type="dxa"/>
            <w:vAlign w:val="bottom"/>
            <w:tcBorders>
              <w:bottom w:val="single" w:sz="8" w:color="E6E7E8"/>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900" w:type="dxa"/>
            <w:vAlign w:val="bottom"/>
            <w:tcBorders>
              <w:bottom w:val="single" w:sz="8" w:color="E6E7E8"/>
            </w:tcBorders>
            <w:gridSpan w:val="2"/>
            <w:shd w:val="clear" w:color="auto" w:fill="E6E7E8"/>
          </w:tcPr>
          <w:p>
            <w:pPr>
              <w:spacing w:after="0"/>
              <w:rPr>
                <w:sz w:val="20"/>
                <w:szCs w:val="20"/>
                <w:color w:val="auto"/>
              </w:rPr>
            </w:pPr>
            <w:r>
              <w:rPr>
                <w:rFonts w:ascii="Times New Roman" w:cs="Times New Roman" w:eastAsia="Times New Roman" w:hAnsi="Times New Roman"/>
                <w:sz w:val="19"/>
                <w:szCs w:val="19"/>
                <w:color w:val="231F20"/>
              </w:rPr>
              <w:t>Cash and Cash Equivalents at End of Year</w:t>
            </w:r>
          </w:p>
        </w:tc>
        <w:tc>
          <w:tcPr>
            <w:tcW w:w="380" w:type="dxa"/>
            <w:vAlign w:val="bottom"/>
            <w:tcBorders>
              <w:bottom w:val="single" w:sz="8" w:color="E6E7E8"/>
            </w:tcBorders>
            <w:shd w:val="clear" w:color="auto" w:fill="E6E7E8"/>
          </w:tcPr>
          <w:p>
            <w:pPr>
              <w:spacing w:after="0"/>
              <w:rPr>
                <w:sz w:val="21"/>
                <w:szCs w:val="21"/>
                <w:color w:val="auto"/>
              </w:rPr>
            </w:pPr>
          </w:p>
        </w:tc>
        <w:tc>
          <w:tcPr>
            <w:tcW w:w="300" w:type="dxa"/>
            <w:vAlign w:val="bottom"/>
            <w:tcBorders>
              <w:bottom w:val="single" w:sz="8" w:color="231F20"/>
            </w:tcBorders>
            <w:shd w:val="clear" w:color="auto" w:fill="E6E7E8"/>
          </w:tcPr>
          <w:p>
            <w:pPr>
              <w:jc w:val="right"/>
              <w:ind w:right="105"/>
              <w:spacing w:after="0"/>
              <w:rPr>
                <w:sz w:val="20"/>
                <w:szCs w:val="20"/>
                <w:color w:val="auto"/>
              </w:rPr>
            </w:pPr>
            <w:r>
              <w:rPr>
                <w:rFonts w:ascii="Times New Roman" w:cs="Times New Roman" w:eastAsia="Times New Roman" w:hAnsi="Times New Roman"/>
                <w:sz w:val="19"/>
                <w:szCs w:val="19"/>
                <w:b w:val="1"/>
                <w:bCs w:val="1"/>
                <w:color w:val="231F20"/>
                <w:w w:val="83"/>
              </w:rPr>
              <w:t>$</w:t>
            </w:r>
          </w:p>
        </w:tc>
        <w:tc>
          <w:tcPr>
            <w:tcW w:w="10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15.6</w:t>
            </w:r>
          </w:p>
        </w:tc>
        <w:tc>
          <w:tcPr>
            <w:tcW w:w="240" w:type="dxa"/>
            <w:vAlign w:val="bottom"/>
            <w:tcBorders>
              <w:bottom w:val="single" w:sz="8" w:color="E6E7E8"/>
            </w:tcBorders>
            <w:shd w:val="clear" w:color="auto" w:fill="E6E7E8"/>
          </w:tcPr>
          <w:p>
            <w:pPr>
              <w:spacing w:after="0"/>
              <w:rPr>
                <w:sz w:val="21"/>
                <w:szCs w:val="21"/>
                <w:color w:val="auto"/>
              </w:rPr>
            </w:pPr>
          </w:p>
        </w:tc>
        <w:tc>
          <w:tcPr>
            <w:tcW w:w="300" w:type="dxa"/>
            <w:vAlign w:val="bottom"/>
            <w:tcBorders>
              <w:bottom w:val="single" w:sz="8" w:color="231F20"/>
            </w:tcBorders>
            <w:shd w:val="clear" w:color="auto" w:fill="E6E7E8"/>
          </w:tcPr>
          <w:p>
            <w:pPr>
              <w:jc w:val="right"/>
              <w:ind w:right="105"/>
              <w:spacing w:after="0"/>
              <w:rPr>
                <w:sz w:val="20"/>
                <w:szCs w:val="20"/>
                <w:color w:val="auto"/>
              </w:rPr>
            </w:pPr>
            <w:r>
              <w:rPr>
                <w:rFonts w:ascii="Times New Roman" w:cs="Times New Roman" w:eastAsia="Times New Roman" w:hAnsi="Times New Roman"/>
                <w:sz w:val="19"/>
                <w:szCs w:val="19"/>
                <w:color w:val="231F20"/>
                <w:w w:val="83"/>
              </w:rPr>
              <w:t>$</w:t>
            </w:r>
          </w:p>
        </w:tc>
        <w:tc>
          <w:tcPr>
            <w:tcW w:w="10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6.3</w:t>
            </w:r>
          </w:p>
        </w:tc>
        <w:tc>
          <w:tcPr>
            <w:tcW w:w="160" w:type="dxa"/>
            <w:vAlign w:val="bottom"/>
            <w:tcBorders>
              <w:bottom w:val="single" w:sz="8" w:color="E6E7E8"/>
            </w:tcBorders>
            <w:shd w:val="clear" w:color="auto" w:fill="E6E7E8"/>
          </w:tcPr>
          <w:p>
            <w:pPr>
              <w:spacing w:after="0"/>
              <w:rPr>
                <w:sz w:val="21"/>
                <w:szCs w:val="21"/>
                <w:color w:val="auto"/>
              </w:rPr>
            </w:pPr>
          </w:p>
        </w:tc>
        <w:tc>
          <w:tcPr>
            <w:tcW w:w="100" w:type="dxa"/>
            <w:vAlign w:val="bottom"/>
            <w:tcBorders>
              <w:bottom w:val="single" w:sz="8" w:color="E6E7E8"/>
            </w:tcBorders>
            <w:shd w:val="clear" w:color="auto" w:fill="E6E7E8"/>
          </w:tcPr>
          <w:p>
            <w:pPr>
              <w:spacing w:after="0"/>
              <w:rPr>
                <w:sz w:val="21"/>
                <w:szCs w:val="21"/>
                <w:color w:val="auto"/>
              </w:rPr>
            </w:pPr>
          </w:p>
        </w:tc>
        <w:tc>
          <w:tcPr>
            <w:tcW w:w="280" w:type="dxa"/>
            <w:vAlign w:val="bottom"/>
            <w:tcBorders>
              <w:bottom w:val="single" w:sz="8" w:color="231F20"/>
            </w:tcBorders>
            <w:shd w:val="clear" w:color="auto" w:fill="E6E7E8"/>
          </w:tcPr>
          <w:p>
            <w:pPr>
              <w:jc w:val="right"/>
              <w:ind w:right="116"/>
              <w:spacing w:after="0"/>
              <w:rPr>
                <w:sz w:val="20"/>
                <w:szCs w:val="20"/>
                <w:color w:val="auto"/>
              </w:rPr>
            </w:pPr>
            <w:r>
              <w:rPr>
                <w:rFonts w:ascii="Times New Roman" w:cs="Times New Roman" w:eastAsia="Times New Roman" w:hAnsi="Times New Roman"/>
                <w:sz w:val="17"/>
                <w:szCs w:val="17"/>
                <w:color w:val="231F20"/>
                <w:w w:val="70"/>
              </w:rPr>
              <w:t>$</w:t>
            </w:r>
          </w:p>
        </w:tc>
        <w:tc>
          <w:tcPr>
            <w:tcW w:w="10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6.5</w:t>
            </w:r>
          </w:p>
        </w:tc>
        <w:tc>
          <w:tcPr>
            <w:tcW w:w="80" w:type="dxa"/>
            <w:vAlign w:val="bottom"/>
            <w:tcBorders>
              <w:bottom w:val="single" w:sz="8" w:color="E6E7E8"/>
            </w:tcBorders>
            <w:shd w:val="clear" w:color="auto" w:fill="E6E7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b w:val="1"/>
                <w:bCs w:val="1"/>
                <w:color w:val="231F20"/>
              </w:rPr>
              <w:t>Supplemental Information:</w:t>
            </w:r>
          </w:p>
        </w:tc>
        <w:tc>
          <w:tcPr>
            <w:tcW w:w="38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90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90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Interest Paid</w:t>
            </w:r>
          </w:p>
        </w:tc>
        <w:tc>
          <w:tcPr>
            <w:tcW w:w="680" w:type="dxa"/>
            <w:vAlign w:val="bottom"/>
            <w:gridSpan w:val="2"/>
            <w:shd w:val="clear" w:color="auto" w:fill="E6E7E8"/>
          </w:tcPr>
          <w:p>
            <w:pPr>
              <w:jc w:val="right"/>
              <w:ind w:right="105"/>
              <w:spacing w:after="0"/>
              <w:rPr>
                <w:sz w:val="20"/>
                <w:szCs w:val="20"/>
                <w:color w:val="auto"/>
              </w:rPr>
            </w:pPr>
            <w:r>
              <w:rPr>
                <w:rFonts w:ascii="Times New Roman" w:cs="Times New Roman" w:eastAsia="Times New Roman" w:hAnsi="Times New Roman"/>
                <w:sz w:val="19"/>
                <w:szCs w:val="19"/>
                <w:b w:val="1"/>
                <w:bCs w:val="1"/>
                <w:color w:val="231F20"/>
              </w:rPr>
              <w:t>$</w:t>
            </w: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39.3</w:t>
            </w:r>
          </w:p>
        </w:tc>
        <w:tc>
          <w:tcPr>
            <w:tcW w:w="240" w:type="dxa"/>
            <w:vAlign w:val="bottom"/>
            <w:shd w:val="clear" w:color="auto" w:fill="E6E7E8"/>
          </w:tcPr>
          <w:p>
            <w:pPr>
              <w:spacing w:after="0"/>
              <w:rPr>
                <w:sz w:val="20"/>
                <w:szCs w:val="20"/>
                <w:color w:val="auto"/>
              </w:rPr>
            </w:pPr>
          </w:p>
        </w:tc>
        <w:tc>
          <w:tcPr>
            <w:tcW w:w="300" w:type="dxa"/>
            <w:vAlign w:val="bottom"/>
            <w:shd w:val="clear" w:color="auto" w:fill="E6E7E8"/>
          </w:tcPr>
          <w:p>
            <w:pPr>
              <w:jc w:val="right"/>
              <w:ind w:right="105"/>
              <w:spacing w:after="0"/>
              <w:rPr>
                <w:sz w:val="20"/>
                <w:szCs w:val="20"/>
                <w:color w:val="auto"/>
              </w:rPr>
            </w:pPr>
            <w:r>
              <w:rPr>
                <w:rFonts w:ascii="Times New Roman" w:cs="Times New Roman" w:eastAsia="Times New Roman" w:hAnsi="Times New Roman"/>
                <w:sz w:val="19"/>
                <w:szCs w:val="19"/>
                <w:color w:val="231F20"/>
                <w:w w:val="83"/>
              </w:rPr>
              <w:t>$</w:t>
            </w: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31.2</w:t>
            </w:r>
          </w:p>
        </w:tc>
        <w:tc>
          <w:tcPr>
            <w:tcW w:w="160" w:type="dxa"/>
            <w:vAlign w:val="bottom"/>
            <w:shd w:val="clear" w:color="auto" w:fill="E6E7E8"/>
          </w:tcPr>
          <w:p>
            <w:pPr>
              <w:spacing w:after="0"/>
              <w:rPr>
                <w:sz w:val="20"/>
                <w:szCs w:val="20"/>
                <w:color w:val="auto"/>
              </w:rPr>
            </w:pPr>
          </w:p>
        </w:tc>
        <w:tc>
          <w:tcPr>
            <w:tcW w:w="380" w:type="dxa"/>
            <w:vAlign w:val="bottom"/>
            <w:gridSpan w:val="2"/>
            <w:shd w:val="clear" w:color="auto" w:fill="E6E7E8"/>
          </w:tcPr>
          <w:p>
            <w:pPr>
              <w:jc w:val="right"/>
              <w:ind w:right="116"/>
              <w:spacing w:after="0"/>
              <w:rPr>
                <w:sz w:val="20"/>
                <w:szCs w:val="20"/>
                <w:color w:val="auto"/>
              </w:rPr>
            </w:pPr>
            <w:r>
              <w:rPr>
                <w:rFonts w:ascii="Times New Roman" w:cs="Times New Roman" w:eastAsia="Times New Roman" w:hAnsi="Times New Roman"/>
                <w:sz w:val="19"/>
                <w:szCs w:val="19"/>
                <w:color w:val="231F20"/>
              </w:rPr>
              <w:t>$</w:t>
            </w: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30.9</w:t>
            </w:r>
          </w:p>
        </w:tc>
        <w:tc>
          <w:tcPr>
            <w:tcW w:w="8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90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Income Taxes Paid</w:t>
            </w:r>
          </w:p>
        </w:tc>
        <w:tc>
          <w:tcPr>
            <w:tcW w:w="680" w:type="dxa"/>
            <w:vAlign w:val="bottom"/>
            <w:gridSpan w:val="2"/>
          </w:tcPr>
          <w:p>
            <w:pPr>
              <w:jc w:val="right"/>
              <w:ind w:right="105"/>
              <w:spacing w:after="0"/>
              <w:rPr>
                <w:sz w:val="20"/>
                <w:szCs w:val="20"/>
                <w:color w:val="auto"/>
              </w:rPr>
            </w:pPr>
            <w:r>
              <w:rPr>
                <w:rFonts w:ascii="Times New Roman" w:cs="Times New Roman" w:eastAsia="Times New Roman" w:hAnsi="Times New Roman"/>
                <w:sz w:val="19"/>
                <w:szCs w:val="19"/>
                <w:b w:val="1"/>
                <w:bCs w:val="1"/>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4.9</w:t>
            </w:r>
          </w:p>
        </w:tc>
        <w:tc>
          <w:tcPr>
            <w:tcW w:w="240" w:type="dxa"/>
            <w:vAlign w:val="bottom"/>
          </w:tcPr>
          <w:p>
            <w:pPr>
              <w:spacing w:after="0"/>
              <w:rPr>
                <w:sz w:val="20"/>
                <w:szCs w:val="20"/>
                <w:color w:val="auto"/>
              </w:rPr>
            </w:pPr>
          </w:p>
        </w:tc>
        <w:tc>
          <w:tcPr>
            <w:tcW w:w="30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231F20"/>
                <w:w w:val="8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2.5</w:t>
            </w:r>
          </w:p>
        </w:tc>
        <w:tc>
          <w:tcPr>
            <w:tcW w:w="160" w:type="dxa"/>
            <w:vAlign w:val="bottom"/>
          </w:tcPr>
          <w:p>
            <w:pPr>
              <w:spacing w:after="0"/>
              <w:rPr>
                <w:sz w:val="20"/>
                <w:szCs w:val="20"/>
                <w:color w:val="auto"/>
              </w:rPr>
            </w:pP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9"/>
                <w:szCs w:val="19"/>
                <w:color w:val="231F20"/>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3"/>
        </w:trPr>
        <w:tc>
          <w:tcPr>
            <w:tcW w:w="590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Payments on Capital Leases</w:t>
            </w:r>
          </w:p>
        </w:tc>
        <w:tc>
          <w:tcPr>
            <w:tcW w:w="680" w:type="dxa"/>
            <w:vAlign w:val="bottom"/>
            <w:gridSpan w:val="2"/>
            <w:shd w:val="clear" w:color="auto" w:fill="E6E7E8"/>
          </w:tcPr>
          <w:p>
            <w:pPr>
              <w:jc w:val="right"/>
              <w:ind w:right="105"/>
              <w:spacing w:after="0"/>
              <w:rPr>
                <w:sz w:val="20"/>
                <w:szCs w:val="20"/>
                <w:color w:val="auto"/>
              </w:rPr>
            </w:pPr>
            <w:r>
              <w:rPr>
                <w:rFonts w:ascii="Times New Roman" w:cs="Times New Roman" w:eastAsia="Times New Roman" w:hAnsi="Times New Roman"/>
                <w:sz w:val="19"/>
                <w:szCs w:val="19"/>
                <w:b w:val="1"/>
                <w:bCs w:val="1"/>
                <w:color w:val="231F20"/>
              </w:rPr>
              <w:t>$</w:t>
            </w: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0.2</w:t>
            </w:r>
          </w:p>
        </w:tc>
        <w:tc>
          <w:tcPr>
            <w:tcW w:w="240" w:type="dxa"/>
            <w:vAlign w:val="bottom"/>
            <w:shd w:val="clear" w:color="auto" w:fill="E6E7E8"/>
          </w:tcPr>
          <w:p>
            <w:pPr>
              <w:spacing w:after="0"/>
              <w:rPr>
                <w:sz w:val="20"/>
                <w:szCs w:val="20"/>
                <w:color w:val="auto"/>
              </w:rPr>
            </w:pPr>
          </w:p>
        </w:tc>
        <w:tc>
          <w:tcPr>
            <w:tcW w:w="300" w:type="dxa"/>
            <w:vAlign w:val="bottom"/>
            <w:shd w:val="clear" w:color="auto" w:fill="E6E7E8"/>
          </w:tcPr>
          <w:p>
            <w:pPr>
              <w:jc w:val="right"/>
              <w:ind w:right="105"/>
              <w:spacing w:after="0"/>
              <w:rPr>
                <w:sz w:val="20"/>
                <w:szCs w:val="20"/>
                <w:color w:val="auto"/>
              </w:rPr>
            </w:pPr>
            <w:r>
              <w:rPr>
                <w:rFonts w:ascii="Times New Roman" w:cs="Times New Roman" w:eastAsia="Times New Roman" w:hAnsi="Times New Roman"/>
                <w:sz w:val="19"/>
                <w:szCs w:val="19"/>
                <w:color w:val="231F20"/>
                <w:w w:val="83"/>
              </w:rPr>
              <w:t>$</w:t>
            </w: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0.2</w:t>
            </w:r>
          </w:p>
        </w:tc>
        <w:tc>
          <w:tcPr>
            <w:tcW w:w="160" w:type="dxa"/>
            <w:vAlign w:val="bottom"/>
            <w:shd w:val="clear" w:color="auto" w:fill="E6E7E8"/>
          </w:tcPr>
          <w:p>
            <w:pPr>
              <w:spacing w:after="0"/>
              <w:rPr>
                <w:sz w:val="20"/>
                <w:szCs w:val="20"/>
                <w:color w:val="auto"/>
              </w:rPr>
            </w:pPr>
          </w:p>
        </w:tc>
        <w:tc>
          <w:tcPr>
            <w:tcW w:w="380" w:type="dxa"/>
            <w:vAlign w:val="bottom"/>
            <w:gridSpan w:val="2"/>
            <w:shd w:val="clear" w:color="auto" w:fill="E6E7E8"/>
          </w:tcPr>
          <w:p>
            <w:pPr>
              <w:jc w:val="right"/>
              <w:ind w:right="116"/>
              <w:spacing w:after="0"/>
              <w:rPr>
                <w:sz w:val="20"/>
                <w:szCs w:val="20"/>
                <w:color w:val="auto"/>
              </w:rPr>
            </w:pPr>
            <w:r>
              <w:rPr>
                <w:rFonts w:ascii="Times New Roman" w:cs="Times New Roman" w:eastAsia="Times New Roman" w:hAnsi="Times New Roman"/>
                <w:sz w:val="19"/>
                <w:szCs w:val="19"/>
                <w:color w:val="231F20"/>
              </w:rPr>
              <w:t>$</w:t>
            </w: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0.2</w:t>
            </w:r>
          </w:p>
        </w:tc>
        <w:tc>
          <w:tcPr>
            <w:tcW w:w="8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90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Capital Expenditures Included in Accounts Payable</w:t>
            </w:r>
          </w:p>
        </w:tc>
        <w:tc>
          <w:tcPr>
            <w:tcW w:w="680" w:type="dxa"/>
            <w:vAlign w:val="bottom"/>
            <w:gridSpan w:val="2"/>
          </w:tcPr>
          <w:p>
            <w:pPr>
              <w:jc w:val="right"/>
              <w:ind w:right="105"/>
              <w:spacing w:after="0"/>
              <w:rPr>
                <w:sz w:val="20"/>
                <w:szCs w:val="20"/>
                <w:color w:val="auto"/>
              </w:rPr>
            </w:pPr>
            <w:r>
              <w:rPr>
                <w:rFonts w:ascii="Times New Roman" w:cs="Times New Roman" w:eastAsia="Times New Roman" w:hAnsi="Times New Roman"/>
                <w:sz w:val="19"/>
                <w:szCs w:val="19"/>
                <w:b w:val="1"/>
                <w:bCs w:val="1"/>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8.1</w:t>
            </w:r>
          </w:p>
        </w:tc>
        <w:tc>
          <w:tcPr>
            <w:tcW w:w="240" w:type="dxa"/>
            <w:vAlign w:val="bottom"/>
          </w:tcPr>
          <w:p>
            <w:pPr>
              <w:spacing w:after="0"/>
              <w:rPr>
                <w:sz w:val="20"/>
                <w:szCs w:val="20"/>
                <w:color w:val="auto"/>
              </w:rPr>
            </w:pPr>
          </w:p>
        </w:tc>
        <w:tc>
          <w:tcPr>
            <w:tcW w:w="30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231F20"/>
                <w:w w:val="8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11.7</w:t>
            </w:r>
          </w:p>
        </w:tc>
        <w:tc>
          <w:tcPr>
            <w:tcW w:w="160" w:type="dxa"/>
            <w:vAlign w:val="bottom"/>
          </w:tcPr>
          <w:p>
            <w:pPr>
              <w:spacing w:after="0"/>
              <w:rPr>
                <w:sz w:val="20"/>
                <w:szCs w:val="20"/>
                <w:color w:val="auto"/>
              </w:rPr>
            </w:pP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9"/>
                <w:szCs w:val="19"/>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90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Right of Use Assets Obtained in Exchange for Lease Obligations</w:t>
            </w:r>
          </w:p>
        </w:tc>
        <w:tc>
          <w:tcPr>
            <w:tcW w:w="680" w:type="dxa"/>
            <w:vAlign w:val="bottom"/>
            <w:gridSpan w:val="2"/>
            <w:shd w:val="clear" w:color="auto" w:fill="E6E7E8"/>
          </w:tcPr>
          <w:p>
            <w:pPr>
              <w:jc w:val="right"/>
              <w:ind w:right="105"/>
              <w:spacing w:after="0"/>
              <w:rPr>
                <w:sz w:val="20"/>
                <w:szCs w:val="20"/>
                <w:color w:val="auto"/>
              </w:rPr>
            </w:pPr>
            <w:r>
              <w:rPr>
                <w:rFonts w:ascii="Times New Roman" w:cs="Times New Roman" w:eastAsia="Times New Roman" w:hAnsi="Times New Roman"/>
                <w:sz w:val="19"/>
                <w:szCs w:val="19"/>
                <w:b w:val="1"/>
                <w:bCs w:val="1"/>
                <w:color w:val="231F20"/>
              </w:rPr>
              <w:t>$</w:t>
            </w: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1.7</w:t>
            </w:r>
          </w:p>
        </w:tc>
        <w:tc>
          <w:tcPr>
            <w:tcW w:w="240" w:type="dxa"/>
            <w:vAlign w:val="bottom"/>
            <w:shd w:val="clear" w:color="auto" w:fill="E6E7E8"/>
          </w:tcPr>
          <w:p>
            <w:pPr>
              <w:spacing w:after="0"/>
              <w:rPr>
                <w:sz w:val="20"/>
                <w:szCs w:val="20"/>
                <w:color w:val="auto"/>
              </w:rPr>
            </w:pPr>
          </w:p>
        </w:tc>
        <w:tc>
          <w:tcPr>
            <w:tcW w:w="300" w:type="dxa"/>
            <w:vAlign w:val="bottom"/>
            <w:shd w:val="clear" w:color="auto" w:fill="E6E7E8"/>
          </w:tcPr>
          <w:p>
            <w:pPr>
              <w:jc w:val="right"/>
              <w:ind w:right="105"/>
              <w:spacing w:after="0"/>
              <w:rPr>
                <w:sz w:val="20"/>
                <w:szCs w:val="20"/>
                <w:color w:val="auto"/>
              </w:rPr>
            </w:pPr>
            <w:r>
              <w:rPr>
                <w:rFonts w:ascii="Times New Roman" w:cs="Times New Roman" w:eastAsia="Times New Roman" w:hAnsi="Times New Roman"/>
                <w:sz w:val="19"/>
                <w:szCs w:val="19"/>
                <w:color w:val="231F20"/>
                <w:w w:val="83"/>
              </w:rPr>
              <w:t>$</w:t>
            </w: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2.6</w:t>
            </w:r>
          </w:p>
        </w:tc>
        <w:tc>
          <w:tcPr>
            <w:tcW w:w="160" w:type="dxa"/>
            <w:vAlign w:val="bottom"/>
            <w:shd w:val="clear" w:color="auto" w:fill="E6E7E8"/>
          </w:tcPr>
          <w:p>
            <w:pPr>
              <w:spacing w:after="0"/>
              <w:rPr>
                <w:sz w:val="20"/>
                <w:szCs w:val="20"/>
                <w:color w:val="auto"/>
              </w:rPr>
            </w:pPr>
          </w:p>
        </w:tc>
        <w:tc>
          <w:tcPr>
            <w:tcW w:w="380" w:type="dxa"/>
            <w:vAlign w:val="bottom"/>
            <w:gridSpan w:val="2"/>
            <w:shd w:val="clear" w:color="auto" w:fill="E6E7E8"/>
          </w:tcPr>
          <w:p>
            <w:pPr>
              <w:jc w:val="right"/>
              <w:ind w:right="116"/>
              <w:spacing w:after="0"/>
              <w:rPr>
                <w:sz w:val="20"/>
                <w:szCs w:val="20"/>
                <w:color w:val="auto"/>
              </w:rPr>
            </w:pPr>
            <w:r>
              <w:rPr>
                <w:rFonts w:ascii="Times New Roman" w:cs="Times New Roman" w:eastAsia="Times New Roman" w:hAnsi="Times New Roman"/>
                <w:sz w:val="19"/>
                <w:szCs w:val="19"/>
                <w:color w:val="231F20"/>
              </w:rPr>
              <w:t>$</w:t>
            </w: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2.7</w:t>
            </w:r>
          </w:p>
        </w:tc>
        <w:tc>
          <w:tcPr>
            <w:tcW w:w="8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3992245</wp:posOffset>
                </wp:positionH>
                <wp:positionV relativeFrom="paragraph">
                  <wp:posOffset>-3166745</wp:posOffset>
                </wp:positionV>
                <wp:extent cx="829945" cy="14732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9945" cy="147320"/>
                        </a:xfrm>
                        <a:prstGeom prst="rect">
                          <a:avLst/>
                        </a:prstGeom>
                        <a:solidFill>
                          <a:srgbClr val="E6E7E8"/>
                        </a:solidFill>
                      </wps:spPr>
                      <wps:bodyPr/>
                    </wps:wsp>
                  </a:graphicData>
                </a:graphic>
              </wp:anchor>
            </w:drawing>
          </mc:Choice>
          <mc:Fallback>
            <w:pict>
              <v:rect id="Shape 77" o:spid="_x0000_s1102" style="position:absolute;margin-left:314.35pt;margin-top:-249.3499pt;width:65.35pt;height:1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4822190</wp:posOffset>
                </wp:positionH>
                <wp:positionV relativeFrom="paragraph">
                  <wp:posOffset>-3176270</wp:posOffset>
                </wp:positionV>
                <wp:extent cx="162560" cy="15748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2560" cy="157480"/>
                        </a:xfrm>
                        <a:prstGeom prst="rect">
                          <a:avLst/>
                        </a:prstGeom>
                        <a:solidFill>
                          <a:srgbClr val="E6E7E8"/>
                        </a:solidFill>
                      </wps:spPr>
                      <wps:bodyPr/>
                    </wps:wsp>
                  </a:graphicData>
                </a:graphic>
              </wp:anchor>
            </w:drawing>
          </mc:Choice>
          <mc:Fallback>
            <w:pict>
              <v:rect id="Shape 78" o:spid="_x0000_s1103" style="position:absolute;margin-left:379.7pt;margin-top:-250.0999pt;width:12.8pt;height:1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4984115</wp:posOffset>
                </wp:positionH>
                <wp:positionV relativeFrom="paragraph">
                  <wp:posOffset>-3166745</wp:posOffset>
                </wp:positionV>
                <wp:extent cx="829945" cy="14732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9945" cy="147320"/>
                        </a:xfrm>
                        <a:prstGeom prst="rect">
                          <a:avLst/>
                        </a:prstGeom>
                        <a:solidFill>
                          <a:srgbClr val="E6E7E8"/>
                        </a:solidFill>
                      </wps:spPr>
                      <wps:bodyPr/>
                    </wps:wsp>
                  </a:graphicData>
                </a:graphic>
              </wp:anchor>
            </w:drawing>
          </mc:Choice>
          <mc:Fallback>
            <w:pict>
              <v:rect id="Shape 79" o:spid="_x0000_s1104" style="position:absolute;margin-left:392.45pt;margin-top:-249.3499pt;width:65.35pt;height:1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5814060</wp:posOffset>
                </wp:positionH>
                <wp:positionV relativeFrom="paragraph">
                  <wp:posOffset>-3176270</wp:posOffset>
                </wp:positionV>
                <wp:extent cx="162560" cy="15748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2560" cy="157480"/>
                        </a:xfrm>
                        <a:prstGeom prst="rect">
                          <a:avLst/>
                        </a:prstGeom>
                        <a:solidFill>
                          <a:srgbClr val="E6E7E8"/>
                        </a:solidFill>
                      </wps:spPr>
                      <wps:bodyPr/>
                    </wps:wsp>
                  </a:graphicData>
                </a:graphic>
              </wp:anchor>
            </w:drawing>
          </mc:Choice>
          <mc:Fallback>
            <w:pict>
              <v:rect id="Shape 80" o:spid="_x0000_s1105" style="position:absolute;margin-left:457.8pt;margin-top:-250.0999pt;width:12.8pt;height:1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5976620</wp:posOffset>
                </wp:positionH>
                <wp:positionV relativeFrom="paragraph">
                  <wp:posOffset>-3166745</wp:posOffset>
                </wp:positionV>
                <wp:extent cx="829310" cy="14732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9310" cy="147320"/>
                        </a:xfrm>
                        <a:prstGeom prst="rect">
                          <a:avLst/>
                        </a:prstGeom>
                        <a:solidFill>
                          <a:srgbClr val="E6E7E8"/>
                        </a:solidFill>
                      </wps:spPr>
                      <wps:bodyPr/>
                    </wps:wsp>
                  </a:graphicData>
                </a:graphic>
              </wp:anchor>
            </w:drawing>
          </mc:Choice>
          <mc:Fallback>
            <w:pict>
              <v:rect id="Shape 81" o:spid="_x0000_s1106" style="position:absolute;margin-left:470.6pt;margin-top:-249.3499pt;width:65.3pt;height:1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4984115</wp:posOffset>
                </wp:positionH>
                <wp:positionV relativeFrom="paragraph">
                  <wp:posOffset>-1366520</wp:posOffset>
                </wp:positionV>
                <wp:extent cx="829945" cy="14732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9945" cy="147320"/>
                        </a:xfrm>
                        <a:prstGeom prst="rect">
                          <a:avLst/>
                        </a:prstGeom>
                        <a:solidFill>
                          <a:srgbClr val="E6E7E8"/>
                        </a:solidFill>
                      </wps:spPr>
                      <wps:bodyPr/>
                    </wps:wsp>
                  </a:graphicData>
                </a:graphic>
              </wp:anchor>
            </w:drawing>
          </mc:Choice>
          <mc:Fallback>
            <w:pict>
              <v:rect id="Shape 82" o:spid="_x0000_s1107" style="position:absolute;margin-left:392.45pt;margin-top:-107.5999pt;width:65.35pt;height:1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5814060</wp:posOffset>
                </wp:positionH>
                <wp:positionV relativeFrom="paragraph">
                  <wp:posOffset>-1376045</wp:posOffset>
                </wp:positionV>
                <wp:extent cx="162560" cy="15748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2560" cy="157480"/>
                        </a:xfrm>
                        <a:prstGeom prst="rect">
                          <a:avLst/>
                        </a:prstGeom>
                        <a:solidFill>
                          <a:srgbClr val="E6E7E8"/>
                        </a:solidFill>
                      </wps:spPr>
                      <wps:bodyPr/>
                    </wps:wsp>
                  </a:graphicData>
                </a:graphic>
              </wp:anchor>
            </w:drawing>
          </mc:Choice>
          <mc:Fallback>
            <w:pict>
              <v:rect id="Shape 83" o:spid="_x0000_s1108" style="position:absolute;margin-left:457.8pt;margin-top:-108.3499pt;width:12.8pt;height:1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5976620</wp:posOffset>
                </wp:positionH>
                <wp:positionV relativeFrom="paragraph">
                  <wp:posOffset>-1366520</wp:posOffset>
                </wp:positionV>
                <wp:extent cx="829310" cy="14732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9310" cy="147320"/>
                        </a:xfrm>
                        <a:prstGeom prst="rect">
                          <a:avLst/>
                        </a:prstGeom>
                        <a:solidFill>
                          <a:srgbClr val="E6E7E8"/>
                        </a:solidFill>
                      </wps:spPr>
                      <wps:bodyPr/>
                    </wps:wsp>
                  </a:graphicData>
                </a:graphic>
              </wp:anchor>
            </w:drawing>
          </mc:Choice>
          <mc:Fallback>
            <w:pict>
              <v:rect id="Shape 84" o:spid="_x0000_s1109" style="position:absolute;margin-left:470.6pt;margin-top:-107.5999pt;width:65.3pt;height:1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231F20"/>
        </w:rPr>
        <w:t>(The accompanying Notes are an integral part of these consolidated financial statements.)</w:t>
      </w:r>
    </w:p>
    <w:p>
      <w:pPr>
        <w:sectPr>
          <w:pgSz w:w="12240" w:h="15840" w:orient="portrait"/>
          <w:cols w:equalWidth="0" w:num="1">
            <w:col w:w="10800"/>
          </w:cols>
          <w:pgMar w:left="720" w:top="930" w:right="72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43</w:t>
      </w:r>
    </w:p>
    <w:p>
      <w:pPr>
        <w:sectPr>
          <w:pgSz w:w="12240" w:h="15840" w:orient="portrait"/>
          <w:cols w:equalWidth="0" w:num="1">
            <w:col w:w="10800"/>
          </w:cols>
          <w:pgMar w:left="720" w:top="930" w:right="720" w:bottom="188"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1"/>
          <w:szCs w:val="21"/>
          <w:b w:val="1"/>
          <w:bCs w:val="1"/>
          <w:i w:val="1"/>
          <w:iCs w:val="1"/>
          <w:color w:val="231F20"/>
        </w:rPr>
        <w:t>CONSOLIDATED STATEMENTS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231F20"/>
        </w:rPr>
        <w:t xml:space="preserve">CHANGES IN COMMON STOCK EQUITY </w:t>
      </w:r>
      <w:r>
        <w:rPr>
          <w:rFonts w:ascii="Times New Roman" w:cs="Times New Roman" w:eastAsia="Times New Roman" w:hAnsi="Times New Roman"/>
          <w:sz w:val="21"/>
          <w:szCs w:val="21"/>
          <w:i w:val="1"/>
          <w:iCs w:val="1"/>
          <w:color w:val="231F20"/>
        </w:rPr>
        <w:t>(Millions, except shares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48"/>
              <w:spacing w:after="0"/>
              <w:rPr>
                <w:sz w:val="20"/>
                <w:szCs w:val="20"/>
                <w:color w:val="auto"/>
              </w:rPr>
            </w:pPr>
            <w:r>
              <w:rPr>
                <w:rFonts w:ascii="Times New Roman" w:cs="Times New Roman" w:eastAsia="Times New Roman" w:hAnsi="Times New Roman"/>
                <w:sz w:val="16"/>
                <w:szCs w:val="16"/>
                <w:b w:val="1"/>
                <w:bCs w:val="1"/>
                <w:color w:val="231F20"/>
              </w:rPr>
              <w:t>Common</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231F20"/>
              </w:rPr>
              <w:t>Retained</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6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348"/>
              <w:spacing w:after="0"/>
              <w:rPr>
                <w:sz w:val="20"/>
                <w:szCs w:val="20"/>
                <w:color w:val="auto"/>
              </w:rPr>
            </w:pPr>
            <w:r>
              <w:rPr>
                <w:rFonts w:ascii="Times New Roman" w:cs="Times New Roman" w:eastAsia="Times New Roman" w:hAnsi="Times New Roman"/>
                <w:sz w:val="16"/>
                <w:szCs w:val="16"/>
                <w:b w:val="1"/>
                <w:bCs w:val="1"/>
                <w:color w:val="231F20"/>
              </w:rPr>
              <w:t>Equity</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231F20"/>
              </w:rPr>
              <w:t>Earnings</w:t>
            </w:r>
          </w:p>
        </w:tc>
        <w:tc>
          <w:tcPr>
            <w:tcW w:w="280" w:type="dxa"/>
            <w:vAlign w:val="bottom"/>
          </w:tcPr>
          <w:p>
            <w:pPr>
              <w:spacing w:after="0"/>
              <w:rPr>
                <w:sz w:val="17"/>
                <w:szCs w:val="17"/>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231F20"/>
              </w:rPr>
              <w:t>Total</w:t>
            </w:r>
          </w:p>
        </w:tc>
      </w:tr>
      <w:tr>
        <w:trPr>
          <w:trHeight w:val="214"/>
        </w:trPr>
        <w:tc>
          <w:tcPr>
            <w:tcW w:w="6280" w:type="dxa"/>
            <w:vAlign w:val="bottom"/>
            <w:tcBorders>
              <w:top w:val="single" w:sz="8" w:color="E6E7E8"/>
            </w:tcBorders>
            <w:shd w:val="clear" w:color="auto" w:fill="E6E7E8"/>
          </w:tcPr>
          <w:p>
            <w:pPr>
              <w:spacing w:after="0" w:line="214" w:lineRule="exact"/>
              <w:rPr>
                <w:sz w:val="20"/>
                <w:szCs w:val="20"/>
                <w:color w:val="auto"/>
              </w:rPr>
            </w:pPr>
            <w:r>
              <w:rPr>
                <w:rFonts w:ascii="Times New Roman" w:cs="Times New Roman" w:eastAsia="Times New Roman" w:hAnsi="Times New Roman"/>
                <w:sz w:val="19"/>
                <w:szCs w:val="19"/>
                <w:b w:val="1"/>
                <w:bCs w:val="1"/>
                <w:color w:val="231F20"/>
              </w:rPr>
              <w:t>Balance at January 1, 2023</w:t>
            </w:r>
          </w:p>
        </w:tc>
        <w:tc>
          <w:tcPr>
            <w:tcW w:w="220" w:type="dxa"/>
            <w:vAlign w:val="bottom"/>
            <w:tcBorders>
              <w:top w:val="single" w:sz="8" w:color="231F20"/>
            </w:tcBorders>
            <w:shd w:val="clear" w:color="auto" w:fill="E6E7E8"/>
          </w:tcPr>
          <w:p>
            <w:pPr>
              <w:jc w:val="right"/>
              <w:ind w:right="25"/>
              <w:spacing w:after="0" w:line="214" w:lineRule="exact"/>
              <w:rPr>
                <w:sz w:val="20"/>
                <w:szCs w:val="20"/>
                <w:color w:val="auto"/>
              </w:rPr>
            </w:pPr>
            <w:r>
              <w:rPr>
                <w:rFonts w:ascii="Times New Roman" w:cs="Times New Roman" w:eastAsia="Times New Roman" w:hAnsi="Times New Roman"/>
                <w:sz w:val="19"/>
                <w:szCs w:val="19"/>
                <w:color w:val="231F20"/>
                <w:w w:val="83"/>
              </w:rPr>
              <w:t>$</w:t>
            </w:r>
          </w:p>
        </w:tc>
        <w:tc>
          <w:tcPr>
            <w:tcW w:w="1100" w:type="dxa"/>
            <w:vAlign w:val="bottom"/>
            <w:tcBorders>
              <w:top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334.9</w:t>
            </w:r>
          </w:p>
        </w:tc>
        <w:tc>
          <w:tcPr>
            <w:tcW w:w="260" w:type="dxa"/>
            <w:vAlign w:val="bottom"/>
            <w:tcBorders>
              <w:top w:val="single" w:sz="8" w:color="E6E7E8"/>
            </w:tcBorders>
            <w:shd w:val="clear" w:color="auto" w:fill="E6E7E8"/>
          </w:tcPr>
          <w:p>
            <w:pPr>
              <w:spacing w:after="0"/>
              <w:rPr>
                <w:sz w:val="18"/>
                <w:szCs w:val="18"/>
                <w:color w:val="auto"/>
              </w:rPr>
            </w:pPr>
          </w:p>
        </w:tc>
        <w:tc>
          <w:tcPr>
            <w:tcW w:w="220" w:type="dxa"/>
            <w:vAlign w:val="bottom"/>
            <w:tcBorders>
              <w:top w:val="single" w:sz="8" w:color="231F20"/>
            </w:tcBorders>
            <w:shd w:val="clear" w:color="auto" w:fill="E6E7E8"/>
          </w:tcPr>
          <w:p>
            <w:pPr>
              <w:jc w:val="right"/>
              <w:ind w:right="56"/>
              <w:spacing w:after="0"/>
              <w:rPr>
                <w:sz w:val="20"/>
                <w:szCs w:val="20"/>
                <w:color w:val="auto"/>
              </w:rPr>
            </w:pPr>
            <w:r>
              <w:rPr>
                <w:rFonts w:ascii="Times New Roman" w:cs="Times New Roman" w:eastAsia="Times New Roman" w:hAnsi="Times New Roman"/>
                <w:sz w:val="17"/>
                <w:szCs w:val="17"/>
                <w:color w:val="231F20"/>
                <w:w w:val="70"/>
              </w:rPr>
              <w:t>$</w:t>
            </w:r>
          </w:p>
        </w:tc>
        <w:tc>
          <w:tcPr>
            <w:tcW w:w="1080" w:type="dxa"/>
            <w:vAlign w:val="bottom"/>
            <w:tcBorders>
              <w:top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132.5</w:t>
            </w:r>
          </w:p>
        </w:tc>
        <w:tc>
          <w:tcPr>
            <w:tcW w:w="260" w:type="dxa"/>
            <w:vAlign w:val="bottom"/>
            <w:tcBorders>
              <w:top w:val="single" w:sz="8" w:color="E6E7E8"/>
            </w:tcBorders>
            <w:shd w:val="clear" w:color="auto" w:fill="E6E7E8"/>
          </w:tcPr>
          <w:p>
            <w:pPr>
              <w:spacing w:after="0"/>
              <w:rPr>
                <w:sz w:val="18"/>
                <w:szCs w:val="18"/>
                <w:color w:val="auto"/>
              </w:rPr>
            </w:pPr>
          </w:p>
        </w:tc>
        <w:tc>
          <w:tcPr>
            <w:tcW w:w="280" w:type="dxa"/>
            <w:vAlign w:val="bottom"/>
            <w:tcBorders>
              <w:top w:val="single" w:sz="8" w:color="231F20"/>
            </w:tcBorders>
            <w:shd w:val="clear" w:color="auto" w:fill="E6E7E8"/>
          </w:tcPr>
          <w:p>
            <w:pPr>
              <w:jc w:val="right"/>
              <w:ind w:right="116"/>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1020" w:type="dxa"/>
            <w:vAlign w:val="bottom"/>
            <w:tcBorders>
              <w:top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467.4</w:t>
            </w:r>
          </w:p>
        </w:tc>
        <w:tc>
          <w:tcPr>
            <w:tcW w:w="80" w:type="dxa"/>
            <w:vAlign w:val="bottom"/>
            <w:tcBorders>
              <w:top w:val="single" w:sz="8" w:color="E6E7E8"/>
            </w:tcBorders>
            <w:shd w:val="clear" w:color="auto" w:fill="E6E7E8"/>
          </w:tcPr>
          <w:p>
            <w:pPr>
              <w:spacing w:after="0"/>
              <w:rPr>
                <w:sz w:val="18"/>
                <w:szCs w:val="18"/>
                <w:color w:val="auto"/>
              </w:rPr>
            </w:pPr>
          </w:p>
        </w:tc>
      </w:tr>
      <w:tr>
        <w:trPr>
          <w:trHeight w:val="218"/>
        </w:trPr>
        <w:tc>
          <w:tcPr>
            <w:tcW w:w="6280" w:type="dxa"/>
            <w:vAlign w:val="bottom"/>
          </w:tcPr>
          <w:p>
            <w:pPr>
              <w:spacing w:after="0"/>
              <w:rPr>
                <w:sz w:val="20"/>
                <w:szCs w:val="20"/>
                <w:color w:val="auto"/>
              </w:rPr>
            </w:pPr>
            <w:r>
              <w:rPr>
                <w:rFonts w:ascii="Times New Roman" w:cs="Times New Roman" w:eastAsia="Times New Roman" w:hAnsi="Times New Roman"/>
                <w:sz w:val="19"/>
                <w:szCs w:val="19"/>
                <w:color w:val="231F20"/>
              </w:rPr>
              <w:t>Net Income for 2023</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45.2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45.2</w:t>
            </w:r>
          </w:p>
        </w:tc>
        <w:tc>
          <w:tcPr>
            <w:tcW w:w="80" w:type="dxa"/>
            <w:vAlign w:val="bottom"/>
          </w:tcPr>
          <w:p>
            <w:pPr>
              <w:spacing w:after="0"/>
              <w:rPr>
                <w:sz w:val="19"/>
                <w:szCs w:val="19"/>
                <w:color w:val="auto"/>
              </w:rPr>
            </w:pPr>
          </w:p>
        </w:tc>
      </w:tr>
      <w:tr>
        <w:trPr>
          <w:trHeight w:val="218"/>
        </w:trPr>
        <w:tc>
          <w:tcPr>
            <w:tcW w:w="6280" w:type="dxa"/>
            <w:vAlign w:val="bottom"/>
            <w:shd w:val="clear" w:color="auto" w:fill="E6E7E8"/>
          </w:tcPr>
          <w:p>
            <w:pPr>
              <w:spacing w:after="0"/>
              <w:rPr>
                <w:sz w:val="20"/>
                <w:szCs w:val="20"/>
                <w:color w:val="auto"/>
              </w:rPr>
            </w:pPr>
            <w:r>
              <w:rPr>
                <w:rFonts w:ascii="Times New Roman" w:cs="Times New Roman" w:eastAsia="Times New Roman" w:hAnsi="Times New Roman"/>
                <w:sz w:val="19"/>
                <w:szCs w:val="19"/>
                <w:color w:val="231F20"/>
              </w:rPr>
              <w:t>Dividends ($1.62 per Common Share)</w:t>
            </w:r>
          </w:p>
        </w:tc>
        <w:tc>
          <w:tcPr>
            <w:tcW w:w="220" w:type="dxa"/>
            <w:vAlign w:val="bottom"/>
            <w:shd w:val="clear" w:color="auto" w:fill="E6E7E8"/>
          </w:tcPr>
          <w:p>
            <w:pPr>
              <w:spacing w:after="0"/>
              <w:rPr>
                <w:sz w:val="19"/>
                <w:szCs w:val="19"/>
                <w:color w:val="auto"/>
              </w:rPr>
            </w:pPr>
          </w:p>
        </w:tc>
        <w:tc>
          <w:tcPr>
            <w:tcW w:w="1100" w:type="dxa"/>
            <w:vAlign w:val="bottom"/>
            <w:shd w:val="clear" w:color="auto" w:fill="E6E7E8"/>
          </w:tcPr>
          <w:p>
            <w:pPr>
              <w:spacing w:after="0"/>
              <w:rPr>
                <w:sz w:val="19"/>
                <w:szCs w:val="19"/>
                <w:color w:val="auto"/>
              </w:rPr>
            </w:pPr>
          </w:p>
        </w:tc>
        <w:tc>
          <w:tcPr>
            <w:tcW w:w="260" w:type="dxa"/>
            <w:vAlign w:val="bottom"/>
            <w:shd w:val="clear" w:color="auto" w:fill="E6E7E8"/>
          </w:tcPr>
          <w:p>
            <w:pPr>
              <w:spacing w:after="0"/>
              <w:rPr>
                <w:sz w:val="19"/>
                <w:szCs w:val="19"/>
                <w:color w:val="auto"/>
              </w:rPr>
            </w:pPr>
          </w:p>
        </w:tc>
        <w:tc>
          <w:tcPr>
            <w:tcW w:w="220" w:type="dxa"/>
            <w:vAlign w:val="bottom"/>
            <w:shd w:val="clear" w:color="auto" w:fill="E6E7E8"/>
          </w:tcPr>
          <w:p>
            <w:pPr>
              <w:spacing w:after="0"/>
              <w:rPr>
                <w:sz w:val="19"/>
                <w:szCs w:val="19"/>
                <w:color w:val="auto"/>
              </w:rPr>
            </w:pPr>
          </w:p>
        </w:tc>
        <w:tc>
          <w:tcPr>
            <w:tcW w:w="1340" w:type="dxa"/>
            <w:vAlign w:val="bottom"/>
            <w:gridSpan w:val="2"/>
            <w:shd w:val="clear" w:color="auto" w:fill="E6E7E8"/>
          </w:tcPr>
          <w:p>
            <w:pPr>
              <w:jc w:val="right"/>
              <w:ind w:right="200"/>
              <w:spacing w:after="0"/>
              <w:rPr>
                <w:sz w:val="20"/>
                <w:szCs w:val="20"/>
                <w:color w:val="auto"/>
              </w:rPr>
            </w:pPr>
            <w:r>
              <w:rPr>
                <w:rFonts w:ascii="Times New Roman" w:cs="Times New Roman" w:eastAsia="Times New Roman" w:hAnsi="Times New Roman"/>
                <w:sz w:val="19"/>
                <w:szCs w:val="19"/>
                <w:color w:val="231F20"/>
              </w:rPr>
              <w:t>(26.2)</w:t>
            </w:r>
          </w:p>
        </w:tc>
        <w:tc>
          <w:tcPr>
            <w:tcW w:w="280" w:type="dxa"/>
            <w:vAlign w:val="bottom"/>
            <w:shd w:val="clear" w:color="auto" w:fill="E6E7E8"/>
          </w:tcPr>
          <w:p>
            <w:pPr>
              <w:spacing w:after="0"/>
              <w:rPr>
                <w:sz w:val="19"/>
                <w:szCs w:val="19"/>
                <w:color w:val="auto"/>
              </w:rPr>
            </w:pPr>
          </w:p>
        </w:tc>
        <w:tc>
          <w:tcPr>
            <w:tcW w:w="110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19"/>
                <w:szCs w:val="19"/>
                <w:b w:val="1"/>
                <w:bCs w:val="1"/>
                <w:color w:val="231F20"/>
              </w:rPr>
              <w:t>(26.2)</w:t>
            </w:r>
          </w:p>
        </w:tc>
      </w:tr>
      <w:tr>
        <w:trPr>
          <w:trHeight w:val="218"/>
        </w:trPr>
        <w:tc>
          <w:tcPr>
            <w:tcW w:w="6280" w:type="dxa"/>
            <w:vAlign w:val="bottom"/>
          </w:tcPr>
          <w:p>
            <w:pPr>
              <w:spacing w:after="0"/>
              <w:rPr>
                <w:sz w:val="20"/>
                <w:szCs w:val="20"/>
                <w:color w:val="auto"/>
              </w:rPr>
            </w:pPr>
            <w:r>
              <w:rPr>
                <w:rFonts w:ascii="Times New Roman" w:cs="Times New Roman" w:eastAsia="Times New Roman" w:hAnsi="Times New Roman"/>
                <w:sz w:val="19"/>
                <w:szCs w:val="19"/>
                <w:color w:val="231F20"/>
              </w:rPr>
              <w:t>Shares Issued Under Stock Plans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1.6</w:t>
            </w:r>
          </w:p>
        </w:tc>
        <w:tc>
          <w:tcPr>
            <w:tcW w:w="80" w:type="dxa"/>
            <w:vAlign w:val="bottom"/>
          </w:tcPr>
          <w:p>
            <w:pPr>
              <w:spacing w:after="0"/>
              <w:rPr>
                <w:sz w:val="19"/>
                <w:szCs w:val="19"/>
                <w:color w:val="auto"/>
              </w:rPr>
            </w:pPr>
          </w:p>
        </w:tc>
      </w:tr>
      <w:tr>
        <w:trPr>
          <w:trHeight w:val="218"/>
        </w:trPr>
        <w:tc>
          <w:tcPr>
            <w:tcW w:w="6280" w:type="dxa"/>
            <w:vAlign w:val="bottom"/>
            <w:shd w:val="clear" w:color="auto" w:fill="E6E7E8"/>
          </w:tcPr>
          <w:p>
            <w:pPr>
              <w:spacing w:after="0"/>
              <w:rPr>
                <w:sz w:val="20"/>
                <w:szCs w:val="20"/>
                <w:color w:val="auto"/>
              </w:rPr>
            </w:pPr>
            <w:r>
              <w:rPr>
                <w:rFonts w:ascii="Times New Roman" w:cs="Times New Roman" w:eastAsia="Times New Roman" w:hAnsi="Times New Roman"/>
                <w:sz w:val="19"/>
                <w:szCs w:val="19"/>
                <w:color w:val="231F20"/>
              </w:rPr>
              <w:t>Issuance of 21,321 Common Shares (See Note 5)</w:t>
            </w:r>
          </w:p>
        </w:tc>
        <w:tc>
          <w:tcPr>
            <w:tcW w:w="220" w:type="dxa"/>
            <w:vAlign w:val="bottom"/>
            <w:tcBorders>
              <w:bottom w:val="single" w:sz="8" w:color="231F20"/>
            </w:tcBorders>
            <w:shd w:val="clear" w:color="auto" w:fill="E6E7E8"/>
          </w:tcPr>
          <w:p>
            <w:pPr>
              <w:spacing w:after="0"/>
              <w:rPr>
                <w:sz w:val="19"/>
                <w:szCs w:val="19"/>
                <w:color w:val="auto"/>
              </w:rPr>
            </w:pPr>
          </w:p>
        </w:tc>
        <w:tc>
          <w:tcPr>
            <w:tcW w:w="110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1.1</w:t>
            </w:r>
          </w:p>
        </w:tc>
        <w:tc>
          <w:tcPr>
            <w:tcW w:w="260" w:type="dxa"/>
            <w:vAlign w:val="bottom"/>
            <w:shd w:val="clear" w:color="auto" w:fill="E6E7E8"/>
          </w:tcPr>
          <w:p>
            <w:pPr>
              <w:spacing w:after="0"/>
              <w:rPr>
                <w:sz w:val="19"/>
                <w:szCs w:val="19"/>
                <w:color w:val="auto"/>
              </w:rPr>
            </w:pPr>
          </w:p>
        </w:tc>
        <w:tc>
          <w:tcPr>
            <w:tcW w:w="220" w:type="dxa"/>
            <w:vAlign w:val="bottom"/>
            <w:tcBorders>
              <w:bottom w:val="single" w:sz="8" w:color="231F20"/>
            </w:tcBorders>
            <w:shd w:val="clear" w:color="auto" w:fill="E6E7E8"/>
          </w:tcPr>
          <w:p>
            <w:pPr>
              <w:spacing w:after="0"/>
              <w:rPr>
                <w:sz w:val="19"/>
                <w:szCs w:val="19"/>
                <w:color w:val="auto"/>
              </w:rPr>
            </w:pPr>
          </w:p>
        </w:tc>
        <w:tc>
          <w:tcPr>
            <w:tcW w:w="1080" w:type="dxa"/>
            <w:vAlign w:val="bottom"/>
            <w:tcBorders>
              <w:bottom w:val="single" w:sz="8" w:color="231F20"/>
            </w:tcBorders>
            <w:shd w:val="clear" w:color="auto" w:fill="E6E7E8"/>
          </w:tcPr>
          <w:p>
            <w:pPr>
              <w:spacing w:after="0"/>
              <w:rPr>
                <w:sz w:val="19"/>
                <w:szCs w:val="19"/>
                <w:color w:val="auto"/>
              </w:rPr>
            </w:pPr>
          </w:p>
        </w:tc>
        <w:tc>
          <w:tcPr>
            <w:tcW w:w="260" w:type="dxa"/>
            <w:vAlign w:val="bottom"/>
            <w:shd w:val="clear" w:color="auto" w:fill="E6E7E8"/>
          </w:tcPr>
          <w:p>
            <w:pPr>
              <w:spacing w:after="0"/>
              <w:rPr>
                <w:sz w:val="19"/>
                <w:szCs w:val="19"/>
                <w:color w:val="auto"/>
              </w:rPr>
            </w:pPr>
          </w:p>
        </w:tc>
        <w:tc>
          <w:tcPr>
            <w:tcW w:w="280" w:type="dxa"/>
            <w:vAlign w:val="bottom"/>
            <w:tcBorders>
              <w:bottom w:val="single" w:sz="8" w:color="231F20"/>
            </w:tcBorders>
            <w:shd w:val="clear" w:color="auto" w:fill="E6E7E8"/>
          </w:tcPr>
          <w:p>
            <w:pPr>
              <w:spacing w:after="0"/>
              <w:rPr>
                <w:sz w:val="19"/>
                <w:szCs w:val="19"/>
                <w:color w:val="auto"/>
              </w:rPr>
            </w:pPr>
          </w:p>
        </w:tc>
        <w:tc>
          <w:tcPr>
            <w:tcW w:w="10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1.1</w:t>
            </w:r>
          </w:p>
        </w:tc>
        <w:tc>
          <w:tcPr>
            <w:tcW w:w="80" w:type="dxa"/>
            <w:vAlign w:val="bottom"/>
            <w:shd w:val="clear" w:color="auto" w:fill="E6E7E8"/>
          </w:tcPr>
          <w:p>
            <w:pPr>
              <w:spacing w:after="0"/>
              <w:rPr>
                <w:sz w:val="19"/>
                <w:szCs w:val="19"/>
                <w:color w:val="auto"/>
              </w:rPr>
            </w:pPr>
          </w:p>
        </w:tc>
      </w:tr>
      <w:tr>
        <w:trPr>
          <w:trHeight w:val="214"/>
        </w:trPr>
        <w:tc>
          <w:tcPr>
            <w:tcW w:w="6280" w:type="dxa"/>
            <w:vAlign w:val="bottom"/>
          </w:tcPr>
          <w:p>
            <w:pPr>
              <w:spacing w:after="0" w:line="214" w:lineRule="exact"/>
              <w:rPr>
                <w:sz w:val="20"/>
                <w:szCs w:val="20"/>
                <w:color w:val="auto"/>
              </w:rPr>
            </w:pPr>
            <w:r>
              <w:rPr>
                <w:rFonts w:ascii="Times New Roman" w:cs="Times New Roman" w:eastAsia="Times New Roman" w:hAnsi="Times New Roman"/>
                <w:sz w:val="19"/>
                <w:szCs w:val="19"/>
                <w:b w:val="1"/>
                <w:bCs w:val="1"/>
                <w:color w:val="231F20"/>
              </w:rPr>
              <w:t>Balance at December 31, 2023</w:t>
            </w:r>
          </w:p>
        </w:tc>
        <w:tc>
          <w:tcPr>
            <w:tcW w:w="220" w:type="dxa"/>
            <w:vAlign w:val="bottom"/>
          </w:tcPr>
          <w:p>
            <w:pPr>
              <w:spacing w:after="0"/>
              <w:rPr>
                <w:sz w:val="18"/>
                <w:szCs w:val="18"/>
                <w:color w:val="auto"/>
              </w:rPr>
            </w:pPr>
          </w:p>
        </w:tc>
        <w:tc>
          <w:tcPr>
            <w:tcW w:w="110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rPr>
              <w:t>337.6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rPr>
              <w:t>151.5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489.1</w:t>
            </w:r>
          </w:p>
        </w:tc>
        <w:tc>
          <w:tcPr>
            <w:tcW w:w="80" w:type="dxa"/>
            <w:vAlign w:val="bottom"/>
          </w:tcPr>
          <w:p>
            <w:pPr>
              <w:spacing w:after="0"/>
              <w:rPr>
                <w:sz w:val="18"/>
                <w:szCs w:val="18"/>
                <w:color w:val="auto"/>
              </w:rPr>
            </w:pPr>
          </w:p>
        </w:tc>
      </w:tr>
      <w:tr>
        <w:trPr>
          <w:trHeight w:val="218"/>
        </w:trPr>
        <w:tc>
          <w:tcPr>
            <w:tcW w:w="6280" w:type="dxa"/>
            <w:vAlign w:val="bottom"/>
            <w:shd w:val="clear" w:color="auto" w:fill="E6E7E8"/>
          </w:tcPr>
          <w:p>
            <w:pPr>
              <w:spacing w:after="0"/>
              <w:rPr>
                <w:sz w:val="20"/>
                <w:szCs w:val="20"/>
                <w:color w:val="auto"/>
              </w:rPr>
            </w:pPr>
            <w:r>
              <w:rPr>
                <w:rFonts w:ascii="Times New Roman" w:cs="Times New Roman" w:eastAsia="Times New Roman" w:hAnsi="Times New Roman"/>
                <w:sz w:val="19"/>
                <w:szCs w:val="19"/>
                <w:color w:val="231F20"/>
              </w:rPr>
              <w:t>Net Income for 2024</w:t>
            </w:r>
          </w:p>
        </w:tc>
        <w:tc>
          <w:tcPr>
            <w:tcW w:w="220" w:type="dxa"/>
            <w:vAlign w:val="bottom"/>
            <w:shd w:val="clear" w:color="auto" w:fill="E6E7E8"/>
          </w:tcPr>
          <w:p>
            <w:pPr>
              <w:spacing w:after="0"/>
              <w:rPr>
                <w:sz w:val="19"/>
                <w:szCs w:val="19"/>
                <w:color w:val="auto"/>
              </w:rPr>
            </w:pPr>
          </w:p>
        </w:tc>
        <w:tc>
          <w:tcPr>
            <w:tcW w:w="1100" w:type="dxa"/>
            <w:vAlign w:val="bottom"/>
            <w:shd w:val="clear" w:color="auto" w:fill="E6E7E8"/>
          </w:tcPr>
          <w:p>
            <w:pPr>
              <w:spacing w:after="0"/>
              <w:rPr>
                <w:sz w:val="19"/>
                <w:szCs w:val="19"/>
                <w:color w:val="auto"/>
              </w:rPr>
            </w:pPr>
          </w:p>
        </w:tc>
        <w:tc>
          <w:tcPr>
            <w:tcW w:w="260" w:type="dxa"/>
            <w:vAlign w:val="bottom"/>
            <w:shd w:val="clear" w:color="auto" w:fill="E6E7E8"/>
          </w:tcPr>
          <w:p>
            <w:pPr>
              <w:spacing w:after="0"/>
              <w:rPr>
                <w:sz w:val="19"/>
                <w:szCs w:val="19"/>
                <w:color w:val="auto"/>
              </w:rPr>
            </w:pPr>
          </w:p>
        </w:tc>
        <w:tc>
          <w:tcPr>
            <w:tcW w:w="220" w:type="dxa"/>
            <w:vAlign w:val="bottom"/>
            <w:shd w:val="clear" w:color="auto" w:fill="E6E7E8"/>
          </w:tcPr>
          <w:p>
            <w:pPr>
              <w:spacing w:after="0"/>
              <w:rPr>
                <w:sz w:val="19"/>
                <w:szCs w:val="19"/>
                <w:color w:val="auto"/>
              </w:rPr>
            </w:pPr>
          </w:p>
        </w:tc>
        <w:tc>
          <w:tcPr>
            <w:tcW w:w="1340" w:type="dxa"/>
            <w:vAlign w:val="bottom"/>
            <w:gridSpan w:val="2"/>
            <w:shd w:val="clear" w:color="auto" w:fill="E6E7E8"/>
          </w:tcPr>
          <w:p>
            <w:pPr>
              <w:jc w:val="right"/>
              <w:ind w:right="260"/>
              <w:spacing w:after="0"/>
              <w:rPr>
                <w:sz w:val="20"/>
                <w:szCs w:val="20"/>
                <w:color w:val="auto"/>
              </w:rPr>
            </w:pPr>
            <w:r>
              <w:rPr>
                <w:rFonts w:ascii="Times New Roman" w:cs="Times New Roman" w:eastAsia="Times New Roman" w:hAnsi="Times New Roman"/>
                <w:sz w:val="19"/>
                <w:szCs w:val="19"/>
                <w:color w:val="231F20"/>
              </w:rPr>
              <w:t>47.1</w:t>
            </w:r>
          </w:p>
        </w:tc>
        <w:tc>
          <w:tcPr>
            <w:tcW w:w="280" w:type="dxa"/>
            <w:vAlign w:val="bottom"/>
            <w:shd w:val="clear" w:color="auto" w:fill="E6E7E8"/>
          </w:tcPr>
          <w:p>
            <w:pPr>
              <w:spacing w:after="0"/>
              <w:rPr>
                <w:sz w:val="19"/>
                <w:szCs w:val="19"/>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47.1</w:t>
            </w:r>
          </w:p>
        </w:tc>
        <w:tc>
          <w:tcPr>
            <w:tcW w:w="80" w:type="dxa"/>
            <w:vAlign w:val="bottom"/>
            <w:shd w:val="clear" w:color="auto" w:fill="E6E7E8"/>
          </w:tcPr>
          <w:p>
            <w:pPr>
              <w:spacing w:after="0"/>
              <w:rPr>
                <w:sz w:val="19"/>
                <w:szCs w:val="19"/>
                <w:color w:val="auto"/>
              </w:rPr>
            </w:pPr>
          </w:p>
        </w:tc>
      </w:tr>
      <w:tr>
        <w:trPr>
          <w:trHeight w:val="218"/>
        </w:trPr>
        <w:tc>
          <w:tcPr>
            <w:tcW w:w="6280" w:type="dxa"/>
            <w:vAlign w:val="bottom"/>
          </w:tcPr>
          <w:p>
            <w:pPr>
              <w:spacing w:after="0"/>
              <w:rPr>
                <w:sz w:val="20"/>
                <w:szCs w:val="20"/>
                <w:color w:val="auto"/>
              </w:rPr>
            </w:pPr>
            <w:r>
              <w:rPr>
                <w:rFonts w:ascii="Times New Roman" w:cs="Times New Roman" w:eastAsia="Times New Roman" w:hAnsi="Times New Roman"/>
                <w:sz w:val="19"/>
                <w:szCs w:val="19"/>
                <w:color w:val="231F20"/>
              </w:rPr>
              <w:t>Dividends ($1.70 per Common Share)</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231F20"/>
              </w:rPr>
              <w:t>(27.5)</w:t>
            </w:r>
          </w:p>
        </w:tc>
        <w:tc>
          <w:tcPr>
            <w:tcW w:w="2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b w:val="1"/>
                <w:bCs w:val="1"/>
                <w:color w:val="231F20"/>
              </w:rPr>
              <w:t>(27.5)</w:t>
            </w:r>
          </w:p>
        </w:tc>
      </w:tr>
      <w:tr>
        <w:trPr>
          <w:trHeight w:val="218"/>
        </w:trPr>
        <w:tc>
          <w:tcPr>
            <w:tcW w:w="6280" w:type="dxa"/>
            <w:vAlign w:val="bottom"/>
            <w:shd w:val="clear" w:color="auto" w:fill="E6E7E8"/>
          </w:tcPr>
          <w:p>
            <w:pPr>
              <w:spacing w:after="0"/>
              <w:rPr>
                <w:sz w:val="20"/>
                <w:szCs w:val="20"/>
                <w:color w:val="auto"/>
              </w:rPr>
            </w:pPr>
            <w:r>
              <w:rPr>
                <w:rFonts w:ascii="Times New Roman" w:cs="Times New Roman" w:eastAsia="Times New Roman" w:hAnsi="Times New Roman"/>
                <w:sz w:val="19"/>
                <w:szCs w:val="19"/>
                <w:color w:val="231F20"/>
              </w:rPr>
              <w:t>Shares Issued Under Stock Plans</w:t>
            </w:r>
          </w:p>
        </w:tc>
        <w:tc>
          <w:tcPr>
            <w:tcW w:w="220" w:type="dxa"/>
            <w:vAlign w:val="bottom"/>
            <w:shd w:val="clear" w:color="auto" w:fill="E6E7E8"/>
          </w:tcPr>
          <w:p>
            <w:pPr>
              <w:spacing w:after="0"/>
              <w:rPr>
                <w:sz w:val="19"/>
                <w:szCs w:val="19"/>
                <w:color w:val="auto"/>
              </w:rPr>
            </w:pPr>
          </w:p>
        </w:tc>
        <w:tc>
          <w:tcPr>
            <w:tcW w:w="11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2.5</w:t>
            </w:r>
          </w:p>
        </w:tc>
        <w:tc>
          <w:tcPr>
            <w:tcW w:w="260" w:type="dxa"/>
            <w:vAlign w:val="bottom"/>
            <w:shd w:val="clear" w:color="auto" w:fill="E6E7E8"/>
          </w:tcPr>
          <w:p>
            <w:pPr>
              <w:spacing w:after="0"/>
              <w:rPr>
                <w:sz w:val="19"/>
                <w:szCs w:val="19"/>
                <w:color w:val="auto"/>
              </w:rPr>
            </w:pPr>
          </w:p>
        </w:tc>
        <w:tc>
          <w:tcPr>
            <w:tcW w:w="220" w:type="dxa"/>
            <w:vAlign w:val="bottom"/>
            <w:shd w:val="clear" w:color="auto" w:fill="E6E7E8"/>
          </w:tcPr>
          <w:p>
            <w:pPr>
              <w:spacing w:after="0"/>
              <w:rPr>
                <w:sz w:val="19"/>
                <w:szCs w:val="19"/>
                <w:color w:val="auto"/>
              </w:rPr>
            </w:pPr>
          </w:p>
        </w:tc>
        <w:tc>
          <w:tcPr>
            <w:tcW w:w="1080" w:type="dxa"/>
            <w:vAlign w:val="bottom"/>
            <w:shd w:val="clear" w:color="auto" w:fill="E6E7E8"/>
          </w:tcPr>
          <w:p>
            <w:pPr>
              <w:spacing w:after="0"/>
              <w:rPr>
                <w:sz w:val="19"/>
                <w:szCs w:val="19"/>
                <w:color w:val="auto"/>
              </w:rPr>
            </w:pPr>
          </w:p>
        </w:tc>
        <w:tc>
          <w:tcPr>
            <w:tcW w:w="260" w:type="dxa"/>
            <w:vAlign w:val="bottom"/>
            <w:shd w:val="clear" w:color="auto" w:fill="E6E7E8"/>
          </w:tcPr>
          <w:p>
            <w:pPr>
              <w:spacing w:after="0"/>
              <w:rPr>
                <w:sz w:val="19"/>
                <w:szCs w:val="19"/>
                <w:color w:val="auto"/>
              </w:rPr>
            </w:pPr>
          </w:p>
        </w:tc>
        <w:tc>
          <w:tcPr>
            <w:tcW w:w="280" w:type="dxa"/>
            <w:vAlign w:val="bottom"/>
            <w:shd w:val="clear" w:color="auto" w:fill="E6E7E8"/>
          </w:tcPr>
          <w:p>
            <w:pPr>
              <w:spacing w:after="0"/>
              <w:rPr>
                <w:sz w:val="19"/>
                <w:szCs w:val="19"/>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2.5</w:t>
            </w:r>
          </w:p>
        </w:tc>
        <w:tc>
          <w:tcPr>
            <w:tcW w:w="80" w:type="dxa"/>
            <w:vAlign w:val="bottom"/>
            <w:shd w:val="clear" w:color="auto" w:fill="E6E7E8"/>
          </w:tcPr>
          <w:p>
            <w:pPr>
              <w:spacing w:after="0"/>
              <w:rPr>
                <w:sz w:val="19"/>
                <w:szCs w:val="19"/>
                <w:color w:val="auto"/>
              </w:rPr>
            </w:pPr>
          </w:p>
        </w:tc>
      </w:tr>
      <w:tr>
        <w:trPr>
          <w:trHeight w:val="218"/>
        </w:trPr>
        <w:tc>
          <w:tcPr>
            <w:tcW w:w="6280" w:type="dxa"/>
            <w:vAlign w:val="bottom"/>
            <w:tcBorders>
              <w:bottom w:val="single" w:sz="8" w:color="E6E7E8"/>
            </w:tcBorders>
          </w:tcPr>
          <w:p>
            <w:pPr>
              <w:spacing w:after="0"/>
              <w:rPr>
                <w:sz w:val="20"/>
                <w:szCs w:val="20"/>
                <w:color w:val="auto"/>
              </w:rPr>
            </w:pPr>
            <w:r>
              <w:rPr>
                <w:rFonts w:ascii="Times New Roman" w:cs="Times New Roman" w:eastAsia="Times New Roman" w:hAnsi="Times New Roman"/>
                <w:sz w:val="19"/>
                <w:szCs w:val="19"/>
                <w:color w:val="231F20"/>
              </w:rPr>
              <w:t>Issuance of 19,510 Common Shares (See Note 5)</w:t>
            </w:r>
          </w:p>
        </w:tc>
        <w:tc>
          <w:tcPr>
            <w:tcW w:w="22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1.1</w:t>
            </w:r>
          </w:p>
        </w:tc>
        <w:tc>
          <w:tcPr>
            <w:tcW w:w="260" w:type="dxa"/>
            <w:vAlign w:val="bottom"/>
            <w:tcBorders>
              <w:bottom w:val="single" w:sz="8" w:color="E6E7E8"/>
            </w:tcBorders>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1080" w:type="dxa"/>
            <w:vAlign w:val="bottom"/>
            <w:tcBorders>
              <w:bottom w:val="single" w:sz="8" w:color="231F20"/>
            </w:tcBorders>
          </w:tcPr>
          <w:p>
            <w:pPr>
              <w:spacing w:after="0"/>
              <w:rPr>
                <w:sz w:val="19"/>
                <w:szCs w:val="19"/>
                <w:color w:val="auto"/>
              </w:rPr>
            </w:pPr>
          </w:p>
        </w:tc>
        <w:tc>
          <w:tcPr>
            <w:tcW w:w="260" w:type="dxa"/>
            <w:vAlign w:val="bottom"/>
            <w:tcBorders>
              <w:bottom w:val="single" w:sz="8" w:color="E6E7E8"/>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1.1</w:t>
            </w:r>
          </w:p>
        </w:tc>
        <w:tc>
          <w:tcPr>
            <w:tcW w:w="80" w:type="dxa"/>
            <w:vAlign w:val="bottom"/>
            <w:tcBorders>
              <w:bottom w:val="single" w:sz="8" w:color="E6E7E8"/>
            </w:tcBorders>
          </w:tcPr>
          <w:p>
            <w:pPr>
              <w:spacing w:after="0"/>
              <w:rPr>
                <w:sz w:val="19"/>
                <w:szCs w:val="19"/>
                <w:color w:val="auto"/>
              </w:rPr>
            </w:pPr>
          </w:p>
        </w:tc>
      </w:tr>
      <w:tr>
        <w:trPr>
          <w:trHeight w:val="214"/>
        </w:trPr>
        <w:tc>
          <w:tcPr>
            <w:tcW w:w="6280" w:type="dxa"/>
            <w:vAlign w:val="bottom"/>
            <w:shd w:val="clear" w:color="auto" w:fill="E6E7E8"/>
          </w:tcPr>
          <w:p>
            <w:pPr>
              <w:spacing w:after="0" w:line="214" w:lineRule="exact"/>
              <w:rPr>
                <w:sz w:val="20"/>
                <w:szCs w:val="20"/>
                <w:color w:val="auto"/>
              </w:rPr>
            </w:pPr>
            <w:r>
              <w:rPr>
                <w:rFonts w:ascii="Times New Roman" w:cs="Times New Roman" w:eastAsia="Times New Roman" w:hAnsi="Times New Roman"/>
                <w:sz w:val="19"/>
                <w:szCs w:val="19"/>
                <w:b w:val="1"/>
                <w:bCs w:val="1"/>
                <w:color w:val="231F20"/>
              </w:rPr>
              <w:t>Balance at December 31, 2024</w:t>
            </w:r>
          </w:p>
        </w:tc>
        <w:tc>
          <w:tcPr>
            <w:tcW w:w="220" w:type="dxa"/>
            <w:vAlign w:val="bottom"/>
            <w:shd w:val="clear" w:color="auto" w:fill="E6E7E8"/>
          </w:tcPr>
          <w:p>
            <w:pPr>
              <w:spacing w:after="0"/>
              <w:rPr>
                <w:sz w:val="18"/>
                <w:szCs w:val="18"/>
                <w:color w:val="auto"/>
              </w:rPr>
            </w:pPr>
          </w:p>
        </w:tc>
        <w:tc>
          <w:tcPr>
            <w:tcW w:w="1100" w:type="dxa"/>
            <w:vAlign w:val="bottom"/>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341.2</w:t>
            </w:r>
          </w:p>
        </w:tc>
        <w:tc>
          <w:tcPr>
            <w:tcW w:w="260" w:type="dxa"/>
            <w:vAlign w:val="bottom"/>
            <w:shd w:val="clear" w:color="auto" w:fill="E6E7E8"/>
          </w:tcPr>
          <w:p>
            <w:pPr>
              <w:spacing w:after="0"/>
              <w:rPr>
                <w:sz w:val="18"/>
                <w:szCs w:val="18"/>
                <w:color w:val="auto"/>
              </w:rPr>
            </w:pPr>
          </w:p>
        </w:tc>
        <w:tc>
          <w:tcPr>
            <w:tcW w:w="220" w:type="dxa"/>
            <w:vAlign w:val="bottom"/>
            <w:shd w:val="clear" w:color="auto" w:fill="E6E7E8"/>
          </w:tcPr>
          <w:p>
            <w:pPr>
              <w:spacing w:after="0"/>
              <w:rPr>
                <w:sz w:val="18"/>
                <w:szCs w:val="18"/>
                <w:color w:val="auto"/>
              </w:rPr>
            </w:pPr>
          </w:p>
        </w:tc>
        <w:tc>
          <w:tcPr>
            <w:tcW w:w="1080" w:type="dxa"/>
            <w:vAlign w:val="bottom"/>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171.1</w:t>
            </w:r>
          </w:p>
        </w:tc>
        <w:tc>
          <w:tcPr>
            <w:tcW w:w="260" w:type="dxa"/>
            <w:vAlign w:val="bottom"/>
            <w:shd w:val="clear" w:color="auto" w:fill="E6E7E8"/>
          </w:tcPr>
          <w:p>
            <w:pPr>
              <w:spacing w:after="0"/>
              <w:rPr>
                <w:sz w:val="18"/>
                <w:szCs w:val="18"/>
                <w:color w:val="auto"/>
              </w:rPr>
            </w:pPr>
          </w:p>
        </w:tc>
        <w:tc>
          <w:tcPr>
            <w:tcW w:w="280" w:type="dxa"/>
            <w:vAlign w:val="bottom"/>
            <w:shd w:val="clear" w:color="auto" w:fill="E6E7E8"/>
          </w:tcPr>
          <w:p>
            <w:pPr>
              <w:spacing w:after="0"/>
              <w:rPr>
                <w:sz w:val="18"/>
                <w:szCs w:val="18"/>
                <w:color w:val="auto"/>
              </w:rPr>
            </w:pPr>
          </w:p>
        </w:tc>
        <w:tc>
          <w:tcPr>
            <w:tcW w:w="1020" w:type="dxa"/>
            <w:vAlign w:val="bottom"/>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512.3</w:t>
            </w:r>
          </w:p>
        </w:tc>
        <w:tc>
          <w:tcPr>
            <w:tcW w:w="80" w:type="dxa"/>
            <w:vAlign w:val="bottom"/>
            <w:shd w:val="clear" w:color="auto" w:fill="E6E7E8"/>
          </w:tcPr>
          <w:p>
            <w:pPr>
              <w:spacing w:after="0"/>
              <w:rPr>
                <w:sz w:val="18"/>
                <w:szCs w:val="18"/>
                <w:color w:val="auto"/>
              </w:rPr>
            </w:pPr>
          </w:p>
        </w:tc>
      </w:tr>
      <w:tr>
        <w:trPr>
          <w:trHeight w:val="218"/>
        </w:trPr>
        <w:tc>
          <w:tcPr>
            <w:tcW w:w="6280" w:type="dxa"/>
            <w:vAlign w:val="bottom"/>
          </w:tcPr>
          <w:p>
            <w:pPr>
              <w:spacing w:after="0"/>
              <w:rPr>
                <w:sz w:val="20"/>
                <w:szCs w:val="20"/>
                <w:color w:val="auto"/>
              </w:rPr>
            </w:pPr>
            <w:r>
              <w:rPr>
                <w:rFonts w:ascii="Times New Roman" w:cs="Times New Roman" w:eastAsia="Times New Roman" w:hAnsi="Times New Roman"/>
                <w:sz w:val="19"/>
                <w:szCs w:val="19"/>
                <w:color w:val="231F20"/>
              </w:rPr>
              <w:t>Net Income for 2025</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50.2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50.2</w:t>
            </w:r>
          </w:p>
        </w:tc>
        <w:tc>
          <w:tcPr>
            <w:tcW w:w="80" w:type="dxa"/>
            <w:vAlign w:val="bottom"/>
          </w:tcPr>
          <w:p>
            <w:pPr>
              <w:spacing w:after="0"/>
              <w:rPr>
                <w:sz w:val="19"/>
                <w:szCs w:val="19"/>
                <w:color w:val="auto"/>
              </w:rPr>
            </w:pPr>
          </w:p>
        </w:tc>
      </w:tr>
      <w:tr>
        <w:trPr>
          <w:trHeight w:val="218"/>
        </w:trPr>
        <w:tc>
          <w:tcPr>
            <w:tcW w:w="6280" w:type="dxa"/>
            <w:vAlign w:val="bottom"/>
            <w:shd w:val="clear" w:color="auto" w:fill="E6E7E8"/>
          </w:tcPr>
          <w:p>
            <w:pPr>
              <w:spacing w:after="0"/>
              <w:rPr>
                <w:sz w:val="20"/>
                <w:szCs w:val="20"/>
                <w:color w:val="auto"/>
              </w:rPr>
            </w:pPr>
            <w:r>
              <w:rPr>
                <w:rFonts w:ascii="Times New Roman" w:cs="Times New Roman" w:eastAsia="Times New Roman" w:hAnsi="Times New Roman"/>
                <w:sz w:val="19"/>
                <w:szCs w:val="19"/>
                <w:color w:val="231F20"/>
              </w:rPr>
              <w:t>Dividends ($1.80 per Common Share)</w:t>
            </w:r>
          </w:p>
        </w:tc>
        <w:tc>
          <w:tcPr>
            <w:tcW w:w="220" w:type="dxa"/>
            <w:vAlign w:val="bottom"/>
            <w:shd w:val="clear" w:color="auto" w:fill="E6E7E8"/>
          </w:tcPr>
          <w:p>
            <w:pPr>
              <w:spacing w:after="0"/>
              <w:rPr>
                <w:sz w:val="19"/>
                <w:szCs w:val="19"/>
                <w:color w:val="auto"/>
              </w:rPr>
            </w:pPr>
          </w:p>
        </w:tc>
        <w:tc>
          <w:tcPr>
            <w:tcW w:w="1100" w:type="dxa"/>
            <w:vAlign w:val="bottom"/>
            <w:shd w:val="clear" w:color="auto" w:fill="E6E7E8"/>
          </w:tcPr>
          <w:p>
            <w:pPr>
              <w:spacing w:after="0"/>
              <w:rPr>
                <w:sz w:val="19"/>
                <w:szCs w:val="19"/>
                <w:color w:val="auto"/>
              </w:rPr>
            </w:pPr>
          </w:p>
        </w:tc>
        <w:tc>
          <w:tcPr>
            <w:tcW w:w="260" w:type="dxa"/>
            <w:vAlign w:val="bottom"/>
            <w:shd w:val="clear" w:color="auto" w:fill="E6E7E8"/>
          </w:tcPr>
          <w:p>
            <w:pPr>
              <w:spacing w:after="0"/>
              <w:rPr>
                <w:sz w:val="19"/>
                <w:szCs w:val="19"/>
                <w:color w:val="auto"/>
              </w:rPr>
            </w:pPr>
          </w:p>
        </w:tc>
        <w:tc>
          <w:tcPr>
            <w:tcW w:w="220" w:type="dxa"/>
            <w:vAlign w:val="bottom"/>
            <w:shd w:val="clear" w:color="auto" w:fill="E6E7E8"/>
          </w:tcPr>
          <w:p>
            <w:pPr>
              <w:spacing w:after="0"/>
              <w:rPr>
                <w:sz w:val="19"/>
                <w:szCs w:val="19"/>
                <w:color w:val="auto"/>
              </w:rPr>
            </w:pPr>
          </w:p>
        </w:tc>
        <w:tc>
          <w:tcPr>
            <w:tcW w:w="1340" w:type="dxa"/>
            <w:vAlign w:val="bottom"/>
            <w:gridSpan w:val="2"/>
            <w:shd w:val="clear" w:color="auto" w:fill="E6E7E8"/>
          </w:tcPr>
          <w:p>
            <w:pPr>
              <w:jc w:val="right"/>
              <w:ind w:right="200"/>
              <w:spacing w:after="0"/>
              <w:rPr>
                <w:sz w:val="20"/>
                <w:szCs w:val="20"/>
                <w:color w:val="auto"/>
              </w:rPr>
            </w:pPr>
            <w:r>
              <w:rPr>
                <w:rFonts w:ascii="Times New Roman" w:cs="Times New Roman" w:eastAsia="Times New Roman" w:hAnsi="Times New Roman"/>
                <w:sz w:val="19"/>
                <w:szCs w:val="19"/>
                <w:color w:val="231F20"/>
              </w:rPr>
              <w:t>(30.1)</w:t>
            </w:r>
          </w:p>
        </w:tc>
        <w:tc>
          <w:tcPr>
            <w:tcW w:w="280" w:type="dxa"/>
            <w:vAlign w:val="bottom"/>
            <w:shd w:val="clear" w:color="auto" w:fill="E6E7E8"/>
          </w:tcPr>
          <w:p>
            <w:pPr>
              <w:spacing w:after="0"/>
              <w:rPr>
                <w:sz w:val="19"/>
                <w:szCs w:val="19"/>
                <w:color w:val="auto"/>
              </w:rPr>
            </w:pPr>
          </w:p>
        </w:tc>
        <w:tc>
          <w:tcPr>
            <w:tcW w:w="110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19"/>
                <w:szCs w:val="19"/>
                <w:b w:val="1"/>
                <w:bCs w:val="1"/>
                <w:color w:val="231F20"/>
              </w:rPr>
              <w:t>(30.1)</w:t>
            </w:r>
          </w:p>
        </w:tc>
      </w:tr>
      <w:tr>
        <w:trPr>
          <w:trHeight w:val="219"/>
        </w:trPr>
        <w:tc>
          <w:tcPr>
            <w:tcW w:w="6280" w:type="dxa"/>
            <w:vAlign w:val="bottom"/>
          </w:tcPr>
          <w:p>
            <w:pPr>
              <w:spacing w:after="0"/>
              <w:rPr>
                <w:sz w:val="20"/>
                <w:szCs w:val="20"/>
                <w:color w:val="auto"/>
              </w:rPr>
            </w:pPr>
            <w:r>
              <w:rPr>
                <w:rFonts w:ascii="Times New Roman" w:cs="Times New Roman" w:eastAsia="Times New Roman" w:hAnsi="Times New Roman"/>
                <w:sz w:val="19"/>
                <w:szCs w:val="19"/>
                <w:color w:val="231F20"/>
              </w:rPr>
              <w:t>Shares Issued Under Stock Plans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3.5</w:t>
            </w:r>
          </w:p>
        </w:tc>
        <w:tc>
          <w:tcPr>
            <w:tcW w:w="80" w:type="dxa"/>
            <w:vAlign w:val="bottom"/>
          </w:tcPr>
          <w:p>
            <w:pPr>
              <w:spacing w:after="0"/>
              <w:rPr>
                <w:sz w:val="19"/>
                <w:szCs w:val="19"/>
                <w:color w:val="auto"/>
              </w:rPr>
            </w:pPr>
          </w:p>
        </w:tc>
      </w:tr>
      <w:tr>
        <w:trPr>
          <w:trHeight w:val="238"/>
        </w:trPr>
        <w:tc>
          <w:tcPr>
            <w:tcW w:w="6280" w:type="dxa"/>
            <w:vAlign w:val="bottom"/>
            <w:tcBorders>
              <w:bottom w:val="single" w:sz="8" w:color="E6E7E8"/>
            </w:tcBorders>
            <w:shd w:val="clear" w:color="auto" w:fill="E6E7E8"/>
          </w:tcPr>
          <w:p>
            <w:pPr>
              <w:spacing w:after="0"/>
              <w:rPr>
                <w:sz w:val="20"/>
                <w:szCs w:val="20"/>
                <w:color w:val="auto"/>
              </w:rPr>
            </w:pPr>
            <w:r>
              <w:rPr>
                <w:rFonts w:ascii="Times New Roman" w:cs="Times New Roman" w:eastAsia="Times New Roman" w:hAnsi="Times New Roman"/>
                <w:sz w:val="19"/>
                <w:szCs w:val="19"/>
                <w:color w:val="231F20"/>
              </w:rPr>
              <w:t>Issuance of 1,651,497 Common Shares (See Note 5)</w:t>
            </w:r>
          </w:p>
        </w:tc>
        <w:tc>
          <w:tcPr>
            <w:tcW w:w="220" w:type="dxa"/>
            <w:vAlign w:val="bottom"/>
            <w:tcBorders>
              <w:bottom w:val="single" w:sz="8" w:color="231F20"/>
            </w:tcBorders>
            <w:shd w:val="clear" w:color="auto" w:fill="E6E7E8"/>
          </w:tcPr>
          <w:p>
            <w:pPr>
              <w:spacing w:after="0"/>
              <w:rPr>
                <w:sz w:val="20"/>
                <w:szCs w:val="20"/>
                <w:color w:val="auto"/>
              </w:rPr>
            </w:pPr>
          </w:p>
        </w:tc>
        <w:tc>
          <w:tcPr>
            <w:tcW w:w="110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73.5</w:t>
            </w:r>
          </w:p>
        </w:tc>
        <w:tc>
          <w:tcPr>
            <w:tcW w:w="260" w:type="dxa"/>
            <w:vAlign w:val="bottom"/>
            <w:tcBorders>
              <w:bottom w:val="single" w:sz="8" w:color="E6E7E8"/>
            </w:tcBorders>
            <w:shd w:val="clear" w:color="auto" w:fill="E6E7E8"/>
          </w:tcPr>
          <w:p>
            <w:pPr>
              <w:spacing w:after="0"/>
              <w:rPr>
                <w:sz w:val="20"/>
                <w:szCs w:val="20"/>
                <w:color w:val="auto"/>
              </w:rPr>
            </w:pPr>
          </w:p>
        </w:tc>
        <w:tc>
          <w:tcPr>
            <w:tcW w:w="220" w:type="dxa"/>
            <w:vAlign w:val="bottom"/>
            <w:tcBorders>
              <w:bottom w:val="single" w:sz="8" w:color="231F20"/>
            </w:tcBorders>
            <w:shd w:val="clear" w:color="auto" w:fill="E6E7E8"/>
          </w:tcPr>
          <w:p>
            <w:pPr>
              <w:spacing w:after="0"/>
              <w:rPr>
                <w:sz w:val="20"/>
                <w:szCs w:val="20"/>
                <w:color w:val="auto"/>
              </w:rPr>
            </w:pPr>
          </w:p>
        </w:tc>
        <w:tc>
          <w:tcPr>
            <w:tcW w:w="1080" w:type="dxa"/>
            <w:vAlign w:val="bottom"/>
            <w:tcBorders>
              <w:bottom w:val="single" w:sz="8" w:color="231F20"/>
            </w:tcBorders>
            <w:shd w:val="clear" w:color="auto" w:fill="E6E7E8"/>
          </w:tcPr>
          <w:p>
            <w:pPr>
              <w:spacing w:after="0"/>
              <w:rPr>
                <w:sz w:val="20"/>
                <w:szCs w:val="20"/>
                <w:color w:val="auto"/>
              </w:rPr>
            </w:pPr>
          </w:p>
        </w:tc>
        <w:tc>
          <w:tcPr>
            <w:tcW w:w="260" w:type="dxa"/>
            <w:vAlign w:val="bottom"/>
            <w:tcBorders>
              <w:bottom w:val="single" w:sz="8" w:color="E6E7E8"/>
            </w:tcBorders>
            <w:shd w:val="clear" w:color="auto" w:fill="E6E7E8"/>
          </w:tcPr>
          <w:p>
            <w:pPr>
              <w:spacing w:after="0"/>
              <w:rPr>
                <w:sz w:val="20"/>
                <w:szCs w:val="20"/>
                <w:color w:val="auto"/>
              </w:rPr>
            </w:pPr>
          </w:p>
        </w:tc>
        <w:tc>
          <w:tcPr>
            <w:tcW w:w="280" w:type="dxa"/>
            <w:vAlign w:val="bottom"/>
            <w:tcBorders>
              <w:bottom w:val="single" w:sz="8" w:color="231F20"/>
            </w:tcBorders>
            <w:shd w:val="clear" w:color="auto" w:fill="E6E7E8"/>
          </w:tcPr>
          <w:p>
            <w:pPr>
              <w:spacing w:after="0"/>
              <w:rPr>
                <w:sz w:val="20"/>
                <w:szCs w:val="20"/>
                <w:color w:val="auto"/>
              </w:rPr>
            </w:pPr>
          </w:p>
        </w:tc>
        <w:tc>
          <w:tcPr>
            <w:tcW w:w="10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73.5</w:t>
            </w:r>
          </w:p>
        </w:tc>
        <w:tc>
          <w:tcPr>
            <w:tcW w:w="80" w:type="dxa"/>
            <w:vAlign w:val="bottom"/>
            <w:tcBorders>
              <w:bottom w:val="single" w:sz="8" w:color="E6E7E8"/>
            </w:tcBorders>
            <w:shd w:val="clear" w:color="auto" w:fill="E6E7E8"/>
          </w:tcPr>
          <w:p>
            <w:pPr>
              <w:spacing w:after="0"/>
              <w:rPr>
                <w:sz w:val="20"/>
                <w:szCs w:val="20"/>
                <w:color w:val="auto"/>
              </w:rPr>
            </w:pPr>
          </w:p>
        </w:tc>
      </w:tr>
      <w:tr>
        <w:trPr>
          <w:trHeight w:val="194"/>
        </w:trPr>
        <w:tc>
          <w:tcPr>
            <w:tcW w:w="6280" w:type="dxa"/>
            <w:vAlign w:val="bottom"/>
          </w:tcPr>
          <w:p>
            <w:pPr>
              <w:spacing w:after="0" w:line="193" w:lineRule="exact"/>
              <w:rPr>
                <w:sz w:val="20"/>
                <w:szCs w:val="20"/>
                <w:color w:val="auto"/>
              </w:rPr>
            </w:pPr>
            <w:r>
              <w:rPr>
                <w:rFonts w:ascii="Times New Roman" w:cs="Times New Roman" w:eastAsia="Times New Roman" w:hAnsi="Times New Roman"/>
                <w:sz w:val="19"/>
                <w:szCs w:val="19"/>
                <w:b w:val="1"/>
                <w:bCs w:val="1"/>
                <w:color w:val="231F20"/>
              </w:rPr>
              <w:t>Balance at December 31, 2025</w:t>
            </w:r>
          </w:p>
        </w:tc>
        <w:tc>
          <w:tcPr>
            <w:tcW w:w="220" w:type="dxa"/>
            <w:vAlign w:val="bottom"/>
            <w:tcBorders>
              <w:bottom w:val="single" w:sz="8" w:color="231F20"/>
            </w:tcBorders>
          </w:tcPr>
          <w:p>
            <w:pPr>
              <w:jc w:val="right"/>
              <w:ind w:right="25"/>
              <w:spacing w:after="0" w:line="193" w:lineRule="exact"/>
              <w:rPr>
                <w:sz w:val="20"/>
                <w:szCs w:val="20"/>
                <w:color w:val="auto"/>
              </w:rPr>
            </w:pPr>
            <w:r>
              <w:rPr>
                <w:rFonts w:ascii="Times New Roman" w:cs="Times New Roman" w:eastAsia="Times New Roman" w:hAnsi="Times New Roman"/>
                <w:sz w:val="19"/>
                <w:szCs w:val="19"/>
                <w:color w:val="231F20"/>
                <w:w w:val="83"/>
              </w:rPr>
              <w:t>$</w:t>
            </w:r>
          </w:p>
        </w:tc>
        <w:tc>
          <w:tcPr>
            <w:tcW w:w="1100" w:type="dxa"/>
            <w:vAlign w:val="bottom"/>
            <w:tcBorders>
              <w:bottom w:val="single" w:sz="8" w:color="231F20"/>
            </w:tcBorders>
          </w:tcPr>
          <w:p>
            <w:pPr>
              <w:jc w:val="right"/>
              <w:spacing w:after="0" w:line="193" w:lineRule="exact"/>
              <w:rPr>
                <w:sz w:val="20"/>
                <w:szCs w:val="20"/>
                <w:color w:val="auto"/>
              </w:rPr>
            </w:pPr>
            <w:r>
              <w:rPr>
                <w:rFonts w:ascii="Times New Roman" w:cs="Times New Roman" w:eastAsia="Times New Roman" w:hAnsi="Times New Roman"/>
                <w:sz w:val="19"/>
                <w:szCs w:val="19"/>
                <w:color w:val="231F20"/>
              </w:rPr>
              <w:t>418.2</w:t>
            </w:r>
          </w:p>
        </w:tc>
        <w:tc>
          <w:tcPr>
            <w:tcW w:w="260" w:type="dxa"/>
            <w:vAlign w:val="bottom"/>
          </w:tcPr>
          <w:p>
            <w:pPr>
              <w:spacing w:after="0"/>
              <w:rPr>
                <w:sz w:val="16"/>
                <w:szCs w:val="16"/>
                <w:color w:val="auto"/>
              </w:rPr>
            </w:pPr>
          </w:p>
        </w:tc>
        <w:tc>
          <w:tcPr>
            <w:tcW w:w="220" w:type="dxa"/>
            <w:vAlign w:val="bottom"/>
            <w:tcBorders>
              <w:bottom w:val="single" w:sz="8" w:color="231F20"/>
            </w:tcBorders>
          </w:tcPr>
          <w:p>
            <w:pPr>
              <w:jc w:val="right"/>
              <w:ind w:right="56"/>
              <w:spacing w:after="0" w:line="194" w:lineRule="exact"/>
              <w:rPr>
                <w:sz w:val="20"/>
                <w:szCs w:val="20"/>
                <w:color w:val="auto"/>
              </w:rPr>
            </w:pPr>
            <w:r>
              <w:rPr>
                <w:rFonts w:ascii="Times New Roman" w:cs="Times New Roman" w:eastAsia="Times New Roman" w:hAnsi="Times New Roman"/>
                <w:sz w:val="17"/>
                <w:szCs w:val="17"/>
                <w:color w:val="231F20"/>
                <w:w w:val="70"/>
              </w:rPr>
              <w:t>$</w:t>
            </w:r>
          </w:p>
        </w:tc>
        <w:tc>
          <w:tcPr>
            <w:tcW w:w="1080" w:type="dxa"/>
            <w:vAlign w:val="bottom"/>
            <w:tcBorders>
              <w:bottom w:val="single" w:sz="8" w:color="231F20"/>
            </w:tcBorders>
          </w:tcPr>
          <w:p>
            <w:pPr>
              <w:jc w:val="right"/>
              <w:spacing w:after="0" w:line="193" w:lineRule="exact"/>
              <w:rPr>
                <w:sz w:val="20"/>
                <w:szCs w:val="20"/>
                <w:color w:val="auto"/>
              </w:rPr>
            </w:pPr>
            <w:r>
              <w:rPr>
                <w:rFonts w:ascii="Times New Roman" w:cs="Times New Roman" w:eastAsia="Times New Roman" w:hAnsi="Times New Roman"/>
                <w:sz w:val="19"/>
                <w:szCs w:val="19"/>
                <w:color w:val="231F20"/>
              </w:rPr>
              <w:t>191.2</w:t>
            </w:r>
          </w:p>
        </w:tc>
        <w:tc>
          <w:tcPr>
            <w:tcW w:w="260" w:type="dxa"/>
            <w:vAlign w:val="bottom"/>
          </w:tcPr>
          <w:p>
            <w:pPr>
              <w:spacing w:after="0"/>
              <w:rPr>
                <w:sz w:val="16"/>
                <w:szCs w:val="16"/>
                <w:color w:val="auto"/>
              </w:rPr>
            </w:pPr>
          </w:p>
        </w:tc>
        <w:tc>
          <w:tcPr>
            <w:tcW w:w="280" w:type="dxa"/>
            <w:vAlign w:val="bottom"/>
            <w:tcBorders>
              <w:bottom w:val="single" w:sz="8" w:color="231F20"/>
            </w:tcBorders>
          </w:tcPr>
          <w:p>
            <w:pPr>
              <w:jc w:val="right"/>
              <w:ind w:right="116"/>
              <w:spacing w:after="0" w:line="194" w:lineRule="exact"/>
              <w:rPr>
                <w:sz w:val="20"/>
                <w:szCs w:val="20"/>
                <w:color w:val="auto"/>
              </w:rPr>
            </w:pPr>
            <w:r>
              <w:rPr>
                <w:rFonts w:ascii="Times New Roman" w:cs="Times New Roman" w:eastAsia="Times New Roman" w:hAnsi="Times New Roman"/>
                <w:sz w:val="17"/>
                <w:szCs w:val="17"/>
                <w:b w:val="1"/>
                <w:bCs w:val="1"/>
                <w:color w:val="231F20"/>
                <w:w w:val="70"/>
              </w:rPr>
              <w:t>$</w:t>
            </w:r>
          </w:p>
        </w:tc>
        <w:tc>
          <w:tcPr>
            <w:tcW w:w="1020" w:type="dxa"/>
            <w:vAlign w:val="bottom"/>
            <w:tcBorders>
              <w:bottom w:val="single" w:sz="8" w:color="231F20"/>
            </w:tcBorders>
          </w:tcPr>
          <w:p>
            <w:pPr>
              <w:jc w:val="right"/>
              <w:spacing w:after="0" w:line="193" w:lineRule="exact"/>
              <w:rPr>
                <w:sz w:val="20"/>
                <w:szCs w:val="20"/>
                <w:color w:val="auto"/>
              </w:rPr>
            </w:pPr>
            <w:r>
              <w:rPr>
                <w:rFonts w:ascii="Times New Roman" w:cs="Times New Roman" w:eastAsia="Times New Roman" w:hAnsi="Times New Roman"/>
                <w:sz w:val="19"/>
                <w:szCs w:val="19"/>
                <w:b w:val="1"/>
                <w:bCs w:val="1"/>
                <w:color w:val="231F20"/>
              </w:rPr>
              <w:t>609.4</w:t>
            </w:r>
          </w:p>
        </w:tc>
        <w:tc>
          <w:tcPr>
            <w:tcW w:w="80" w:type="dxa"/>
            <w:vAlign w:val="bottom"/>
          </w:tcPr>
          <w:p>
            <w:pPr>
              <w:spacing w:after="0"/>
              <w:rPr>
                <w:sz w:val="16"/>
                <w:szCs w:val="16"/>
                <w:color w:val="auto"/>
              </w:rPr>
            </w:pPr>
          </w:p>
        </w:tc>
      </w:tr>
      <w:tr>
        <w:trPr>
          <w:trHeight w:val="20"/>
        </w:trPr>
        <w:tc>
          <w:tcPr>
            <w:tcW w:w="62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231F20"/>
        </w:rPr>
        <w:t>(The accompanying Notes are an integral part of these consolidated financial statements.)</w:t>
      </w:r>
    </w:p>
    <w:p>
      <w:pPr>
        <w:sectPr>
          <w:pgSz w:w="12240" w:h="15840" w:orient="portrait"/>
          <w:cols w:equalWidth="0" w:num="1">
            <w:col w:w="10800"/>
          </w:cols>
          <w:pgMar w:left="720" w:top="930" w:right="72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44</w:t>
      </w:r>
    </w:p>
    <w:p>
      <w:pPr>
        <w:sectPr>
          <w:pgSz w:w="12240" w:h="15840" w:orient="portrait"/>
          <w:cols w:equalWidth="0" w:num="1">
            <w:col w:w="10800"/>
          </w:cols>
          <w:pgMar w:left="720" w:top="930" w:right="720" w:bottom="188"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1"/>
          <w:szCs w:val="21"/>
          <w:b w:val="1"/>
          <w:bCs w:val="1"/>
          <w:color w:val="231F20"/>
        </w:rPr>
        <w:t>Note 1: Summary of Significant Accounting Policies</w:t>
      </w:r>
    </w:p>
    <w:p>
      <w:pPr>
        <w:spacing w:after="0" w:line="120"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21"/>
          <w:szCs w:val="21"/>
          <w:b w:val="1"/>
          <w:bCs w:val="1"/>
          <w:color w:val="231F20"/>
        </w:rPr>
        <w:t xml:space="preserve">Nature of Operations - </w:t>
      </w:r>
      <w:r>
        <w:rPr>
          <w:rFonts w:ascii="Times New Roman" w:cs="Times New Roman" w:eastAsia="Times New Roman" w:hAnsi="Times New Roman"/>
          <w:sz w:val="21"/>
          <w:szCs w:val="21"/>
          <w:color w:val="231F20"/>
        </w:rPr>
        <w:t>Unitil Corporation (Unitil or the Company) is a public utility holding company. Unitil and its</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subsidiaries are subject to regulation as a holding company system by the Federal Energy Regulatory Commission (FERC) under the Energy Policy Act of 2005. The following companies are wholly-owned subsidiaries of Unitil: Unitil Energy Systems, Inc. (Unitil Energy), Fitchburg Gas and Electric Light Company (Fitchburg), Northern Utilities, Inc. (Northern Utilities), Bangor Natural Gas Company (Bangor), Maine Natural Gas Corporation (Maine Natural), Granite State Gas Transmission, Inc. (Granite State), Unitil Power Corp. (Unitil Power), Unitil Realty Corp. (Unitil Realty), Unitil Service Corp. (Unitil Service), Unitil Resources, Inc. (Unitil Resources) and Unitil Water Corp. (Unitil Water).</w:t>
      </w:r>
    </w:p>
    <w:p>
      <w:pPr>
        <w:spacing w:after="0" w:line="195" w:lineRule="exact"/>
        <w:rPr>
          <w:sz w:val="20"/>
          <w:szCs w:val="20"/>
          <w:color w:val="auto"/>
        </w:rPr>
      </w:pPr>
    </w:p>
    <w:p>
      <w:pPr>
        <w:ind w:right="20" w:firstLine="612"/>
        <w:spacing w:after="0" w:line="279" w:lineRule="auto"/>
        <w:rPr>
          <w:sz w:val="20"/>
          <w:szCs w:val="20"/>
          <w:color w:val="auto"/>
        </w:rPr>
      </w:pPr>
      <w:r>
        <w:rPr>
          <w:rFonts w:ascii="Times New Roman" w:cs="Times New Roman" w:eastAsia="Times New Roman" w:hAnsi="Times New Roman"/>
          <w:sz w:val="21"/>
          <w:szCs w:val="21"/>
          <w:color w:val="231F20"/>
        </w:rPr>
        <w:t>The Company’s earnings are seasonal and are typically higher in the first and fourth quarters when customers use natural gas for heating purposes.</w:t>
      </w:r>
    </w:p>
    <w:p>
      <w:pPr>
        <w:spacing w:after="0" w:line="162" w:lineRule="exact"/>
        <w:rPr>
          <w:sz w:val="20"/>
          <w:szCs w:val="20"/>
          <w:color w:val="auto"/>
        </w:rPr>
      </w:pPr>
    </w:p>
    <w:p>
      <w:pPr>
        <w:ind w:firstLine="612"/>
        <w:spacing w:after="0" w:line="246" w:lineRule="auto"/>
        <w:rPr>
          <w:sz w:val="20"/>
          <w:szCs w:val="20"/>
          <w:color w:val="auto"/>
        </w:rPr>
      </w:pPr>
      <w:r>
        <w:rPr>
          <w:rFonts w:ascii="Times New Roman" w:cs="Times New Roman" w:eastAsia="Times New Roman" w:hAnsi="Times New Roman"/>
          <w:sz w:val="21"/>
          <w:szCs w:val="21"/>
          <w:color w:val="231F20"/>
        </w:rPr>
        <w:t>Unitil’s principal business is the local distribution of electricity in the southeastern seacoast and capital city areas of New Hampshire and the greater Fitchburg area of north central Massachusetts and the local distribution of natural gas in southeastern New Hampshire, portions of southern Maine to the Lewiston-Auburn area, portions of central Maine including Augusta and the Bangor area, and in the greater Fitchburg area of north central Massachusetts. Unitil has five distribution utility subsidiaries, Unitil Energy, which operates in New Hampshire; Fitchburg, which operates in Massachusetts; Northern Utilities, which operates in New Hampshire and Maine; and Bangor and Maine Natural, which operate in Maine (collectively, the distribution utilities).</w:t>
      </w:r>
    </w:p>
    <w:p>
      <w:pPr>
        <w:spacing w:after="0" w:line="198" w:lineRule="exact"/>
        <w:rPr>
          <w:sz w:val="20"/>
          <w:szCs w:val="20"/>
          <w:color w:val="auto"/>
        </w:rPr>
      </w:pPr>
    </w:p>
    <w:p>
      <w:pPr>
        <w:ind w:right="500" w:firstLine="619"/>
        <w:spacing w:after="0" w:line="249" w:lineRule="auto"/>
        <w:rPr>
          <w:sz w:val="20"/>
          <w:szCs w:val="20"/>
          <w:color w:val="auto"/>
        </w:rPr>
      </w:pPr>
      <w:r>
        <w:rPr>
          <w:rFonts w:ascii="Times New Roman" w:cs="Times New Roman" w:eastAsia="Times New Roman" w:hAnsi="Times New Roman"/>
          <w:sz w:val="21"/>
          <w:szCs w:val="21"/>
          <w:color w:val="231F20"/>
        </w:rPr>
        <w:t>Granite State is an interstate natural gas transmission pipeline company, operating 85 miles of underground gas transmission pipeline primarily located in Maine and New Hampshire. Granite State provides Northern Utilities with interconnection to three major natural gas pipelines and access to domestic natural gas supplies in the south and Canadian natural gas supplies in the north. Granite State derives its revenues principally from the transportation services provided to Northern Utilities and, to a lesser extent, third-party marketers.</w:t>
      </w:r>
    </w:p>
    <w:p>
      <w:pPr>
        <w:spacing w:after="0" w:line="195" w:lineRule="exact"/>
        <w:rPr>
          <w:sz w:val="20"/>
          <w:szCs w:val="20"/>
          <w:color w:val="auto"/>
        </w:rPr>
      </w:pPr>
    </w:p>
    <w:p>
      <w:pPr>
        <w:ind w:right="20" w:firstLine="619"/>
        <w:spacing w:after="0" w:line="259" w:lineRule="auto"/>
        <w:rPr>
          <w:sz w:val="20"/>
          <w:szCs w:val="20"/>
          <w:color w:val="auto"/>
        </w:rPr>
      </w:pPr>
      <w:r>
        <w:rPr>
          <w:rFonts w:ascii="Times New Roman" w:cs="Times New Roman" w:eastAsia="Times New Roman" w:hAnsi="Times New Roman"/>
          <w:sz w:val="21"/>
          <w:szCs w:val="21"/>
          <w:color w:val="231F20"/>
        </w:rPr>
        <w:t>A seventh utility subsidiary, Unitil Power, formerly functioned as the full requirements wholesale power supply provider for Unitil Energy, but ceased being the wholesale supplier of Unitil Energy with the implementation of industry restructuring and divested its long-term power supply contracts.</w:t>
      </w:r>
    </w:p>
    <w:p>
      <w:pPr>
        <w:spacing w:after="0" w:line="183" w:lineRule="exact"/>
        <w:rPr>
          <w:sz w:val="20"/>
          <w:szCs w:val="20"/>
          <w:color w:val="auto"/>
        </w:rPr>
      </w:pPr>
    </w:p>
    <w:p>
      <w:pPr>
        <w:ind w:right="120" w:firstLine="612"/>
        <w:spacing w:after="0" w:line="245" w:lineRule="auto"/>
        <w:rPr>
          <w:sz w:val="20"/>
          <w:szCs w:val="20"/>
          <w:color w:val="auto"/>
        </w:rPr>
      </w:pPr>
      <w:r>
        <w:rPr>
          <w:rFonts w:ascii="Times New Roman" w:cs="Times New Roman" w:eastAsia="Times New Roman" w:hAnsi="Times New Roman"/>
          <w:sz w:val="21"/>
          <w:szCs w:val="21"/>
          <w:color w:val="231F20"/>
        </w:rPr>
        <w:t>Unitil also has four other wholly-owned subsidiaries: Unitil Service, Unitil Resources, Unitil Realty and Unitil Water. Unitil Service provides, at cost, a variety of administrative and professional services, including regulatory, financial, accounting, human resources, engineering, operations, technology, energy management and management services on a centralized basis to its affiliated Unitil companies. Unitil Resources is the Company’s wholly-owned non-regulated subsidiary, which currently does not have any activity. Unitil Realty owns and manages the Company’s corporate office in Hampton, New Hampshire and leases this facility to Unitil Service under a long-term lease arrangement. Unitil Realty also owns land in Kingston, New Hampshire on which Unitil Energy’s solar facility is located, which became operational in May 2025. Unitil Water currently has no activity.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Basis of Presentation</w:t>
      </w:r>
    </w:p>
    <w:p>
      <w:pPr>
        <w:spacing w:after="0" w:line="138" w:lineRule="exact"/>
        <w:rPr>
          <w:sz w:val="20"/>
          <w:szCs w:val="20"/>
          <w:color w:val="auto"/>
        </w:rPr>
      </w:pPr>
    </w:p>
    <w:p>
      <w:pPr>
        <w:ind w:firstLine="619"/>
        <w:spacing w:after="0" w:line="283" w:lineRule="auto"/>
        <w:rPr>
          <w:sz w:val="20"/>
          <w:szCs w:val="20"/>
          <w:color w:val="auto"/>
        </w:rPr>
      </w:pPr>
      <w:r>
        <w:rPr>
          <w:rFonts w:ascii="Times New Roman" w:cs="Times New Roman" w:eastAsia="Times New Roman" w:hAnsi="Times New Roman"/>
          <w:sz w:val="21"/>
          <w:szCs w:val="21"/>
          <w:b w:val="1"/>
          <w:bCs w:val="1"/>
          <w:color w:val="231F20"/>
        </w:rPr>
        <w:t xml:space="preserve">Principles of Consolidation - </w:t>
      </w:r>
      <w:r>
        <w:rPr>
          <w:rFonts w:ascii="Times New Roman" w:cs="Times New Roman" w:eastAsia="Times New Roman" w:hAnsi="Times New Roman"/>
          <w:sz w:val="21"/>
          <w:szCs w:val="21"/>
          <w:color w:val="231F20"/>
        </w:rPr>
        <w:t>The Company’s consolidated financial statements include the accounts of Unitil and all of</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its wholly-owned subsidiaries and all intercompany transactions are eliminated in consolidation.</w:t>
      </w:r>
    </w:p>
    <w:p>
      <w:pPr>
        <w:spacing w:after="0" w:line="154" w:lineRule="exact"/>
        <w:rPr>
          <w:sz w:val="20"/>
          <w:szCs w:val="20"/>
          <w:color w:val="auto"/>
        </w:rPr>
      </w:pPr>
    </w:p>
    <w:p>
      <w:pPr>
        <w:ind w:right="140" w:firstLine="612"/>
        <w:spacing w:after="0" w:line="250" w:lineRule="auto"/>
        <w:rPr>
          <w:sz w:val="20"/>
          <w:szCs w:val="20"/>
          <w:color w:val="auto"/>
        </w:rPr>
      </w:pPr>
      <w:r>
        <w:rPr>
          <w:rFonts w:ascii="Times New Roman" w:cs="Times New Roman" w:eastAsia="Times New Roman" w:hAnsi="Times New Roman"/>
          <w:sz w:val="21"/>
          <w:szCs w:val="21"/>
          <w:b w:val="1"/>
          <w:bCs w:val="1"/>
          <w:color w:val="231F20"/>
        </w:rPr>
        <w:t xml:space="preserve">Use of Estimates - </w:t>
      </w:r>
      <w:r>
        <w:rPr>
          <w:rFonts w:ascii="Times New Roman" w:cs="Times New Roman" w:eastAsia="Times New Roman" w:hAnsi="Times New Roman"/>
          <w:sz w:val="21"/>
          <w:szCs w:val="21"/>
          <w:color w:val="231F20"/>
        </w:rPr>
        <w:t>The preparation of financial statements in conformity with generally accepted accounting principles</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in the United States of America (GAAP) requires the Company to make estimates and assumptions that affect the reported amounts of assets and liabilities, and requires disclosure of contingent assets and liabilities at the date of the financial statements, and the reported amounts of revenues and expenses during the reporting period. Actual results could differ from those estimates.</w:t>
      </w:r>
    </w:p>
    <w:p>
      <w:pPr>
        <w:sectPr>
          <w:pgSz w:w="12240" w:h="15840" w:orient="portrait"/>
          <w:cols w:equalWidth="0" w:num="1">
            <w:col w:w="10800"/>
          </w:cols>
          <w:pgMar w:left="720" w:top="925" w:right="72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45</w:t>
      </w:r>
    </w:p>
    <w:p>
      <w:pPr>
        <w:sectPr>
          <w:pgSz w:w="12240" w:h="15840" w:orient="portrait"/>
          <w:cols w:equalWidth="0" w:num="1">
            <w:col w:w="10800"/>
          </w:cols>
          <w:pgMar w:left="720" w:top="925" w:right="720" w:bottom="188" w:gutter="0" w:footer="0" w:header="0"/>
          <w:type w:val="continuous"/>
        </w:sectPr>
      </w:pPr>
    </w:p>
    <w:bookmarkStart w:id="65" w:name="page66"/>
    <w:bookmarkEnd w:id="65"/>
    <w:p>
      <w:pPr>
        <w:ind w:right="220" w:firstLine="612"/>
        <w:spacing w:after="0" w:line="250" w:lineRule="auto"/>
        <w:rPr>
          <w:sz w:val="20"/>
          <w:szCs w:val="20"/>
          <w:color w:val="auto"/>
        </w:rPr>
      </w:pPr>
      <w:r>
        <w:rPr>
          <w:rFonts w:ascii="Times New Roman" w:cs="Times New Roman" w:eastAsia="Times New Roman" w:hAnsi="Times New Roman"/>
          <w:sz w:val="21"/>
          <w:szCs w:val="21"/>
          <w:b w:val="1"/>
          <w:bCs w:val="1"/>
          <w:color w:val="231F20"/>
        </w:rPr>
        <w:t xml:space="preserve">Fair Value - </w:t>
      </w:r>
      <w:r>
        <w:rPr>
          <w:rFonts w:ascii="Times New Roman" w:cs="Times New Roman" w:eastAsia="Times New Roman" w:hAnsi="Times New Roman"/>
          <w:sz w:val="21"/>
          <w:szCs w:val="21"/>
          <w:color w:val="231F20"/>
        </w:rPr>
        <w:t>The Financial Accounting Standards Board (FASB) Codification defines fair value, and establishes a fair</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the FASB Codification include:</w:t>
      </w:r>
    </w:p>
    <w:p>
      <w:pPr>
        <w:spacing w:after="0" w:line="92" w:lineRule="exact"/>
        <w:rPr>
          <w:sz w:val="20"/>
          <w:szCs w:val="20"/>
          <w:color w:val="auto"/>
        </w:rPr>
      </w:pPr>
    </w:p>
    <w:p>
      <w:pPr>
        <w:ind w:left="1520" w:right="1340" w:hanging="971"/>
        <w:spacing w:after="0" w:line="279" w:lineRule="auto"/>
        <w:tabs>
          <w:tab w:leader="none" w:pos="1500" w:val="left"/>
        </w:tabs>
        <w:rPr>
          <w:sz w:val="20"/>
          <w:szCs w:val="20"/>
          <w:color w:val="auto"/>
        </w:rPr>
      </w:pPr>
      <w:r>
        <w:rPr>
          <w:rFonts w:ascii="Times New Roman" w:cs="Times New Roman" w:eastAsia="Times New Roman" w:hAnsi="Times New Roman"/>
          <w:sz w:val="19"/>
          <w:szCs w:val="19"/>
          <w:color w:val="231F20"/>
        </w:rPr>
        <w:t>Level 1 -</w:t>
      </w:r>
      <w:r>
        <w:rPr>
          <w:sz w:val="20"/>
          <w:szCs w:val="20"/>
          <w:color w:val="auto"/>
        </w:rPr>
        <w:tab/>
      </w:r>
      <w:r>
        <w:rPr>
          <w:rFonts w:ascii="Times New Roman" w:cs="Times New Roman" w:eastAsia="Times New Roman" w:hAnsi="Times New Roman"/>
          <w:sz w:val="21"/>
          <w:szCs w:val="21"/>
          <w:color w:val="231F20"/>
        </w:rPr>
        <w:t>Inputs are quoted prices (unadjusted) in active markets for identical assets or liabilities that the reporting entity has the ability to access at the measurement date.</w:t>
      </w:r>
    </w:p>
    <w:p>
      <w:pPr>
        <w:spacing w:after="0" w:line="37" w:lineRule="exact"/>
        <w:rPr>
          <w:sz w:val="20"/>
          <w:szCs w:val="20"/>
          <w:color w:val="auto"/>
        </w:rPr>
      </w:pPr>
    </w:p>
    <w:p>
      <w:pPr>
        <w:ind w:left="1520" w:right="760" w:hanging="971"/>
        <w:spacing w:after="0" w:line="279" w:lineRule="auto"/>
        <w:tabs>
          <w:tab w:leader="none" w:pos="1500" w:val="left"/>
        </w:tabs>
        <w:rPr>
          <w:sz w:val="20"/>
          <w:szCs w:val="20"/>
          <w:color w:val="auto"/>
        </w:rPr>
      </w:pPr>
      <w:r>
        <w:rPr>
          <w:rFonts w:ascii="Times New Roman" w:cs="Times New Roman" w:eastAsia="Times New Roman" w:hAnsi="Times New Roman"/>
          <w:sz w:val="19"/>
          <w:szCs w:val="19"/>
          <w:color w:val="231F20"/>
        </w:rPr>
        <w:t>Level 2 -</w:t>
      </w:r>
      <w:r>
        <w:rPr>
          <w:sz w:val="20"/>
          <w:szCs w:val="20"/>
          <w:color w:val="auto"/>
        </w:rPr>
        <w:tab/>
      </w:r>
      <w:r>
        <w:rPr>
          <w:rFonts w:ascii="Times New Roman" w:cs="Times New Roman" w:eastAsia="Times New Roman" w:hAnsi="Times New Roman"/>
          <w:sz w:val="21"/>
          <w:szCs w:val="21"/>
          <w:color w:val="231F20"/>
        </w:rPr>
        <w:t>Valuations based on quoted prices in markets that are not active or for which all significant inputs are observable, either directly or indirectly.</w:t>
      </w:r>
    </w:p>
    <w:p>
      <w:pPr>
        <w:spacing w:after="0" w:line="37" w:lineRule="exact"/>
        <w:rPr>
          <w:sz w:val="20"/>
          <w:szCs w:val="20"/>
          <w:color w:val="auto"/>
        </w:rPr>
      </w:pPr>
    </w:p>
    <w:p>
      <w:pPr>
        <w:ind w:left="1520" w:right="1100" w:hanging="971"/>
        <w:spacing w:after="0" w:line="279" w:lineRule="auto"/>
        <w:tabs>
          <w:tab w:leader="none" w:pos="1500" w:val="left"/>
        </w:tabs>
        <w:rPr>
          <w:sz w:val="20"/>
          <w:szCs w:val="20"/>
          <w:color w:val="auto"/>
        </w:rPr>
      </w:pPr>
      <w:r>
        <w:rPr>
          <w:rFonts w:ascii="Times New Roman" w:cs="Times New Roman" w:eastAsia="Times New Roman" w:hAnsi="Times New Roman"/>
          <w:sz w:val="19"/>
          <w:szCs w:val="19"/>
          <w:color w:val="231F20"/>
        </w:rPr>
        <w:t>Level 3 -</w:t>
      </w:r>
      <w:r>
        <w:rPr>
          <w:sz w:val="20"/>
          <w:szCs w:val="20"/>
          <w:color w:val="auto"/>
        </w:rPr>
        <w:tab/>
      </w:r>
      <w:r>
        <w:rPr>
          <w:rFonts w:ascii="Times New Roman" w:cs="Times New Roman" w:eastAsia="Times New Roman" w:hAnsi="Times New Roman"/>
          <w:sz w:val="21"/>
          <w:szCs w:val="21"/>
          <w:color w:val="231F20"/>
        </w:rPr>
        <w:t>Prices or valuations that require inputs that are both significant to the fair value measurement and unobservable.</w:t>
      </w:r>
    </w:p>
    <w:p>
      <w:pPr>
        <w:spacing w:after="0" w:line="162" w:lineRule="exact"/>
        <w:rPr>
          <w:sz w:val="20"/>
          <w:szCs w:val="20"/>
          <w:color w:val="auto"/>
        </w:rPr>
      </w:pPr>
    </w:p>
    <w:p>
      <w:pPr>
        <w:ind w:right="420" w:firstLine="612"/>
        <w:spacing w:after="0" w:line="253" w:lineRule="auto"/>
        <w:rPr>
          <w:sz w:val="20"/>
          <w:szCs w:val="20"/>
          <w:color w:val="auto"/>
        </w:rPr>
      </w:pPr>
      <w:r>
        <w:rPr>
          <w:rFonts w:ascii="Times New Roman" w:cs="Times New Roman" w:eastAsia="Times New Roman" w:hAnsi="Times New Roman"/>
          <w:sz w:val="21"/>
          <w:szCs w:val="21"/>
          <w:color w:val="231F20"/>
        </w:rPr>
        <w:t>To the extent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8" w:lineRule="exact"/>
        <w:rPr>
          <w:sz w:val="20"/>
          <w:szCs w:val="20"/>
          <w:color w:val="auto"/>
        </w:rPr>
      </w:pPr>
    </w:p>
    <w:p>
      <w:pPr>
        <w:ind w:right="160" w:firstLine="612"/>
        <w:spacing w:after="0" w:line="247" w:lineRule="auto"/>
        <w:rPr>
          <w:sz w:val="20"/>
          <w:szCs w:val="20"/>
          <w:color w:val="auto"/>
        </w:rPr>
      </w:pPr>
      <w:r>
        <w:rPr>
          <w:rFonts w:ascii="Times New Roman" w:cs="Times New Roman" w:eastAsia="Times New Roman" w:hAnsi="Times New Roman"/>
          <w:sz w:val="21"/>
          <w:szCs w:val="21"/>
          <w:color w:val="231F20"/>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be reduced for many instruments. This condition could cause an instrument to be reclassified from Level 1 to Level 2 or from Level 2 to Level 3.</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231F20"/>
        </w:rPr>
        <w:t>There have been no changes in the valuation techniques used during the current period.</w:t>
      </w:r>
    </w:p>
    <w:p>
      <w:pPr>
        <w:spacing w:after="0" w:line="236" w:lineRule="exact"/>
        <w:rPr>
          <w:sz w:val="20"/>
          <w:szCs w:val="20"/>
          <w:color w:val="auto"/>
        </w:rPr>
      </w:pPr>
    </w:p>
    <w:p>
      <w:pPr>
        <w:ind w:right="40" w:firstLine="612"/>
        <w:spacing w:after="0" w:line="248" w:lineRule="auto"/>
        <w:rPr>
          <w:sz w:val="20"/>
          <w:szCs w:val="20"/>
          <w:color w:val="auto"/>
        </w:rPr>
      </w:pPr>
      <w:r>
        <w:rPr>
          <w:rFonts w:ascii="Times New Roman" w:cs="Times New Roman" w:eastAsia="Times New Roman" w:hAnsi="Times New Roman"/>
          <w:sz w:val="21"/>
          <w:szCs w:val="21"/>
          <w:b w:val="1"/>
          <w:bCs w:val="1"/>
          <w:color w:val="231F20"/>
        </w:rPr>
        <w:t xml:space="preserve">Utility Revenue Recognition - </w:t>
      </w:r>
      <w:r>
        <w:rPr>
          <w:rFonts w:ascii="Times New Roman" w:cs="Times New Roman" w:eastAsia="Times New Roman" w:hAnsi="Times New Roman"/>
          <w:sz w:val="21"/>
          <w:szCs w:val="21"/>
          <w:color w:val="231F20"/>
        </w:rPr>
        <w:t>Electric Operating Revenues and Gas Operating Revenues consist of billed and unbilled</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revenue and revenue from rate adjustment mechanisms. Billed and unbilled revenue includes delivery revenue and pass-through revenue, recognized according to tariffs approved by federal and state regulatory commissions which determine the amount of revenue the Company will record for these items. Revenue from rate adjustment mechanisms is accrued revenue, recognized in connection with rate adjustment mechanisms, and authorized by regulators for recognition in the current period for future cash recoveries from, or credits to, customers.</w:t>
      </w:r>
    </w:p>
    <w:p>
      <w:pPr>
        <w:spacing w:after="0" w:line="196" w:lineRule="exact"/>
        <w:rPr>
          <w:sz w:val="20"/>
          <w:szCs w:val="20"/>
          <w:color w:val="auto"/>
        </w:rPr>
      </w:pPr>
    </w:p>
    <w:p>
      <w:pPr>
        <w:ind w:firstLine="612"/>
        <w:spacing w:after="0" w:line="246" w:lineRule="auto"/>
        <w:rPr>
          <w:sz w:val="20"/>
          <w:szCs w:val="20"/>
          <w:color w:val="auto"/>
        </w:rPr>
      </w:pPr>
      <w:r>
        <w:rPr>
          <w:rFonts w:ascii="Times New Roman" w:cs="Times New Roman" w:eastAsia="Times New Roman" w:hAnsi="Times New Roman"/>
          <w:sz w:val="21"/>
          <w:szCs w:val="21"/>
          <w:color w:val="231F20"/>
        </w:rPr>
        <w:t>Billed and unbilled revenue is recorded when service is rendered or energy is delivered to customers. However, the determination of energy sales to individual customers is based on the reading of their meters, which occurs on a systematic basis throughout the month. At the end of each calendar month, amounts of energy delivered to customers since the date of the last meter reading are estimated and the corresponding unbilled revenues are calculated. These unbilled revenues are estimated each month based on estimated customer usage by class and applicable customer rates, taking into account current and historical weather data, assumptions pertaining to metering patterns, billing cycle statistics, and other estimates and assumptions, and are then reversed in the following month when billed to customers.</w:t>
      </w:r>
    </w:p>
    <w:p>
      <w:pPr>
        <w:spacing w:after="0" w:line="221" w:lineRule="exact"/>
        <w:rPr>
          <w:sz w:val="20"/>
          <w:szCs w:val="20"/>
          <w:color w:val="auto"/>
        </w:rPr>
      </w:pPr>
    </w:p>
    <w:p>
      <w:pPr>
        <w:ind w:right="380" w:firstLine="612"/>
        <w:spacing w:after="0" w:line="253" w:lineRule="auto"/>
        <w:rPr>
          <w:sz w:val="20"/>
          <w:szCs w:val="20"/>
          <w:color w:val="auto"/>
        </w:rPr>
      </w:pPr>
      <w:r>
        <w:rPr>
          <w:rFonts w:ascii="Times New Roman" w:cs="Times New Roman" w:eastAsia="Times New Roman" w:hAnsi="Times New Roman"/>
          <w:sz w:val="21"/>
          <w:szCs w:val="21"/>
          <w:color w:val="231F20"/>
        </w:rPr>
        <w:t>A majority of the Company’s revenue from contracts with customers continues to be recognized on a monthly basis based on applicable tariffs and customer monthly consumption. Such revenue is recognized using the invoice practical expedient which allows an entity to recognize revenue in the amount that directly corresponds to the value transferred to the customer.</w:t>
      </w:r>
    </w:p>
    <w:p>
      <w:pPr>
        <w:spacing w:after="0" w:line="188" w:lineRule="exact"/>
        <w:rPr>
          <w:sz w:val="20"/>
          <w:szCs w:val="20"/>
          <w:color w:val="auto"/>
        </w:rPr>
      </w:pPr>
    </w:p>
    <w:p>
      <w:pPr>
        <w:ind w:right="60" w:firstLine="612"/>
        <w:spacing w:after="0" w:line="259" w:lineRule="auto"/>
        <w:rPr>
          <w:sz w:val="20"/>
          <w:szCs w:val="20"/>
          <w:color w:val="auto"/>
        </w:rPr>
      </w:pPr>
      <w:r>
        <w:rPr>
          <w:rFonts w:ascii="Times New Roman" w:cs="Times New Roman" w:eastAsia="Times New Roman" w:hAnsi="Times New Roman"/>
          <w:sz w:val="20"/>
          <w:szCs w:val="20"/>
          <w:color w:val="231F20"/>
        </w:rPr>
        <w:t>The Company’s billed and unbilled revenue meets the definition of “revenues from contracts with customers” as defined in Accounting Standards Codification (ASC) 606. Revenue recognized in connection with rate adjustment mechanisms is consistent with the definition of alternative revenue programs in ASC 980, as the Company has the ability to adjust rates in the future as a result of past activities or completed events. The rate adjustment mechanisms meet the criteria within ASC 980. In cases where allowable costs are greater than operating revenues billed in the current period for the individual rate adjustment mechanism additional operating revenue is recognized. In cases where allowable costs are less than operating revenues billed in the current period for the individual rate adjustment mechanism, operating revenue is reduced. ASC 606 requires the Company to disclose separately the amount of revenues from contracts with customers and alternative revenue program revenues.</w:t>
      </w:r>
    </w:p>
    <w:p>
      <w:pPr>
        <w:sectPr>
          <w:pgSz w:w="12240" w:h="15840" w:orient="portrait"/>
          <w:cols w:equalWidth="0" w:num="1">
            <w:col w:w="10800"/>
          </w:cols>
          <w:pgMar w:left="720" w:top="925" w:right="720" w:bottom="188"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46</w:t>
      </w:r>
    </w:p>
    <w:p>
      <w:pPr>
        <w:sectPr>
          <w:pgSz w:w="12240" w:h="15840" w:orient="portrait"/>
          <w:cols w:equalWidth="0" w:num="1">
            <w:col w:w="10800"/>
          </w:cols>
          <w:pgMar w:left="720" w:top="925" w:right="720" w:bottom="188" w:gutter="0" w:footer="0" w:header="0"/>
          <w:type w:val="continuous"/>
        </w:sectPr>
      </w:pPr>
    </w:p>
    <w:bookmarkStart w:id="66" w:name="page67"/>
    <w:bookmarkEnd w:id="66"/>
    <w:p>
      <w:pPr>
        <w:ind w:left="620"/>
        <w:spacing w:after="0"/>
        <w:rPr>
          <w:sz w:val="20"/>
          <w:szCs w:val="20"/>
          <w:color w:val="auto"/>
        </w:rPr>
      </w:pPr>
      <w:r>
        <w:rPr>
          <w:rFonts w:ascii="Times New Roman" w:cs="Times New Roman" w:eastAsia="Times New Roman" w:hAnsi="Times New Roman"/>
          <w:sz w:val="21"/>
          <w:szCs w:val="21"/>
          <w:color w:val="231F20"/>
        </w:rPr>
        <w:t>In the following tables, revenue is classified by the types of goods/services rendered and market/customer type.</w:t>
      </w:r>
    </w:p>
    <w:p>
      <w:pPr>
        <w:spacing w:after="0" w:line="278"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4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231F20"/>
              </w:rPr>
              <w:t>Twelve Months Ended</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9"/>
        </w:trPr>
        <w:tc>
          <w:tcPr>
            <w:tcW w:w="4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6"/>
          </w:tcPr>
          <w:p>
            <w:pPr>
              <w:jc w:val="center"/>
              <w:ind w:right="80"/>
              <w:spacing w:after="0"/>
              <w:rPr>
                <w:sz w:val="20"/>
                <w:szCs w:val="20"/>
                <w:color w:val="auto"/>
              </w:rPr>
            </w:pPr>
            <w:r>
              <w:rPr>
                <w:rFonts w:ascii="Times New Roman" w:cs="Times New Roman" w:eastAsia="Times New Roman" w:hAnsi="Times New Roman"/>
                <w:sz w:val="16"/>
                <w:szCs w:val="16"/>
                <w:b w:val="1"/>
                <w:bCs w:val="1"/>
                <w:color w:val="231F20"/>
                <w:w w:val="98"/>
              </w:rPr>
              <w:t>December 31, 2025</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76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Electric and Gas Operating Revenues (millions):</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231F20"/>
              </w:rPr>
              <w:t>Electric</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231F20"/>
              </w:rPr>
              <w:t>Gas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231F20"/>
              </w:rPr>
              <w:t>Total</w:t>
            </w:r>
          </w:p>
        </w:tc>
      </w:tr>
      <w:tr>
        <w:trPr>
          <w:trHeight w:val="214"/>
        </w:trPr>
        <w:tc>
          <w:tcPr>
            <w:tcW w:w="4760" w:type="dxa"/>
            <w:vAlign w:val="bottom"/>
            <w:tcBorders>
              <w:top w:val="single" w:sz="8" w:color="E6E7E8"/>
            </w:tcBorders>
            <w:shd w:val="clear" w:color="auto" w:fill="E6E7E8"/>
          </w:tcPr>
          <w:p>
            <w:pPr>
              <w:spacing w:after="0" w:line="214" w:lineRule="exact"/>
              <w:rPr>
                <w:sz w:val="20"/>
                <w:szCs w:val="20"/>
                <w:color w:val="auto"/>
              </w:rPr>
            </w:pPr>
            <w:r>
              <w:rPr>
                <w:rFonts w:ascii="Times New Roman" w:cs="Times New Roman" w:eastAsia="Times New Roman" w:hAnsi="Times New Roman"/>
                <w:sz w:val="19"/>
                <w:szCs w:val="19"/>
                <w:color w:val="231F20"/>
              </w:rPr>
              <w:t>Billed and Unbilled Revenue:</w:t>
            </w:r>
          </w:p>
        </w:tc>
        <w:tc>
          <w:tcPr>
            <w:tcW w:w="840" w:type="dxa"/>
            <w:vAlign w:val="bottom"/>
            <w:tcBorders>
              <w:top w:val="single" w:sz="8" w:color="E6E7E8"/>
            </w:tcBorders>
            <w:shd w:val="clear" w:color="auto" w:fill="E6E7E8"/>
          </w:tcPr>
          <w:p>
            <w:pPr>
              <w:spacing w:after="0"/>
              <w:rPr>
                <w:sz w:val="18"/>
                <w:szCs w:val="18"/>
                <w:color w:val="auto"/>
              </w:rPr>
            </w:pPr>
          </w:p>
        </w:tc>
        <w:tc>
          <w:tcPr>
            <w:tcW w:w="20" w:type="dxa"/>
            <w:vAlign w:val="bottom"/>
            <w:tcBorders>
              <w:top w:val="single" w:sz="8" w:color="E6E7E8"/>
            </w:tcBorders>
            <w:shd w:val="clear" w:color="auto" w:fill="E6E7E8"/>
          </w:tcPr>
          <w:p>
            <w:pPr>
              <w:spacing w:after="0"/>
              <w:rPr>
                <w:sz w:val="18"/>
                <w:szCs w:val="18"/>
                <w:color w:val="auto"/>
              </w:rPr>
            </w:pPr>
          </w:p>
        </w:tc>
        <w:tc>
          <w:tcPr>
            <w:tcW w:w="200" w:type="dxa"/>
            <w:vAlign w:val="bottom"/>
            <w:tcBorders>
              <w:top w:val="single" w:sz="8" w:color="231F20"/>
            </w:tcBorders>
            <w:shd w:val="clear" w:color="auto" w:fill="E6E7E8"/>
          </w:tcPr>
          <w:p>
            <w:pPr>
              <w:spacing w:after="0"/>
              <w:rPr>
                <w:sz w:val="18"/>
                <w:szCs w:val="18"/>
                <w:color w:val="auto"/>
              </w:rPr>
            </w:pPr>
          </w:p>
        </w:tc>
        <w:tc>
          <w:tcPr>
            <w:tcW w:w="980" w:type="dxa"/>
            <w:vAlign w:val="bottom"/>
            <w:tcBorders>
              <w:top w:val="single" w:sz="8" w:color="231F20"/>
            </w:tcBorders>
            <w:shd w:val="clear" w:color="auto" w:fill="E6E7E8"/>
          </w:tcPr>
          <w:p>
            <w:pPr>
              <w:spacing w:after="0"/>
              <w:rPr>
                <w:sz w:val="18"/>
                <w:szCs w:val="18"/>
                <w:color w:val="auto"/>
              </w:rPr>
            </w:pPr>
          </w:p>
        </w:tc>
        <w:tc>
          <w:tcPr>
            <w:tcW w:w="20" w:type="dxa"/>
            <w:vAlign w:val="bottom"/>
            <w:tcBorders>
              <w:top w:val="single" w:sz="8" w:color="231F20"/>
            </w:tcBorders>
            <w:shd w:val="clear" w:color="auto" w:fill="E6E7E8"/>
          </w:tcPr>
          <w:p>
            <w:pPr>
              <w:spacing w:after="0"/>
              <w:rPr>
                <w:sz w:val="18"/>
                <w:szCs w:val="18"/>
                <w:color w:val="auto"/>
              </w:rPr>
            </w:pPr>
          </w:p>
        </w:tc>
        <w:tc>
          <w:tcPr>
            <w:tcW w:w="100" w:type="dxa"/>
            <w:vAlign w:val="bottom"/>
            <w:tcBorders>
              <w:top w:val="single" w:sz="8" w:color="E6E7E8"/>
            </w:tcBorders>
            <w:shd w:val="clear" w:color="auto" w:fill="E6E7E8"/>
          </w:tcPr>
          <w:p>
            <w:pPr>
              <w:spacing w:after="0"/>
              <w:rPr>
                <w:sz w:val="18"/>
                <w:szCs w:val="18"/>
                <w:color w:val="auto"/>
              </w:rPr>
            </w:pPr>
          </w:p>
        </w:tc>
        <w:tc>
          <w:tcPr>
            <w:tcW w:w="100" w:type="dxa"/>
            <w:vAlign w:val="bottom"/>
            <w:tcBorders>
              <w:top w:val="single" w:sz="8" w:color="E6E7E8"/>
            </w:tcBorders>
            <w:shd w:val="clear" w:color="auto" w:fill="E6E7E8"/>
          </w:tcPr>
          <w:p>
            <w:pPr>
              <w:spacing w:after="0"/>
              <w:rPr>
                <w:sz w:val="18"/>
                <w:szCs w:val="18"/>
                <w:color w:val="auto"/>
              </w:rPr>
            </w:pPr>
          </w:p>
        </w:tc>
        <w:tc>
          <w:tcPr>
            <w:tcW w:w="20" w:type="dxa"/>
            <w:vAlign w:val="bottom"/>
            <w:tcBorders>
              <w:top w:val="single" w:sz="8" w:color="E6E7E8"/>
            </w:tcBorders>
            <w:shd w:val="clear" w:color="auto" w:fill="E6E7E8"/>
          </w:tcPr>
          <w:p>
            <w:pPr>
              <w:spacing w:after="0"/>
              <w:rPr>
                <w:sz w:val="18"/>
                <w:szCs w:val="18"/>
                <w:color w:val="auto"/>
              </w:rPr>
            </w:pPr>
          </w:p>
        </w:tc>
        <w:tc>
          <w:tcPr>
            <w:tcW w:w="280" w:type="dxa"/>
            <w:vAlign w:val="bottom"/>
            <w:tcBorders>
              <w:top w:val="single" w:sz="8" w:color="231F20"/>
            </w:tcBorders>
            <w:shd w:val="clear" w:color="auto" w:fill="E6E7E8"/>
          </w:tcPr>
          <w:p>
            <w:pPr>
              <w:spacing w:after="0"/>
              <w:rPr>
                <w:sz w:val="18"/>
                <w:szCs w:val="18"/>
                <w:color w:val="auto"/>
              </w:rPr>
            </w:pPr>
          </w:p>
        </w:tc>
        <w:tc>
          <w:tcPr>
            <w:tcW w:w="900" w:type="dxa"/>
            <w:vAlign w:val="bottom"/>
            <w:tcBorders>
              <w:top w:val="single" w:sz="8" w:color="231F20"/>
            </w:tcBorders>
            <w:shd w:val="clear" w:color="auto" w:fill="E6E7E8"/>
          </w:tcPr>
          <w:p>
            <w:pPr>
              <w:spacing w:after="0"/>
              <w:rPr>
                <w:sz w:val="18"/>
                <w:szCs w:val="18"/>
                <w:color w:val="auto"/>
              </w:rPr>
            </w:pPr>
          </w:p>
        </w:tc>
        <w:tc>
          <w:tcPr>
            <w:tcW w:w="20" w:type="dxa"/>
            <w:vAlign w:val="bottom"/>
            <w:tcBorders>
              <w:top w:val="single" w:sz="8" w:color="231F20"/>
            </w:tcBorders>
            <w:shd w:val="clear" w:color="auto" w:fill="E6E7E8"/>
          </w:tcPr>
          <w:p>
            <w:pPr>
              <w:spacing w:after="0"/>
              <w:rPr>
                <w:sz w:val="18"/>
                <w:szCs w:val="18"/>
                <w:color w:val="auto"/>
              </w:rPr>
            </w:pPr>
          </w:p>
        </w:tc>
        <w:tc>
          <w:tcPr>
            <w:tcW w:w="200" w:type="dxa"/>
            <w:vAlign w:val="bottom"/>
            <w:tcBorders>
              <w:top w:val="single" w:sz="8" w:color="E6E7E8"/>
            </w:tcBorders>
            <w:shd w:val="clear" w:color="auto" w:fill="E6E7E8"/>
          </w:tcPr>
          <w:p>
            <w:pPr>
              <w:spacing w:after="0"/>
              <w:rPr>
                <w:sz w:val="18"/>
                <w:szCs w:val="18"/>
                <w:color w:val="auto"/>
              </w:rPr>
            </w:pPr>
          </w:p>
        </w:tc>
        <w:tc>
          <w:tcPr>
            <w:tcW w:w="20" w:type="dxa"/>
            <w:vAlign w:val="bottom"/>
            <w:tcBorders>
              <w:top w:val="single" w:sz="8" w:color="E6E7E8"/>
            </w:tcBorders>
            <w:shd w:val="clear" w:color="auto" w:fill="E6E7E8"/>
          </w:tcPr>
          <w:p>
            <w:pPr>
              <w:spacing w:after="0"/>
              <w:rPr>
                <w:sz w:val="18"/>
                <w:szCs w:val="18"/>
                <w:color w:val="auto"/>
              </w:rPr>
            </w:pPr>
          </w:p>
        </w:tc>
        <w:tc>
          <w:tcPr>
            <w:tcW w:w="260" w:type="dxa"/>
            <w:vAlign w:val="bottom"/>
            <w:tcBorders>
              <w:top w:val="single" w:sz="8" w:color="231F20"/>
            </w:tcBorders>
            <w:shd w:val="clear" w:color="auto" w:fill="E6E7E8"/>
          </w:tcPr>
          <w:p>
            <w:pPr>
              <w:spacing w:after="0"/>
              <w:rPr>
                <w:sz w:val="18"/>
                <w:szCs w:val="18"/>
                <w:color w:val="auto"/>
              </w:rPr>
            </w:pPr>
          </w:p>
        </w:tc>
        <w:tc>
          <w:tcPr>
            <w:tcW w:w="920" w:type="dxa"/>
            <w:vAlign w:val="bottom"/>
            <w:tcBorders>
              <w:top w:val="single" w:sz="8" w:color="231F20"/>
            </w:tcBorders>
            <w:shd w:val="clear" w:color="auto" w:fill="E6E7E8"/>
          </w:tcPr>
          <w:p>
            <w:pPr>
              <w:spacing w:after="0"/>
              <w:rPr>
                <w:sz w:val="18"/>
                <w:szCs w:val="18"/>
                <w:color w:val="auto"/>
              </w:rPr>
            </w:pPr>
          </w:p>
        </w:tc>
        <w:tc>
          <w:tcPr>
            <w:tcW w:w="20" w:type="dxa"/>
            <w:vAlign w:val="bottom"/>
            <w:tcBorders>
              <w:top w:val="single" w:sz="8" w:color="231F20"/>
            </w:tcBorders>
            <w:shd w:val="clear" w:color="auto" w:fill="E6E7E8"/>
          </w:tcPr>
          <w:p>
            <w:pPr>
              <w:spacing w:after="0"/>
              <w:rPr>
                <w:sz w:val="18"/>
                <w:szCs w:val="18"/>
                <w:color w:val="auto"/>
              </w:rPr>
            </w:pPr>
          </w:p>
        </w:tc>
        <w:tc>
          <w:tcPr>
            <w:tcW w:w="60" w:type="dxa"/>
            <w:vAlign w:val="bottom"/>
            <w:tcBorders>
              <w:top w:val="single" w:sz="8" w:color="E6E7E8"/>
            </w:tcBorders>
            <w:shd w:val="clear" w:color="auto" w:fill="E6E7E8"/>
          </w:tcPr>
          <w:p>
            <w:pPr>
              <w:spacing w:after="0"/>
              <w:rPr>
                <w:sz w:val="18"/>
                <w:szCs w:val="18"/>
                <w:color w:val="auto"/>
              </w:rPr>
            </w:pPr>
          </w:p>
        </w:tc>
      </w:tr>
      <w:tr>
        <w:trPr>
          <w:trHeight w:val="218"/>
        </w:trPr>
        <w:tc>
          <w:tcPr>
            <w:tcW w:w="476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Residential</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231F20"/>
                <w:w w:val="83"/>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121.1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85"/>
              <w:spacing w:after="0"/>
              <w:rPr>
                <w:sz w:val="20"/>
                <w:szCs w:val="20"/>
                <w:color w:val="auto"/>
              </w:rPr>
            </w:pPr>
            <w:r>
              <w:rPr>
                <w:rFonts w:ascii="Times New Roman" w:cs="Times New Roman" w:eastAsia="Times New Roman" w:hAnsi="Times New Roman"/>
                <w:sz w:val="19"/>
                <w:szCs w:val="19"/>
                <w:color w:val="231F20"/>
                <w:w w:val="83"/>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121.2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231F20"/>
                <w:w w:val="83"/>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242.3</w:t>
            </w:r>
          </w:p>
        </w:tc>
        <w:tc>
          <w:tcPr>
            <w:tcW w:w="60" w:type="dxa"/>
            <w:vAlign w:val="bottom"/>
          </w:tcPr>
          <w:p>
            <w:pPr>
              <w:spacing w:after="0"/>
              <w:rPr>
                <w:sz w:val="19"/>
                <w:szCs w:val="19"/>
                <w:color w:val="auto"/>
              </w:rPr>
            </w:pPr>
          </w:p>
        </w:tc>
      </w:tr>
      <w:tr>
        <w:trPr>
          <w:trHeight w:val="218"/>
        </w:trPr>
        <w:tc>
          <w:tcPr>
            <w:tcW w:w="476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Commercial &amp; Industrial</w:t>
            </w:r>
          </w:p>
        </w:tc>
        <w:tc>
          <w:tcPr>
            <w:tcW w:w="84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c>
          <w:tcPr>
            <w:tcW w:w="1100" w:type="dxa"/>
            <w:vAlign w:val="bottom"/>
            <w:gridSpan w:val="3"/>
            <w:shd w:val="clear" w:color="auto" w:fill="E6E7E8"/>
          </w:tcPr>
          <w:p>
            <w:pPr>
              <w:jc w:val="right"/>
              <w:ind w:right="20"/>
              <w:spacing w:after="0"/>
              <w:rPr>
                <w:sz w:val="20"/>
                <w:szCs w:val="20"/>
                <w:color w:val="auto"/>
              </w:rPr>
            </w:pPr>
            <w:r>
              <w:rPr>
                <w:rFonts w:ascii="Times New Roman" w:cs="Times New Roman" w:eastAsia="Times New Roman" w:hAnsi="Times New Roman"/>
                <w:sz w:val="19"/>
                <w:szCs w:val="19"/>
                <w:color w:val="231F20"/>
              </w:rPr>
              <w:t>94.9</w:t>
            </w:r>
          </w:p>
        </w:tc>
        <w:tc>
          <w:tcPr>
            <w:tcW w:w="10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280" w:type="dxa"/>
            <w:vAlign w:val="bottom"/>
            <w:shd w:val="clear" w:color="auto" w:fill="E6E7E8"/>
          </w:tcPr>
          <w:p>
            <w:pPr>
              <w:spacing w:after="0"/>
              <w:rPr>
                <w:sz w:val="19"/>
                <w:szCs w:val="19"/>
                <w:color w:val="auto"/>
              </w:rPr>
            </w:pPr>
          </w:p>
        </w:tc>
        <w:tc>
          <w:tcPr>
            <w:tcW w:w="1120" w:type="dxa"/>
            <w:vAlign w:val="bottom"/>
            <w:gridSpan w:val="3"/>
            <w:shd w:val="clear" w:color="auto" w:fill="E6E7E8"/>
          </w:tcPr>
          <w:p>
            <w:pPr>
              <w:jc w:val="right"/>
              <w:ind w:right="200"/>
              <w:spacing w:after="0"/>
              <w:rPr>
                <w:sz w:val="20"/>
                <w:szCs w:val="20"/>
                <w:color w:val="auto"/>
              </w:rPr>
            </w:pPr>
            <w:r>
              <w:rPr>
                <w:rFonts w:ascii="Times New Roman" w:cs="Times New Roman" w:eastAsia="Times New Roman" w:hAnsi="Times New Roman"/>
                <w:sz w:val="19"/>
                <w:szCs w:val="19"/>
                <w:color w:val="231F20"/>
              </w:rPr>
              <w:t>171.0</w:t>
            </w:r>
          </w:p>
        </w:tc>
        <w:tc>
          <w:tcPr>
            <w:tcW w:w="20" w:type="dxa"/>
            <w:vAlign w:val="bottom"/>
            <w:shd w:val="clear" w:color="auto" w:fill="E6E7E8"/>
          </w:tcPr>
          <w:p>
            <w:pPr>
              <w:spacing w:after="0"/>
              <w:rPr>
                <w:sz w:val="19"/>
                <w:szCs w:val="19"/>
                <w:color w:val="auto"/>
              </w:rPr>
            </w:pPr>
          </w:p>
        </w:tc>
        <w:tc>
          <w:tcPr>
            <w:tcW w:w="260" w:type="dxa"/>
            <w:vAlign w:val="bottom"/>
            <w:shd w:val="clear" w:color="auto" w:fill="E6E7E8"/>
          </w:tcPr>
          <w:p>
            <w:pPr>
              <w:spacing w:after="0"/>
              <w:rPr>
                <w:sz w:val="19"/>
                <w:szCs w:val="19"/>
                <w:color w:val="auto"/>
              </w:rPr>
            </w:pPr>
          </w:p>
        </w:tc>
        <w:tc>
          <w:tcPr>
            <w:tcW w:w="1000" w:type="dxa"/>
            <w:vAlign w:val="bottom"/>
            <w:gridSpan w:val="3"/>
            <w:shd w:val="clear" w:color="auto" w:fill="E6E7E8"/>
          </w:tcPr>
          <w:p>
            <w:pPr>
              <w:jc w:val="right"/>
              <w:ind w:right="60"/>
              <w:spacing w:after="0"/>
              <w:rPr>
                <w:sz w:val="20"/>
                <w:szCs w:val="20"/>
                <w:color w:val="auto"/>
              </w:rPr>
            </w:pPr>
            <w:r>
              <w:rPr>
                <w:rFonts w:ascii="Times New Roman" w:cs="Times New Roman" w:eastAsia="Times New Roman" w:hAnsi="Times New Roman"/>
                <w:sz w:val="19"/>
                <w:szCs w:val="19"/>
                <w:color w:val="231F20"/>
              </w:rPr>
              <w:t>265.9</w:t>
            </w:r>
          </w:p>
        </w:tc>
      </w:tr>
      <w:tr>
        <w:trPr>
          <w:trHeight w:val="218"/>
        </w:trPr>
        <w:tc>
          <w:tcPr>
            <w:tcW w:w="4760" w:type="dxa"/>
            <w:vAlign w:val="bottom"/>
            <w:tcBorders>
              <w:bottom w:val="single" w:sz="8" w:color="E6E7E8"/>
            </w:tcBorders>
          </w:tcPr>
          <w:p>
            <w:pPr>
              <w:ind w:left="200"/>
              <w:spacing w:after="0"/>
              <w:rPr>
                <w:sz w:val="20"/>
                <w:szCs w:val="20"/>
                <w:color w:val="auto"/>
              </w:rPr>
            </w:pPr>
            <w:r>
              <w:rPr>
                <w:rFonts w:ascii="Times New Roman" w:cs="Times New Roman" w:eastAsia="Times New Roman" w:hAnsi="Times New Roman"/>
                <w:sz w:val="19"/>
                <w:szCs w:val="19"/>
                <w:color w:val="231F20"/>
              </w:rPr>
              <w:t>Other</w:t>
            </w:r>
          </w:p>
        </w:tc>
        <w:tc>
          <w:tcPr>
            <w:tcW w:w="840" w:type="dxa"/>
            <w:vAlign w:val="bottom"/>
            <w:tcBorders>
              <w:bottom w:val="single" w:sz="8" w:color="E6E7E8"/>
            </w:tcBorders>
          </w:tcPr>
          <w:p>
            <w:pPr>
              <w:spacing w:after="0"/>
              <w:rPr>
                <w:sz w:val="19"/>
                <w:szCs w:val="19"/>
                <w:color w:val="auto"/>
              </w:rPr>
            </w:pPr>
          </w:p>
        </w:tc>
        <w:tc>
          <w:tcPr>
            <w:tcW w:w="20" w:type="dxa"/>
            <w:vAlign w:val="bottom"/>
            <w:tcBorders>
              <w:bottom w:val="single" w:sz="8" w:color="E6E7E8"/>
            </w:tcBorders>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9"/>
                <w:szCs w:val="19"/>
                <w:color w:val="231F20"/>
              </w:rPr>
              <w:t>13.1</w:t>
            </w:r>
          </w:p>
        </w:tc>
        <w:tc>
          <w:tcPr>
            <w:tcW w:w="100" w:type="dxa"/>
            <w:vAlign w:val="bottom"/>
            <w:tcBorders>
              <w:bottom w:val="single" w:sz="8" w:color="E6E7E8"/>
            </w:tcBorders>
          </w:tcPr>
          <w:p>
            <w:pPr>
              <w:spacing w:after="0"/>
              <w:rPr>
                <w:sz w:val="19"/>
                <w:szCs w:val="19"/>
                <w:color w:val="auto"/>
              </w:rPr>
            </w:pPr>
          </w:p>
        </w:tc>
        <w:tc>
          <w:tcPr>
            <w:tcW w:w="100" w:type="dxa"/>
            <w:vAlign w:val="bottom"/>
            <w:tcBorders>
              <w:bottom w:val="single" w:sz="8" w:color="E6E7E8"/>
            </w:tcBorders>
          </w:tcPr>
          <w:p>
            <w:pPr>
              <w:spacing w:after="0"/>
              <w:rPr>
                <w:sz w:val="19"/>
                <w:szCs w:val="19"/>
                <w:color w:val="auto"/>
              </w:rPr>
            </w:pPr>
          </w:p>
        </w:tc>
        <w:tc>
          <w:tcPr>
            <w:tcW w:w="20" w:type="dxa"/>
            <w:vAlign w:val="bottom"/>
            <w:tcBorders>
              <w:bottom w:val="single" w:sz="8" w:color="E6E7E8"/>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9"/>
                <w:szCs w:val="19"/>
                <w:color w:val="231F20"/>
              </w:rPr>
              <w:t>13.8</w:t>
            </w:r>
          </w:p>
        </w:tc>
        <w:tc>
          <w:tcPr>
            <w:tcW w:w="200" w:type="dxa"/>
            <w:vAlign w:val="bottom"/>
            <w:tcBorders>
              <w:bottom w:val="single" w:sz="8" w:color="E6E7E8"/>
            </w:tcBorders>
          </w:tcPr>
          <w:p>
            <w:pPr>
              <w:spacing w:after="0"/>
              <w:rPr>
                <w:sz w:val="19"/>
                <w:szCs w:val="19"/>
                <w:color w:val="auto"/>
              </w:rPr>
            </w:pPr>
          </w:p>
        </w:tc>
        <w:tc>
          <w:tcPr>
            <w:tcW w:w="20" w:type="dxa"/>
            <w:vAlign w:val="bottom"/>
            <w:tcBorders>
              <w:bottom w:val="single" w:sz="8" w:color="E6E7E8"/>
            </w:tcBorders>
          </w:tcPr>
          <w:p>
            <w:pPr>
              <w:spacing w:after="0"/>
              <w:rPr>
                <w:sz w:val="19"/>
                <w:szCs w:val="19"/>
                <w:color w:val="auto"/>
              </w:rPr>
            </w:pPr>
          </w:p>
        </w:tc>
        <w:tc>
          <w:tcPr>
            <w:tcW w:w="260" w:type="dxa"/>
            <w:vAlign w:val="bottom"/>
            <w:tcBorders>
              <w:bottom w:val="single" w:sz="8" w:color="231F20"/>
            </w:tcBorders>
          </w:tcPr>
          <w:p>
            <w:pPr>
              <w:spacing w:after="0"/>
              <w:rPr>
                <w:sz w:val="19"/>
                <w:szCs w:val="19"/>
                <w:color w:val="auto"/>
              </w:rPr>
            </w:pPr>
          </w:p>
        </w:tc>
        <w:tc>
          <w:tcPr>
            <w:tcW w:w="94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9"/>
                <w:szCs w:val="19"/>
                <w:color w:val="231F20"/>
              </w:rPr>
              <w:t>26.9</w:t>
            </w:r>
          </w:p>
        </w:tc>
        <w:tc>
          <w:tcPr>
            <w:tcW w:w="60" w:type="dxa"/>
            <w:vAlign w:val="bottom"/>
            <w:tcBorders>
              <w:bottom w:val="single" w:sz="8" w:color="E6E7E8"/>
            </w:tcBorders>
          </w:tcPr>
          <w:p>
            <w:pPr>
              <w:spacing w:after="0"/>
              <w:rPr>
                <w:sz w:val="19"/>
                <w:szCs w:val="19"/>
                <w:color w:val="auto"/>
              </w:rPr>
            </w:pPr>
          </w:p>
        </w:tc>
      </w:tr>
      <w:tr>
        <w:trPr>
          <w:trHeight w:val="213"/>
        </w:trPr>
        <w:tc>
          <w:tcPr>
            <w:tcW w:w="4760" w:type="dxa"/>
            <w:vAlign w:val="bottom"/>
            <w:shd w:val="clear" w:color="auto" w:fill="E6E7E8"/>
          </w:tcPr>
          <w:p>
            <w:pPr>
              <w:ind w:left="400"/>
              <w:spacing w:after="0" w:line="214" w:lineRule="exact"/>
              <w:rPr>
                <w:sz w:val="20"/>
                <w:szCs w:val="20"/>
                <w:color w:val="auto"/>
              </w:rPr>
            </w:pPr>
            <w:r>
              <w:rPr>
                <w:rFonts w:ascii="Times New Roman" w:cs="Times New Roman" w:eastAsia="Times New Roman" w:hAnsi="Times New Roman"/>
                <w:sz w:val="19"/>
                <w:szCs w:val="19"/>
                <w:color w:val="231F20"/>
              </w:rPr>
              <w:t>Total Billed and Unbilled Revenue</w:t>
            </w:r>
          </w:p>
        </w:tc>
        <w:tc>
          <w:tcPr>
            <w:tcW w:w="840" w:type="dxa"/>
            <w:vAlign w:val="bottom"/>
            <w:shd w:val="clear" w:color="auto" w:fill="E6E7E8"/>
          </w:tcPr>
          <w:p>
            <w:pPr>
              <w:spacing w:after="0"/>
              <w:rPr>
                <w:sz w:val="18"/>
                <w:szCs w:val="18"/>
                <w:color w:val="auto"/>
              </w:rPr>
            </w:pPr>
          </w:p>
        </w:tc>
        <w:tc>
          <w:tcPr>
            <w:tcW w:w="20" w:type="dxa"/>
            <w:vAlign w:val="bottom"/>
            <w:shd w:val="clear" w:color="auto" w:fill="E6E7E8"/>
          </w:tcPr>
          <w:p>
            <w:pPr>
              <w:spacing w:after="0"/>
              <w:rPr>
                <w:sz w:val="18"/>
                <w:szCs w:val="18"/>
                <w:color w:val="auto"/>
              </w:rPr>
            </w:pPr>
          </w:p>
        </w:tc>
        <w:tc>
          <w:tcPr>
            <w:tcW w:w="200" w:type="dxa"/>
            <w:vAlign w:val="bottom"/>
            <w:shd w:val="clear" w:color="auto" w:fill="E6E7E8"/>
          </w:tcPr>
          <w:p>
            <w:pPr>
              <w:spacing w:after="0"/>
              <w:rPr>
                <w:sz w:val="18"/>
                <w:szCs w:val="18"/>
                <w:color w:val="auto"/>
              </w:rPr>
            </w:pPr>
          </w:p>
        </w:tc>
        <w:tc>
          <w:tcPr>
            <w:tcW w:w="1000" w:type="dxa"/>
            <w:vAlign w:val="bottom"/>
            <w:gridSpan w:val="2"/>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229.1</w:t>
            </w:r>
          </w:p>
        </w:tc>
        <w:tc>
          <w:tcPr>
            <w:tcW w:w="100" w:type="dxa"/>
            <w:vAlign w:val="bottom"/>
            <w:shd w:val="clear" w:color="auto" w:fill="E6E7E8"/>
          </w:tcPr>
          <w:p>
            <w:pPr>
              <w:spacing w:after="0"/>
              <w:rPr>
                <w:sz w:val="18"/>
                <w:szCs w:val="18"/>
                <w:color w:val="auto"/>
              </w:rPr>
            </w:pPr>
          </w:p>
        </w:tc>
        <w:tc>
          <w:tcPr>
            <w:tcW w:w="100" w:type="dxa"/>
            <w:vAlign w:val="bottom"/>
            <w:shd w:val="clear" w:color="auto" w:fill="E6E7E8"/>
          </w:tcPr>
          <w:p>
            <w:pPr>
              <w:spacing w:after="0"/>
              <w:rPr>
                <w:sz w:val="18"/>
                <w:szCs w:val="18"/>
                <w:color w:val="auto"/>
              </w:rPr>
            </w:pPr>
          </w:p>
        </w:tc>
        <w:tc>
          <w:tcPr>
            <w:tcW w:w="20" w:type="dxa"/>
            <w:vAlign w:val="bottom"/>
            <w:shd w:val="clear" w:color="auto" w:fill="E6E7E8"/>
          </w:tcPr>
          <w:p>
            <w:pPr>
              <w:spacing w:after="0"/>
              <w:rPr>
                <w:sz w:val="18"/>
                <w:szCs w:val="18"/>
                <w:color w:val="auto"/>
              </w:rPr>
            </w:pPr>
          </w:p>
        </w:tc>
        <w:tc>
          <w:tcPr>
            <w:tcW w:w="280" w:type="dxa"/>
            <w:vAlign w:val="bottom"/>
            <w:shd w:val="clear" w:color="auto" w:fill="E6E7E8"/>
          </w:tcPr>
          <w:p>
            <w:pPr>
              <w:spacing w:after="0"/>
              <w:rPr>
                <w:sz w:val="18"/>
                <w:szCs w:val="18"/>
                <w:color w:val="auto"/>
              </w:rPr>
            </w:pPr>
          </w:p>
        </w:tc>
        <w:tc>
          <w:tcPr>
            <w:tcW w:w="920" w:type="dxa"/>
            <w:vAlign w:val="bottom"/>
            <w:gridSpan w:val="2"/>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306.0</w:t>
            </w:r>
          </w:p>
        </w:tc>
        <w:tc>
          <w:tcPr>
            <w:tcW w:w="200" w:type="dxa"/>
            <w:vAlign w:val="bottom"/>
            <w:shd w:val="clear" w:color="auto" w:fill="E6E7E8"/>
          </w:tcPr>
          <w:p>
            <w:pPr>
              <w:spacing w:after="0"/>
              <w:rPr>
                <w:sz w:val="18"/>
                <w:szCs w:val="18"/>
                <w:color w:val="auto"/>
              </w:rPr>
            </w:pPr>
          </w:p>
        </w:tc>
        <w:tc>
          <w:tcPr>
            <w:tcW w:w="20" w:type="dxa"/>
            <w:vAlign w:val="bottom"/>
            <w:shd w:val="clear" w:color="auto" w:fill="E6E7E8"/>
          </w:tcPr>
          <w:p>
            <w:pPr>
              <w:spacing w:after="0"/>
              <w:rPr>
                <w:sz w:val="18"/>
                <w:szCs w:val="18"/>
                <w:color w:val="auto"/>
              </w:rPr>
            </w:pPr>
          </w:p>
        </w:tc>
        <w:tc>
          <w:tcPr>
            <w:tcW w:w="260" w:type="dxa"/>
            <w:vAlign w:val="bottom"/>
            <w:shd w:val="clear" w:color="auto" w:fill="E6E7E8"/>
          </w:tcPr>
          <w:p>
            <w:pPr>
              <w:spacing w:after="0"/>
              <w:rPr>
                <w:sz w:val="18"/>
                <w:szCs w:val="18"/>
                <w:color w:val="auto"/>
              </w:rPr>
            </w:pPr>
          </w:p>
        </w:tc>
        <w:tc>
          <w:tcPr>
            <w:tcW w:w="940" w:type="dxa"/>
            <w:vAlign w:val="bottom"/>
            <w:gridSpan w:val="2"/>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535.1</w:t>
            </w:r>
          </w:p>
        </w:tc>
        <w:tc>
          <w:tcPr>
            <w:tcW w:w="60" w:type="dxa"/>
            <w:vAlign w:val="bottom"/>
            <w:shd w:val="clear" w:color="auto" w:fill="E6E7E8"/>
          </w:tcPr>
          <w:p>
            <w:pPr>
              <w:spacing w:after="0"/>
              <w:rPr>
                <w:sz w:val="18"/>
                <w:szCs w:val="18"/>
                <w:color w:val="auto"/>
              </w:rPr>
            </w:pPr>
          </w:p>
        </w:tc>
      </w:tr>
      <w:tr>
        <w:trPr>
          <w:trHeight w:val="219"/>
        </w:trPr>
        <w:tc>
          <w:tcPr>
            <w:tcW w:w="4760" w:type="dxa"/>
            <w:vAlign w:val="bottom"/>
          </w:tcPr>
          <w:p>
            <w:pPr>
              <w:spacing w:after="0"/>
              <w:rPr>
                <w:sz w:val="20"/>
                <w:szCs w:val="20"/>
                <w:color w:val="auto"/>
              </w:rPr>
            </w:pPr>
            <w:r>
              <w:rPr>
                <w:rFonts w:ascii="Times New Roman" w:cs="Times New Roman" w:eastAsia="Times New Roman" w:hAnsi="Times New Roman"/>
                <w:sz w:val="19"/>
                <w:szCs w:val="19"/>
                <w:color w:val="231F20"/>
              </w:rPr>
              <w:t>Rate Adjustment Mechanism Revenue</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231F20"/>
              </w:rPr>
              <w:t>(6.4)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0.9</w:t>
            </w:r>
          </w:p>
        </w:tc>
        <w:tc>
          <w:tcPr>
            <w:tcW w:w="60" w:type="dxa"/>
            <w:vAlign w:val="bottom"/>
          </w:tcPr>
          <w:p>
            <w:pPr>
              <w:spacing w:after="0"/>
              <w:rPr>
                <w:sz w:val="19"/>
                <w:szCs w:val="19"/>
                <w:color w:val="auto"/>
              </w:rPr>
            </w:pPr>
          </w:p>
        </w:tc>
      </w:tr>
      <w:tr>
        <w:trPr>
          <w:trHeight w:val="213"/>
        </w:trPr>
        <w:tc>
          <w:tcPr>
            <w:tcW w:w="4760" w:type="dxa"/>
            <w:vAlign w:val="bottom"/>
            <w:tcBorders>
              <w:top w:val="single" w:sz="8" w:color="E6E7E8"/>
            </w:tcBorders>
            <w:shd w:val="clear" w:color="auto" w:fill="E6E7E8"/>
          </w:tcPr>
          <w:p>
            <w:pPr>
              <w:ind w:left="400"/>
              <w:spacing w:after="0" w:line="214" w:lineRule="exact"/>
              <w:rPr>
                <w:sz w:val="20"/>
                <w:szCs w:val="20"/>
                <w:color w:val="auto"/>
              </w:rPr>
            </w:pPr>
            <w:r>
              <w:rPr>
                <w:rFonts w:ascii="Times New Roman" w:cs="Times New Roman" w:eastAsia="Times New Roman" w:hAnsi="Times New Roman"/>
                <w:sz w:val="19"/>
                <w:szCs w:val="19"/>
                <w:b w:val="1"/>
                <w:bCs w:val="1"/>
                <w:color w:val="231F20"/>
              </w:rPr>
              <w:t>Total Electric and Gas Operating Revenues</w:t>
            </w:r>
          </w:p>
        </w:tc>
        <w:tc>
          <w:tcPr>
            <w:tcW w:w="840" w:type="dxa"/>
            <w:vAlign w:val="bottom"/>
            <w:tcBorders>
              <w:top w:val="single" w:sz="8" w:color="E6E7E8"/>
            </w:tcBorders>
            <w:shd w:val="clear" w:color="auto" w:fill="E6E7E8"/>
          </w:tcPr>
          <w:p>
            <w:pPr>
              <w:spacing w:after="0"/>
              <w:rPr>
                <w:sz w:val="18"/>
                <w:szCs w:val="18"/>
                <w:color w:val="auto"/>
              </w:rPr>
            </w:pPr>
          </w:p>
        </w:tc>
        <w:tc>
          <w:tcPr>
            <w:tcW w:w="20" w:type="dxa"/>
            <w:vAlign w:val="bottom"/>
            <w:tcBorders>
              <w:top w:val="single" w:sz="8" w:color="E6E7E8"/>
            </w:tcBorders>
            <w:shd w:val="clear" w:color="auto" w:fill="E6E7E8"/>
          </w:tcPr>
          <w:p>
            <w:pPr>
              <w:spacing w:after="0"/>
              <w:rPr>
                <w:sz w:val="18"/>
                <w:szCs w:val="18"/>
                <w:color w:val="auto"/>
              </w:rPr>
            </w:pPr>
          </w:p>
        </w:tc>
        <w:tc>
          <w:tcPr>
            <w:tcW w:w="200" w:type="dxa"/>
            <w:vAlign w:val="bottom"/>
            <w:tcBorders>
              <w:top w:val="single" w:sz="8" w:color="231F20"/>
              <w:bottom w:val="single" w:sz="8" w:color="231F20"/>
            </w:tcBorders>
            <w:shd w:val="clear" w:color="auto" w:fill="E6E7E8"/>
          </w:tcPr>
          <w:p>
            <w:pPr>
              <w:jc w:val="right"/>
              <w:ind w:right="5"/>
              <w:spacing w:after="0" w:line="214" w:lineRule="exact"/>
              <w:rPr>
                <w:sz w:val="20"/>
                <w:szCs w:val="20"/>
                <w:color w:val="auto"/>
              </w:rPr>
            </w:pPr>
            <w:r>
              <w:rPr>
                <w:rFonts w:ascii="Times New Roman" w:cs="Times New Roman" w:eastAsia="Times New Roman" w:hAnsi="Times New Roman"/>
                <w:sz w:val="19"/>
                <w:szCs w:val="19"/>
                <w:b w:val="1"/>
                <w:bCs w:val="1"/>
                <w:color w:val="231F20"/>
                <w:w w:val="83"/>
              </w:rPr>
              <w:t>$</w:t>
            </w:r>
          </w:p>
        </w:tc>
        <w:tc>
          <w:tcPr>
            <w:tcW w:w="1000" w:type="dxa"/>
            <w:vAlign w:val="bottom"/>
            <w:tcBorders>
              <w:top w:val="single" w:sz="8" w:color="231F20"/>
              <w:bottom w:val="single" w:sz="8" w:color="231F20"/>
            </w:tcBorders>
            <w:gridSpan w:val="2"/>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236.4</w:t>
            </w:r>
          </w:p>
        </w:tc>
        <w:tc>
          <w:tcPr>
            <w:tcW w:w="100" w:type="dxa"/>
            <w:vAlign w:val="bottom"/>
            <w:tcBorders>
              <w:top w:val="single" w:sz="8" w:color="E6E7E8"/>
            </w:tcBorders>
            <w:shd w:val="clear" w:color="auto" w:fill="E6E7E8"/>
          </w:tcPr>
          <w:p>
            <w:pPr>
              <w:spacing w:after="0"/>
              <w:rPr>
                <w:sz w:val="18"/>
                <w:szCs w:val="18"/>
                <w:color w:val="auto"/>
              </w:rPr>
            </w:pPr>
          </w:p>
        </w:tc>
        <w:tc>
          <w:tcPr>
            <w:tcW w:w="100" w:type="dxa"/>
            <w:vAlign w:val="bottom"/>
            <w:tcBorders>
              <w:top w:val="single" w:sz="8" w:color="E6E7E8"/>
            </w:tcBorders>
            <w:shd w:val="clear" w:color="auto" w:fill="E6E7E8"/>
          </w:tcPr>
          <w:p>
            <w:pPr>
              <w:spacing w:after="0"/>
              <w:rPr>
                <w:sz w:val="18"/>
                <w:szCs w:val="18"/>
                <w:color w:val="auto"/>
              </w:rPr>
            </w:pPr>
          </w:p>
        </w:tc>
        <w:tc>
          <w:tcPr>
            <w:tcW w:w="20" w:type="dxa"/>
            <w:vAlign w:val="bottom"/>
            <w:tcBorders>
              <w:top w:val="single" w:sz="8" w:color="E6E7E8"/>
            </w:tcBorders>
            <w:shd w:val="clear" w:color="auto" w:fill="E6E7E8"/>
          </w:tcPr>
          <w:p>
            <w:pPr>
              <w:spacing w:after="0"/>
              <w:rPr>
                <w:sz w:val="18"/>
                <w:szCs w:val="18"/>
                <w:color w:val="auto"/>
              </w:rPr>
            </w:pPr>
          </w:p>
        </w:tc>
        <w:tc>
          <w:tcPr>
            <w:tcW w:w="280" w:type="dxa"/>
            <w:vAlign w:val="bottom"/>
            <w:tcBorders>
              <w:top w:val="single" w:sz="8" w:color="231F20"/>
              <w:bottom w:val="single" w:sz="8" w:color="231F20"/>
            </w:tcBorders>
            <w:shd w:val="clear" w:color="auto" w:fill="E6E7E8"/>
          </w:tcPr>
          <w:p>
            <w:pPr>
              <w:jc w:val="right"/>
              <w:ind w:right="85"/>
              <w:spacing w:after="0" w:line="214" w:lineRule="exact"/>
              <w:rPr>
                <w:sz w:val="20"/>
                <w:szCs w:val="20"/>
                <w:color w:val="auto"/>
              </w:rPr>
            </w:pPr>
            <w:r>
              <w:rPr>
                <w:rFonts w:ascii="Times New Roman" w:cs="Times New Roman" w:eastAsia="Times New Roman" w:hAnsi="Times New Roman"/>
                <w:sz w:val="19"/>
                <w:szCs w:val="19"/>
                <w:b w:val="1"/>
                <w:bCs w:val="1"/>
                <w:color w:val="231F20"/>
                <w:w w:val="83"/>
              </w:rPr>
              <w:t>$</w:t>
            </w:r>
          </w:p>
        </w:tc>
        <w:tc>
          <w:tcPr>
            <w:tcW w:w="920" w:type="dxa"/>
            <w:vAlign w:val="bottom"/>
            <w:tcBorders>
              <w:top w:val="single" w:sz="8" w:color="231F20"/>
              <w:bottom w:val="single" w:sz="8" w:color="231F20"/>
            </w:tcBorders>
            <w:gridSpan w:val="2"/>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299.6</w:t>
            </w:r>
          </w:p>
        </w:tc>
        <w:tc>
          <w:tcPr>
            <w:tcW w:w="200" w:type="dxa"/>
            <w:vAlign w:val="bottom"/>
            <w:tcBorders>
              <w:top w:val="single" w:sz="8" w:color="E6E7E8"/>
            </w:tcBorders>
            <w:shd w:val="clear" w:color="auto" w:fill="E6E7E8"/>
          </w:tcPr>
          <w:p>
            <w:pPr>
              <w:spacing w:after="0"/>
              <w:rPr>
                <w:sz w:val="18"/>
                <w:szCs w:val="18"/>
                <w:color w:val="auto"/>
              </w:rPr>
            </w:pPr>
          </w:p>
        </w:tc>
        <w:tc>
          <w:tcPr>
            <w:tcW w:w="20" w:type="dxa"/>
            <w:vAlign w:val="bottom"/>
            <w:tcBorders>
              <w:top w:val="single" w:sz="8" w:color="E6E7E8"/>
            </w:tcBorders>
            <w:shd w:val="clear" w:color="auto" w:fill="E6E7E8"/>
          </w:tcPr>
          <w:p>
            <w:pPr>
              <w:spacing w:after="0"/>
              <w:rPr>
                <w:sz w:val="18"/>
                <w:szCs w:val="18"/>
                <w:color w:val="auto"/>
              </w:rPr>
            </w:pPr>
          </w:p>
        </w:tc>
        <w:tc>
          <w:tcPr>
            <w:tcW w:w="260" w:type="dxa"/>
            <w:vAlign w:val="bottom"/>
            <w:tcBorders>
              <w:top w:val="single" w:sz="8" w:color="231F20"/>
              <w:bottom w:val="single" w:sz="8" w:color="231F20"/>
            </w:tcBorders>
            <w:shd w:val="clear" w:color="auto" w:fill="E6E7E8"/>
          </w:tcPr>
          <w:p>
            <w:pPr>
              <w:jc w:val="right"/>
              <w:ind w:right="65"/>
              <w:spacing w:after="0" w:line="214" w:lineRule="exact"/>
              <w:rPr>
                <w:sz w:val="20"/>
                <w:szCs w:val="20"/>
                <w:color w:val="auto"/>
              </w:rPr>
            </w:pPr>
            <w:r>
              <w:rPr>
                <w:rFonts w:ascii="Times New Roman" w:cs="Times New Roman" w:eastAsia="Times New Roman" w:hAnsi="Times New Roman"/>
                <w:sz w:val="19"/>
                <w:szCs w:val="19"/>
                <w:b w:val="1"/>
                <w:bCs w:val="1"/>
                <w:color w:val="231F20"/>
                <w:w w:val="83"/>
              </w:rPr>
              <w:t>$</w:t>
            </w:r>
          </w:p>
        </w:tc>
        <w:tc>
          <w:tcPr>
            <w:tcW w:w="940" w:type="dxa"/>
            <w:vAlign w:val="bottom"/>
            <w:tcBorders>
              <w:top w:val="single" w:sz="8" w:color="231F20"/>
              <w:bottom w:val="single" w:sz="8" w:color="231F20"/>
            </w:tcBorders>
            <w:gridSpan w:val="2"/>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536.0</w:t>
            </w:r>
          </w:p>
        </w:tc>
        <w:tc>
          <w:tcPr>
            <w:tcW w:w="60" w:type="dxa"/>
            <w:vAlign w:val="bottom"/>
            <w:tcBorders>
              <w:top w:val="single" w:sz="8" w:color="E6E7E8"/>
            </w:tcBorders>
            <w:shd w:val="clear" w:color="auto" w:fill="E6E7E8"/>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4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231F20"/>
              </w:rPr>
              <w:t>Twelve Months Ended</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9"/>
        </w:trPr>
        <w:tc>
          <w:tcPr>
            <w:tcW w:w="4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6"/>
          </w:tcPr>
          <w:p>
            <w:pPr>
              <w:jc w:val="center"/>
              <w:ind w:right="80"/>
              <w:spacing w:after="0"/>
              <w:rPr>
                <w:sz w:val="20"/>
                <w:szCs w:val="20"/>
                <w:color w:val="auto"/>
              </w:rPr>
            </w:pPr>
            <w:r>
              <w:rPr>
                <w:rFonts w:ascii="Times New Roman" w:cs="Times New Roman" w:eastAsia="Times New Roman" w:hAnsi="Times New Roman"/>
                <w:sz w:val="16"/>
                <w:szCs w:val="16"/>
                <w:b w:val="1"/>
                <w:bCs w:val="1"/>
                <w:color w:val="231F20"/>
                <w:w w:val="98"/>
              </w:rPr>
              <w:t>December 31, 2024</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76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Electric and Gas Operating Revenues (millions):</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231F20"/>
              </w:rPr>
              <w:t>Electric</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231F20"/>
              </w:rPr>
              <w:t>Gas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231F20"/>
              </w:rPr>
              <w:t>Total</w:t>
            </w:r>
          </w:p>
        </w:tc>
      </w:tr>
      <w:tr>
        <w:trPr>
          <w:trHeight w:val="214"/>
        </w:trPr>
        <w:tc>
          <w:tcPr>
            <w:tcW w:w="4760" w:type="dxa"/>
            <w:vAlign w:val="bottom"/>
            <w:tcBorders>
              <w:top w:val="single" w:sz="8" w:color="E6E7E8"/>
            </w:tcBorders>
            <w:shd w:val="clear" w:color="auto" w:fill="E6E7E8"/>
          </w:tcPr>
          <w:p>
            <w:pPr>
              <w:spacing w:after="0" w:line="214" w:lineRule="exact"/>
              <w:rPr>
                <w:sz w:val="20"/>
                <w:szCs w:val="20"/>
                <w:color w:val="auto"/>
              </w:rPr>
            </w:pPr>
            <w:r>
              <w:rPr>
                <w:rFonts w:ascii="Times New Roman" w:cs="Times New Roman" w:eastAsia="Times New Roman" w:hAnsi="Times New Roman"/>
                <w:sz w:val="19"/>
                <w:szCs w:val="19"/>
                <w:color w:val="231F20"/>
              </w:rPr>
              <w:t>Billed and Unbilled Revenue:</w:t>
            </w:r>
          </w:p>
        </w:tc>
        <w:tc>
          <w:tcPr>
            <w:tcW w:w="840" w:type="dxa"/>
            <w:vAlign w:val="bottom"/>
            <w:tcBorders>
              <w:top w:val="single" w:sz="8" w:color="E6E7E8"/>
            </w:tcBorders>
            <w:shd w:val="clear" w:color="auto" w:fill="E6E7E8"/>
          </w:tcPr>
          <w:p>
            <w:pPr>
              <w:spacing w:after="0"/>
              <w:rPr>
                <w:sz w:val="18"/>
                <w:szCs w:val="18"/>
                <w:color w:val="auto"/>
              </w:rPr>
            </w:pPr>
          </w:p>
        </w:tc>
        <w:tc>
          <w:tcPr>
            <w:tcW w:w="20" w:type="dxa"/>
            <w:vAlign w:val="bottom"/>
            <w:tcBorders>
              <w:top w:val="single" w:sz="8" w:color="E6E7E8"/>
            </w:tcBorders>
            <w:shd w:val="clear" w:color="auto" w:fill="E6E7E8"/>
          </w:tcPr>
          <w:p>
            <w:pPr>
              <w:spacing w:after="0"/>
              <w:rPr>
                <w:sz w:val="18"/>
                <w:szCs w:val="18"/>
                <w:color w:val="auto"/>
              </w:rPr>
            </w:pPr>
          </w:p>
        </w:tc>
        <w:tc>
          <w:tcPr>
            <w:tcW w:w="200" w:type="dxa"/>
            <w:vAlign w:val="bottom"/>
            <w:tcBorders>
              <w:top w:val="single" w:sz="8" w:color="231F20"/>
            </w:tcBorders>
            <w:shd w:val="clear" w:color="auto" w:fill="E6E7E8"/>
          </w:tcPr>
          <w:p>
            <w:pPr>
              <w:spacing w:after="0"/>
              <w:rPr>
                <w:sz w:val="18"/>
                <w:szCs w:val="18"/>
                <w:color w:val="auto"/>
              </w:rPr>
            </w:pPr>
          </w:p>
        </w:tc>
        <w:tc>
          <w:tcPr>
            <w:tcW w:w="980" w:type="dxa"/>
            <w:vAlign w:val="bottom"/>
            <w:tcBorders>
              <w:top w:val="single" w:sz="8" w:color="231F20"/>
            </w:tcBorders>
            <w:shd w:val="clear" w:color="auto" w:fill="E6E7E8"/>
          </w:tcPr>
          <w:p>
            <w:pPr>
              <w:spacing w:after="0"/>
              <w:rPr>
                <w:sz w:val="18"/>
                <w:szCs w:val="18"/>
                <w:color w:val="auto"/>
              </w:rPr>
            </w:pPr>
          </w:p>
        </w:tc>
        <w:tc>
          <w:tcPr>
            <w:tcW w:w="20" w:type="dxa"/>
            <w:vAlign w:val="bottom"/>
            <w:tcBorders>
              <w:top w:val="single" w:sz="8" w:color="231F20"/>
            </w:tcBorders>
            <w:shd w:val="clear" w:color="auto" w:fill="E6E7E8"/>
          </w:tcPr>
          <w:p>
            <w:pPr>
              <w:spacing w:after="0"/>
              <w:rPr>
                <w:sz w:val="18"/>
                <w:szCs w:val="18"/>
                <w:color w:val="auto"/>
              </w:rPr>
            </w:pPr>
          </w:p>
        </w:tc>
        <w:tc>
          <w:tcPr>
            <w:tcW w:w="100" w:type="dxa"/>
            <w:vAlign w:val="bottom"/>
            <w:tcBorders>
              <w:top w:val="single" w:sz="8" w:color="E6E7E8"/>
            </w:tcBorders>
            <w:shd w:val="clear" w:color="auto" w:fill="E6E7E8"/>
          </w:tcPr>
          <w:p>
            <w:pPr>
              <w:spacing w:after="0"/>
              <w:rPr>
                <w:sz w:val="18"/>
                <w:szCs w:val="18"/>
                <w:color w:val="auto"/>
              </w:rPr>
            </w:pPr>
          </w:p>
        </w:tc>
        <w:tc>
          <w:tcPr>
            <w:tcW w:w="100" w:type="dxa"/>
            <w:vAlign w:val="bottom"/>
            <w:tcBorders>
              <w:top w:val="single" w:sz="8" w:color="E6E7E8"/>
            </w:tcBorders>
            <w:shd w:val="clear" w:color="auto" w:fill="E6E7E8"/>
          </w:tcPr>
          <w:p>
            <w:pPr>
              <w:spacing w:after="0"/>
              <w:rPr>
                <w:sz w:val="18"/>
                <w:szCs w:val="18"/>
                <w:color w:val="auto"/>
              </w:rPr>
            </w:pPr>
          </w:p>
        </w:tc>
        <w:tc>
          <w:tcPr>
            <w:tcW w:w="20" w:type="dxa"/>
            <w:vAlign w:val="bottom"/>
            <w:tcBorders>
              <w:top w:val="single" w:sz="8" w:color="E6E7E8"/>
            </w:tcBorders>
            <w:shd w:val="clear" w:color="auto" w:fill="E6E7E8"/>
          </w:tcPr>
          <w:p>
            <w:pPr>
              <w:spacing w:after="0"/>
              <w:rPr>
                <w:sz w:val="18"/>
                <w:szCs w:val="18"/>
                <w:color w:val="auto"/>
              </w:rPr>
            </w:pPr>
          </w:p>
        </w:tc>
        <w:tc>
          <w:tcPr>
            <w:tcW w:w="280" w:type="dxa"/>
            <w:vAlign w:val="bottom"/>
            <w:tcBorders>
              <w:top w:val="single" w:sz="8" w:color="231F20"/>
            </w:tcBorders>
            <w:shd w:val="clear" w:color="auto" w:fill="E6E7E8"/>
          </w:tcPr>
          <w:p>
            <w:pPr>
              <w:spacing w:after="0"/>
              <w:rPr>
                <w:sz w:val="18"/>
                <w:szCs w:val="18"/>
                <w:color w:val="auto"/>
              </w:rPr>
            </w:pPr>
          </w:p>
        </w:tc>
        <w:tc>
          <w:tcPr>
            <w:tcW w:w="900" w:type="dxa"/>
            <w:vAlign w:val="bottom"/>
            <w:tcBorders>
              <w:top w:val="single" w:sz="8" w:color="231F20"/>
            </w:tcBorders>
            <w:shd w:val="clear" w:color="auto" w:fill="E6E7E8"/>
          </w:tcPr>
          <w:p>
            <w:pPr>
              <w:spacing w:after="0"/>
              <w:rPr>
                <w:sz w:val="18"/>
                <w:szCs w:val="18"/>
                <w:color w:val="auto"/>
              </w:rPr>
            </w:pPr>
          </w:p>
        </w:tc>
        <w:tc>
          <w:tcPr>
            <w:tcW w:w="20" w:type="dxa"/>
            <w:vAlign w:val="bottom"/>
            <w:tcBorders>
              <w:top w:val="single" w:sz="8" w:color="231F20"/>
            </w:tcBorders>
            <w:shd w:val="clear" w:color="auto" w:fill="E6E7E8"/>
          </w:tcPr>
          <w:p>
            <w:pPr>
              <w:spacing w:after="0"/>
              <w:rPr>
                <w:sz w:val="18"/>
                <w:szCs w:val="18"/>
                <w:color w:val="auto"/>
              </w:rPr>
            </w:pPr>
          </w:p>
        </w:tc>
        <w:tc>
          <w:tcPr>
            <w:tcW w:w="200" w:type="dxa"/>
            <w:vAlign w:val="bottom"/>
            <w:tcBorders>
              <w:top w:val="single" w:sz="8" w:color="E6E7E8"/>
            </w:tcBorders>
            <w:shd w:val="clear" w:color="auto" w:fill="E6E7E8"/>
          </w:tcPr>
          <w:p>
            <w:pPr>
              <w:spacing w:after="0"/>
              <w:rPr>
                <w:sz w:val="18"/>
                <w:szCs w:val="18"/>
                <w:color w:val="auto"/>
              </w:rPr>
            </w:pPr>
          </w:p>
        </w:tc>
        <w:tc>
          <w:tcPr>
            <w:tcW w:w="20" w:type="dxa"/>
            <w:vAlign w:val="bottom"/>
            <w:tcBorders>
              <w:top w:val="single" w:sz="8" w:color="E6E7E8"/>
            </w:tcBorders>
            <w:shd w:val="clear" w:color="auto" w:fill="E6E7E8"/>
          </w:tcPr>
          <w:p>
            <w:pPr>
              <w:spacing w:after="0"/>
              <w:rPr>
                <w:sz w:val="18"/>
                <w:szCs w:val="18"/>
                <w:color w:val="auto"/>
              </w:rPr>
            </w:pPr>
          </w:p>
        </w:tc>
        <w:tc>
          <w:tcPr>
            <w:tcW w:w="260" w:type="dxa"/>
            <w:vAlign w:val="bottom"/>
            <w:tcBorders>
              <w:top w:val="single" w:sz="8" w:color="231F20"/>
            </w:tcBorders>
            <w:shd w:val="clear" w:color="auto" w:fill="E6E7E8"/>
          </w:tcPr>
          <w:p>
            <w:pPr>
              <w:spacing w:after="0"/>
              <w:rPr>
                <w:sz w:val="18"/>
                <w:szCs w:val="18"/>
                <w:color w:val="auto"/>
              </w:rPr>
            </w:pPr>
          </w:p>
        </w:tc>
        <w:tc>
          <w:tcPr>
            <w:tcW w:w="920" w:type="dxa"/>
            <w:vAlign w:val="bottom"/>
            <w:tcBorders>
              <w:top w:val="single" w:sz="8" w:color="231F20"/>
            </w:tcBorders>
            <w:shd w:val="clear" w:color="auto" w:fill="E6E7E8"/>
          </w:tcPr>
          <w:p>
            <w:pPr>
              <w:spacing w:after="0"/>
              <w:rPr>
                <w:sz w:val="18"/>
                <w:szCs w:val="18"/>
                <w:color w:val="auto"/>
              </w:rPr>
            </w:pPr>
          </w:p>
        </w:tc>
        <w:tc>
          <w:tcPr>
            <w:tcW w:w="20" w:type="dxa"/>
            <w:vAlign w:val="bottom"/>
            <w:tcBorders>
              <w:top w:val="single" w:sz="8" w:color="231F20"/>
            </w:tcBorders>
            <w:shd w:val="clear" w:color="auto" w:fill="E6E7E8"/>
          </w:tcPr>
          <w:p>
            <w:pPr>
              <w:spacing w:after="0"/>
              <w:rPr>
                <w:sz w:val="18"/>
                <w:szCs w:val="18"/>
                <w:color w:val="auto"/>
              </w:rPr>
            </w:pPr>
          </w:p>
        </w:tc>
        <w:tc>
          <w:tcPr>
            <w:tcW w:w="60" w:type="dxa"/>
            <w:vAlign w:val="bottom"/>
            <w:tcBorders>
              <w:top w:val="single" w:sz="8" w:color="E6E7E8"/>
            </w:tcBorders>
            <w:shd w:val="clear" w:color="auto" w:fill="E6E7E8"/>
          </w:tcPr>
          <w:p>
            <w:pPr>
              <w:spacing w:after="0"/>
              <w:rPr>
                <w:sz w:val="18"/>
                <w:szCs w:val="18"/>
                <w:color w:val="auto"/>
              </w:rPr>
            </w:pPr>
          </w:p>
        </w:tc>
      </w:tr>
      <w:tr>
        <w:trPr>
          <w:trHeight w:val="218"/>
        </w:trPr>
        <w:tc>
          <w:tcPr>
            <w:tcW w:w="476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Residential</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231F20"/>
                <w:w w:val="83"/>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135.0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85"/>
              <w:spacing w:after="0"/>
              <w:rPr>
                <w:sz w:val="20"/>
                <w:szCs w:val="20"/>
                <w:color w:val="auto"/>
              </w:rPr>
            </w:pPr>
            <w:r>
              <w:rPr>
                <w:rFonts w:ascii="Times New Roman" w:cs="Times New Roman" w:eastAsia="Times New Roman" w:hAnsi="Times New Roman"/>
                <w:sz w:val="19"/>
                <w:szCs w:val="19"/>
                <w:color w:val="231F20"/>
                <w:w w:val="83"/>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92.6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231F20"/>
                <w:w w:val="83"/>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227.6</w:t>
            </w:r>
          </w:p>
        </w:tc>
        <w:tc>
          <w:tcPr>
            <w:tcW w:w="60" w:type="dxa"/>
            <w:vAlign w:val="bottom"/>
          </w:tcPr>
          <w:p>
            <w:pPr>
              <w:spacing w:after="0"/>
              <w:rPr>
                <w:sz w:val="19"/>
                <w:szCs w:val="19"/>
                <w:color w:val="auto"/>
              </w:rPr>
            </w:pPr>
          </w:p>
        </w:tc>
      </w:tr>
      <w:tr>
        <w:trPr>
          <w:trHeight w:val="218"/>
        </w:trPr>
        <w:tc>
          <w:tcPr>
            <w:tcW w:w="476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Commercial &amp; Industrial</w:t>
            </w:r>
          </w:p>
        </w:tc>
        <w:tc>
          <w:tcPr>
            <w:tcW w:w="84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c>
          <w:tcPr>
            <w:tcW w:w="1100" w:type="dxa"/>
            <w:vAlign w:val="bottom"/>
            <w:gridSpan w:val="3"/>
            <w:shd w:val="clear" w:color="auto" w:fill="E6E7E8"/>
          </w:tcPr>
          <w:p>
            <w:pPr>
              <w:jc w:val="right"/>
              <w:ind w:right="20"/>
              <w:spacing w:after="0"/>
              <w:rPr>
                <w:sz w:val="20"/>
                <w:szCs w:val="20"/>
                <w:color w:val="auto"/>
              </w:rPr>
            </w:pPr>
            <w:r>
              <w:rPr>
                <w:rFonts w:ascii="Times New Roman" w:cs="Times New Roman" w:eastAsia="Times New Roman" w:hAnsi="Times New Roman"/>
                <w:sz w:val="19"/>
                <w:szCs w:val="19"/>
                <w:color w:val="231F20"/>
              </w:rPr>
              <w:t>103.4</w:t>
            </w:r>
          </w:p>
        </w:tc>
        <w:tc>
          <w:tcPr>
            <w:tcW w:w="10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280" w:type="dxa"/>
            <w:vAlign w:val="bottom"/>
            <w:shd w:val="clear" w:color="auto" w:fill="E6E7E8"/>
          </w:tcPr>
          <w:p>
            <w:pPr>
              <w:spacing w:after="0"/>
              <w:rPr>
                <w:sz w:val="19"/>
                <w:szCs w:val="19"/>
                <w:color w:val="auto"/>
              </w:rPr>
            </w:pPr>
          </w:p>
        </w:tc>
        <w:tc>
          <w:tcPr>
            <w:tcW w:w="1120" w:type="dxa"/>
            <w:vAlign w:val="bottom"/>
            <w:gridSpan w:val="3"/>
            <w:shd w:val="clear" w:color="auto" w:fill="E6E7E8"/>
          </w:tcPr>
          <w:p>
            <w:pPr>
              <w:jc w:val="right"/>
              <w:ind w:right="200"/>
              <w:spacing w:after="0"/>
              <w:rPr>
                <w:sz w:val="20"/>
                <w:szCs w:val="20"/>
                <w:color w:val="auto"/>
              </w:rPr>
            </w:pPr>
            <w:r>
              <w:rPr>
                <w:rFonts w:ascii="Times New Roman" w:cs="Times New Roman" w:eastAsia="Times New Roman" w:hAnsi="Times New Roman"/>
                <w:sz w:val="19"/>
                <w:szCs w:val="19"/>
                <w:color w:val="231F20"/>
              </w:rPr>
              <w:t>133.5</w:t>
            </w:r>
          </w:p>
        </w:tc>
        <w:tc>
          <w:tcPr>
            <w:tcW w:w="20" w:type="dxa"/>
            <w:vAlign w:val="bottom"/>
            <w:shd w:val="clear" w:color="auto" w:fill="E6E7E8"/>
          </w:tcPr>
          <w:p>
            <w:pPr>
              <w:spacing w:after="0"/>
              <w:rPr>
                <w:sz w:val="19"/>
                <w:szCs w:val="19"/>
                <w:color w:val="auto"/>
              </w:rPr>
            </w:pPr>
          </w:p>
        </w:tc>
        <w:tc>
          <w:tcPr>
            <w:tcW w:w="260" w:type="dxa"/>
            <w:vAlign w:val="bottom"/>
            <w:shd w:val="clear" w:color="auto" w:fill="E6E7E8"/>
          </w:tcPr>
          <w:p>
            <w:pPr>
              <w:spacing w:after="0"/>
              <w:rPr>
                <w:sz w:val="19"/>
                <w:szCs w:val="19"/>
                <w:color w:val="auto"/>
              </w:rPr>
            </w:pPr>
          </w:p>
        </w:tc>
        <w:tc>
          <w:tcPr>
            <w:tcW w:w="1000" w:type="dxa"/>
            <w:vAlign w:val="bottom"/>
            <w:gridSpan w:val="3"/>
            <w:shd w:val="clear" w:color="auto" w:fill="E6E7E8"/>
          </w:tcPr>
          <w:p>
            <w:pPr>
              <w:jc w:val="right"/>
              <w:ind w:right="60"/>
              <w:spacing w:after="0"/>
              <w:rPr>
                <w:sz w:val="20"/>
                <w:szCs w:val="20"/>
                <w:color w:val="auto"/>
              </w:rPr>
            </w:pPr>
            <w:r>
              <w:rPr>
                <w:rFonts w:ascii="Times New Roman" w:cs="Times New Roman" w:eastAsia="Times New Roman" w:hAnsi="Times New Roman"/>
                <w:sz w:val="19"/>
                <w:szCs w:val="19"/>
                <w:color w:val="231F20"/>
              </w:rPr>
              <w:t>236.9</w:t>
            </w:r>
          </w:p>
        </w:tc>
      </w:tr>
      <w:tr>
        <w:trPr>
          <w:trHeight w:val="218"/>
        </w:trPr>
        <w:tc>
          <w:tcPr>
            <w:tcW w:w="4760" w:type="dxa"/>
            <w:vAlign w:val="bottom"/>
            <w:tcBorders>
              <w:bottom w:val="single" w:sz="8" w:color="E6E7E8"/>
            </w:tcBorders>
          </w:tcPr>
          <w:p>
            <w:pPr>
              <w:ind w:left="200"/>
              <w:spacing w:after="0"/>
              <w:rPr>
                <w:sz w:val="20"/>
                <w:szCs w:val="20"/>
                <w:color w:val="auto"/>
              </w:rPr>
            </w:pPr>
            <w:r>
              <w:rPr>
                <w:rFonts w:ascii="Times New Roman" w:cs="Times New Roman" w:eastAsia="Times New Roman" w:hAnsi="Times New Roman"/>
                <w:sz w:val="19"/>
                <w:szCs w:val="19"/>
                <w:color w:val="231F20"/>
              </w:rPr>
              <w:t>Other</w:t>
            </w:r>
          </w:p>
        </w:tc>
        <w:tc>
          <w:tcPr>
            <w:tcW w:w="840" w:type="dxa"/>
            <w:vAlign w:val="bottom"/>
            <w:tcBorders>
              <w:bottom w:val="single" w:sz="8" w:color="E6E7E8"/>
            </w:tcBorders>
          </w:tcPr>
          <w:p>
            <w:pPr>
              <w:spacing w:after="0"/>
              <w:rPr>
                <w:sz w:val="19"/>
                <w:szCs w:val="19"/>
                <w:color w:val="auto"/>
              </w:rPr>
            </w:pPr>
          </w:p>
        </w:tc>
        <w:tc>
          <w:tcPr>
            <w:tcW w:w="20" w:type="dxa"/>
            <w:vAlign w:val="bottom"/>
            <w:tcBorders>
              <w:bottom w:val="single" w:sz="8" w:color="E6E7E8"/>
            </w:tcBorders>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9"/>
                <w:szCs w:val="19"/>
                <w:color w:val="231F20"/>
              </w:rPr>
              <w:t>10.4</w:t>
            </w:r>
          </w:p>
        </w:tc>
        <w:tc>
          <w:tcPr>
            <w:tcW w:w="100" w:type="dxa"/>
            <w:vAlign w:val="bottom"/>
            <w:tcBorders>
              <w:bottom w:val="single" w:sz="8" w:color="E6E7E8"/>
            </w:tcBorders>
          </w:tcPr>
          <w:p>
            <w:pPr>
              <w:spacing w:after="0"/>
              <w:rPr>
                <w:sz w:val="19"/>
                <w:szCs w:val="19"/>
                <w:color w:val="auto"/>
              </w:rPr>
            </w:pPr>
          </w:p>
        </w:tc>
        <w:tc>
          <w:tcPr>
            <w:tcW w:w="100" w:type="dxa"/>
            <w:vAlign w:val="bottom"/>
            <w:tcBorders>
              <w:bottom w:val="single" w:sz="8" w:color="E6E7E8"/>
            </w:tcBorders>
          </w:tcPr>
          <w:p>
            <w:pPr>
              <w:spacing w:after="0"/>
              <w:rPr>
                <w:sz w:val="19"/>
                <w:szCs w:val="19"/>
                <w:color w:val="auto"/>
              </w:rPr>
            </w:pPr>
          </w:p>
        </w:tc>
        <w:tc>
          <w:tcPr>
            <w:tcW w:w="20" w:type="dxa"/>
            <w:vAlign w:val="bottom"/>
            <w:tcBorders>
              <w:bottom w:val="single" w:sz="8" w:color="E6E7E8"/>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9"/>
                <w:szCs w:val="19"/>
                <w:color w:val="231F20"/>
              </w:rPr>
              <w:t>9.7</w:t>
            </w:r>
          </w:p>
        </w:tc>
        <w:tc>
          <w:tcPr>
            <w:tcW w:w="200" w:type="dxa"/>
            <w:vAlign w:val="bottom"/>
            <w:tcBorders>
              <w:bottom w:val="single" w:sz="8" w:color="E6E7E8"/>
            </w:tcBorders>
          </w:tcPr>
          <w:p>
            <w:pPr>
              <w:spacing w:after="0"/>
              <w:rPr>
                <w:sz w:val="19"/>
                <w:szCs w:val="19"/>
                <w:color w:val="auto"/>
              </w:rPr>
            </w:pPr>
          </w:p>
        </w:tc>
        <w:tc>
          <w:tcPr>
            <w:tcW w:w="20" w:type="dxa"/>
            <w:vAlign w:val="bottom"/>
            <w:tcBorders>
              <w:bottom w:val="single" w:sz="8" w:color="E6E7E8"/>
            </w:tcBorders>
          </w:tcPr>
          <w:p>
            <w:pPr>
              <w:spacing w:after="0"/>
              <w:rPr>
                <w:sz w:val="19"/>
                <w:szCs w:val="19"/>
                <w:color w:val="auto"/>
              </w:rPr>
            </w:pPr>
          </w:p>
        </w:tc>
        <w:tc>
          <w:tcPr>
            <w:tcW w:w="260" w:type="dxa"/>
            <w:vAlign w:val="bottom"/>
            <w:tcBorders>
              <w:bottom w:val="single" w:sz="8" w:color="231F20"/>
            </w:tcBorders>
          </w:tcPr>
          <w:p>
            <w:pPr>
              <w:spacing w:after="0"/>
              <w:rPr>
                <w:sz w:val="19"/>
                <w:szCs w:val="19"/>
                <w:color w:val="auto"/>
              </w:rPr>
            </w:pPr>
          </w:p>
        </w:tc>
        <w:tc>
          <w:tcPr>
            <w:tcW w:w="94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9"/>
                <w:szCs w:val="19"/>
                <w:color w:val="231F20"/>
              </w:rPr>
              <w:t>20.1</w:t>
            </w:r>
          </w:p>
        </w:tc>
        <w:tc>
          <w:tcPr>
            <w:tcW w:w="60" w:type="dxa"/>
            <w:vAlign w:val="bottom"/>
            <w:tcBorders>
              <w:bottom w:val="single" w:sz="8" w:color="E6E7E8"/>
            </w:tcBorders>
          </w:tcPr>
          <w:p>
            <w:pPr>
              <w:spacing w:after="0"/>
              <w:rPr>
                <w:sz w:val="19"/>
                <w:szCs w:val="19"/>
                <w:color w:val="auto"/>
              </w:rPr>
            </w:pPr>
          </w:p>
        </w:tc>
      </w:tr>
      <w:tr>
        <w:trPr>
          <w:trHeight w:val="214"/>
        </w:trPr>
        <w:tc>
          <w:tcPr>
            <w:tcW w:w="4760" w:type="dxa"/>
            <w:vAlign w:val="bottom"/>
            <w:shd w:val="clear" w:color="auto" w:fill="E6E7E8"/>
          </w:tcPr>
          <w:p>
            <w:pPr>
              <w:ind w:left="600"/>
              <w:spacing w:after="0" w:line="214" w:lineRule="exact"/>
              <w:rPr>
                <w:sz w:val="20"/>
                <w:szCs w:val="20"/>
                <w:color w:val="auto"/>
              </w:rPr>
            </w:pPr>
            <w:r>
              <w:rPr>
                <w:rFonts w:ascii="Times New Roman" w:cs="Times New Roman" w:eastAsia="Times New Roman" w:hAnsi="Times New Roman"/>
                <w:sz w:val="19"/>
                <w:szCs w:val="19"/>
                <w:color w:val="231F20"/>
              </w:rPr>
              <w:t>Total Billed and Unbilled Revenue</w:t>
            </w:r>
          </w:p>
        </w:tc>
        <w:tc>
          <w:tcPr>
            <w:tcW w:w="840" w:type="dxa"/>
            <w:vAlign w:val="bottom"/>
            <w:shd w:val="clear" w:color="auto" w:fill="E6E7E8"/>
          </w:tcPr>
          <w:p>
            <w:pPr>
              <w:spacing w:after="0"/>
              <w:rPr>
                <w:sz w:val="18"/>
                <w:szCs w:val="18"/>
                <w:color w:val="auto"/>
              </w:rPr>
            </w:pPr>
          </w:p>
        </w:tc>
        <w:tc>
          <w:tcPr>
            <w:tcW w:w="20" w:type="dxa"/>
            <w:vAlign w:val="bottom"/>
            <w:shd w:val="clear" w:color="auto" w:fill="E6E7E8"/>
          </w:tcPr>
          <w:p>
            <w:pPr>
              <w:spacing w:after="0"/>
              <w:rPr>
                <w:sz w:val="18"/>
                <w:szCs w:val="18"/>
                <w:color w:val="auto"/>
              </w:rPr>
            </w:pPr>
          </w:p>
        </w:tc>
        <w:tc>
          <w:tcPr>
            <w:tcW w:w="200" w:type="dxa"/>
            <w:vAlign w:val="bottom"/>
            <w:shd w:val="clear" w:color="auto" w:fill="E6E7E8"/>
          </w:tcPr>
          <w:p>
            <w:pPr>
              <w:spacing w:after="0"/>
              <w:rPr>
                <w:sz w:val="18"/>
                <w:szCs w:val="18"/>
                <w:color w:val="auto"/>
              </w:rPr>
            </w:pPr>
          </w:p>
        </w:tc>
        <w:tc>
          <w:tcPr>
            <w:tcW w:w="1000" w:type="dxa"/>
            <w:vAlign w:val="bottom"/>
            <w:gridSpan w:val="2"/>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248.8</w:t>
            </w:r>
          </w:p>
        </w:tc>
        <w:tc>
          <w:tcPr>
            <w:tcW w:w="100" w:type="dxa"/>
            <w:vAlign w:val="bottom"/>
            <w:shd w:val="clear" w:color="auto" w:fill="E6E7E8"/>
          </w:tcPr>
          <w:p>
            <w:pPr>
              <w:spacing w:after="0"/>
              <w:rPr>
                <w:sz w:val="18"/>
                <w:szCs w:val="18"/>
                <w:color w:val="auto"/>
              </w:rPr>
            </w:pPr>
          </w:p>
        </w:tc>
        <w:tc>
          <w:tcPr>
            <w:tcW w:w="100" w:type="dxa"/>
            <w:vAlign w:val="bottom"/>
            <w:shd w:val="clear" w:color="auto" w:fill="E6E7E8"/>
          </w:tcPr>
          <w:p>
            <w:pPr>
              <w:spacing w:after="0"/>
              <w:rPr>
                <w:sz w:val="18"/>
                <w:szCs w:val="18"/>
                <w:color w:val="auto"/>
              </w:rPr>
            </w:pPr>
          </w:p>
        </w:tc>
        <w:tc>
          <w:tcPr>
            <w:tcW w:w="20" w:type="dxa"/>
            <w:vAlign w:val="bottom"/>
            <w:shd w:val="clear" w:color="auto" w:fill="E6E7E8"/>
          </w:tcPr>
          <w:p>
            <w:pPr>
              <w:spacing w:after="0"/>
              <w:rPr>
                <w:sz w:val="18"/>
                <w:szCs w:val="18"/>
                <w:color w:val="auto"/>
              </w:rPr>
            </w:pPr>
          </w:p>
        </w:tc>
        <w:tc>
          <w:tcPr>
            <w:tcW w:w="280" w:type="dxa"/>
            <w:vAlign w:val="bottom"/>
            <w:shd w:val="clear" w:color="auto" w:fill="E6E7E8"/>
          </w:tcPr>
          <w:p>
            <w:pPr>
              <w:spacing w:after="0"/>
              <w:rPr>
                <w:sz w:val="18"/>
                <w:szCs w:val="18"/>
                <w:color w:val="auto"/>
              </w:rPr>
            </w:pPr>
          </w:p>
        </w:tc>
        <w:tc>
          <w:tcPr>
            <w:tcW w:w="920" w:type="dxa"/>
            <w:vAlign w:val="bottom"/>
            <w:gridSpan w:val="2"/>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235.8</w:t>
            </w:r>
          </w:p>
        </w:tc>
        <w:tc>
          <w:tcPr>
            <w:tcW w:w="200" w:type="dxa"/>
            <w:vAlign w:val="bottom"/>
            <w:shd w:val="clear" w:color="auto" w:fill="E6E7E8"/>
          </w:tcPr>
          <w:p>
            <w:pPr>
              <w:spacing w:after="0"/>
              <w:rPr>
                <w:sz w:val="18"/>
                <w:szCs w:val="18"/>
                <w:color w:val="auto"/>
              </w:rPr>
            </w:pPr>
          </w:p>
        </w:tc>
        <w:tc>
          <w:tcPr>
            <w:tcW w:w="20" w:type="dxa"/>
            <w:vAlign w:val="bottom"/>
            <w:shd w:val="clear" w:color="auto" w:fill="E6E7E8"/>
          </w:tcPr>
          <w:p>
            <w:pPr>
              <w:spacing w:after="0"/>
              <w:rPr>
                <w:sz w:val="18"/>
                <w:szCs w:val="18"/>
                <w:color w:val="auto"/>
              </w:rPr>
            </w:pPr>
          </w:p>
        </w:tc>
        <w:tc>
          <w:tcPr>
            <w:tcW w:w="260" w:type="dxa"/>
            <w:vAlign w:val="bottom"/>
            <w:shd w:val="clear" w:color="auto" w:fill="E6E7E8"/>
          </w:tcPr>
          <w:p>
            <w:pPr>
              <w:spacing w:after="0"/>
              <w:rPr>
                <w:sz w:val="18"/>
                <w:szCs w:val="18"/>
                <w:color w:val="auto"/>
              </w:rPr>
            </w:pPr>
          </w:p>
        </w:tc>
        <w:tc>
          <w:tcPr>
            <w:tcW w:w="940" w:type="dxa"/>
            <w:vAlign w:val="bottom"/>
            <w:gridSpan w:val="2"/>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484.6</w:t>
            </w:r>
          </w:p>
        </w:tc>
        <w:tc>
          <w:tcPr>
            <w:tcW w:w="60" w:type="dxa"/>
            <w:vAlign w:val="bottom"/>
            <w:shd w:val="clear" w:color="auto" w:fill="E6E7E8"/>
          </w:tcPr>
          <w:p>
            <w:pPr>
              <w:spacing w:after="0"/>
              <w:rPr>
                <w:sz w:val="18"/>
                <w:szCs w:val="18"/>
                <w:color w:val="auto"/>
              </w:rPr>
            </w:pPr>
          </w:p>
        </w:tc>
      </w:tr>
      <w:tr>
        <w:trPr>
          <w:trHeight w:val="218"/>
        </w:trPr>
        <w:tc>
          <w:tcPr>
            <w:tcW w:w="4760" w:type="dxa"/>
            <w:vAlign w:val="bottom"/>
          </w:tcPr>
          <w:p>
            <w:pPr>
              <w:spacing w:after="0"/>
              <w:rPr>
                <w:sz w:val="20"/>
                <w:szCs w:val="20"/>
                <w:color w:val="auto"/>
              </w:rPr>
            </w:pPr>
            <w:r>
              <w:rPr>
                <w:rFonts w:ascii="Times New Roman" w:cs="Times New Roman" w:eastAsia="Times New Roman" w:hAnsi="Times New Roman"/>
                <w:sz w:val="19"/>
                <w:szCs w:val="19"/>
                <w:color w:val="231F20"/>
              </w:rPr>
              <w:t>Rate Adjustment Mechanism Revenue</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231F20"/>
              </w:rPr>
              <w:t>(0.5)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10.7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10.2</w:t>
            </w:r>
          </w:p>
        </w:tc>
        <w:tc>
          <w:tcPr>
            <w:tcW w:w="60" w:type="dxa"/>
            <w:vAlign w:val="bottom"/>
          </w:tcPr>
          <w:p>
            <w:pPr>
              <w:spacing w:after="0"/>
              <w:rPr>
                <w:sz w:val="18"/>
                <w:szCs w:val="18"/>
                <w:color w:val="auto"/>
              </w:rPr>
            </w:pPr>
          </w:p>
        </w:tc>
      </w:tr>
      <w:tr>
        <w:trPr>
          <w:trHeight w:val="234"/>
        </w:trPr>
        <w:tc>
          <w:tcPr>
            <w:tcW w:w="4760" w:type="dxa"/>
            <w:vAlign w:val="bottom"/>
            <w:tcBorders>
              <w:top w:val="single" w:sz="8" w:color="E6E7E8"/>
              <w:bottom w:val="single" w:sz="8" w:color="E6E7E8"/>
            </w:tcBorders>
            <w:shd w:val="clear" w:color="auto" w:fill="E6E7E8"/>
          </w:tcPr>
          <w:p>
            <w:pPr>
              <w:ind w:left="400"/>
              <w:spacing w:after="0" w:line="214" w:lineRule="exact"/>
              <w:rPr>
                <w:sz w:val="20"/>
                <w:szCs w:val="20"/>
                <w:color w:val="auto"/>
              </w:rPr>
            </w:pPr>
            <w:r>
              <w:rPr>
                <w:rFonts w:ascii="Times New Roman" w:cs="Times New Roman" w:eastAsia="Times New Roman" w:hAnsi="Times New Roman"/>
                <w:sz w:val="19"/>
                <w:szCs w:val="19"/>
                <w:b w:val="1"/>
                <w:bCs w:val="1"/>
                <w:color w:val="231F20"/>
              </w:rPr>
              <w:t>Total Electric and Gas Operating Revenues</w:t>
            </w:r>
          </w:p>
        </w:tc>
        <w:tc>
          <w:tcPr>
            <w:tcW w:w="840" w:type="dxa"/>
            <w:vAlign w:val="bottom"/>
            <w:tcBorders>
              <w:top w:val="single" w:sz="8" w:color="E6E7E8"/>
              <w:bottom w:val="single" w:sz="8" w:color="E6E7E8"/>
            </w:tcBorders>
            <w:shd w:val="clear" w:color="auto" w:fill="E6E7E8"/>
          </w:tcPr>
          <w:p>
            <w:pPr>
              <w:spacing w:after="0"/>
              <w:rPr>
                <w:sz w:val="20"/>
                <w:szCs w:val="20"/>
                <w:color w:val="auto"/>
              </w:rPr>
            </w:pPr>
          </w:p>
        </w:tc>
        <w:tc>
          <w:tcPr>
            <w:tcW w:w="20" w:type="dxa"/>
            <w:vAlign w:val="bottom"/>
            <w:tcBorders>
              <w:top w:val="single" w:sz="8" w:color="E6E7E8"/>
              <w:bottom w:val="single" w:sz="8" w:color="E6E7E8"/>
            </w:tcBorders>
            <w:shd w:val="clear" w:color="auto" w:fill="E6E7E8"/>
          </w:tcPr>
          <w:p>
            <w:pPr>
              <w:spacing w:after="0"/>
              <w:rPr>
                <w:sz w:val="20"/>
                <w:szCs w:val="20"/>
                <w:color w:val="auto"/>
              </w:rPr>
            </w:pPr>
          </w:p>
        </w:tc>
        <w:tc>
          <w:tcPr>
            <w:tcW w:w="200" w:type="dxa"/>
            <w:vAlign w:val="bottom"/>
            <w:tcBorders>
              <w:top w:val="single" w:sz="8" w:color="231F20"/>
              <w:bottom w:val="single" w:sz="8" w:color="231F20"/>
            </w:tcBorders>
            <w:shd w:val="clear" w:color="auto" w:fill="E6E7E8"/>
          </w:tcPr>
          <w:p>
            <w:pPr>
              <w:jc w:val="right"/>
              <w:ind w:right="5"/>
              <w:spacing w:after="0" w:line="214" w:lineRule="exact"/>
              <w:rPr>
                <w:sz w:val="20"/>
                <w:szCs w:val="20"/>
                <w:color w:val="auto"/>
              </w:rPr>
            </w:pPr>
            <w:r>
              <w:rPr>
                <w:rFonts w:ascii="Times New Roman" w:cs="Times New Roman" w:eastAsia="Times New Roman" w:hAnsi="Times New Roman"/>
                <w:sz w:val="19"/>
                <w:szCs w:val="19"/>
                <w:b w:val="1"/>
                <w:bCs w:val="1"/>
                <w:color w:val="231F20"/>
                <w:w w:val="83"/>
              </w:rPr>
              <w:t>$</w:t>
            </w:r>
          </w:p>
        </w:tc>
        <w:tc>
          <w:tcPr>
            <w:tcW w:w="1000" w:type="dxa"/>
            <w:vAlign w:val="bottom"/>
            <w:tcBorders>
              <w:top w:val="single" w:sz="8" w:color="231F20"/>
              <w:bottom w:val="single" w:sz="8" w:color="231F20"/>
            </w:tcBorders>
            <w:gridSpan w:val="2"/>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248.3</w:t>
            </w:r>
          </w:p>
        </w:tc>
        <w:tc>
          <w:tcPr>
            <w:tcW w:w="100" w:type="dxa"/>
            <w:vAlign w:val="bottom"/>
            <w:tcBorders>
              <w:top w:val="single" w:sz="8" w:color="E6E7E8"/>
              <w:bottom w:val="single" w:sz="8" w:color="E6E7E8"/>
            </w:tcBorders>
            <w:shd w:val="clear" w:color="auto" w:fill="E6E7E8"/>
          </w:tcPr>
          <w:p>
            <w:pPr>
              <w:spacing w:after="0"/>
              <w:rPr>
                <w:sz w:val="20"/>
                <w:szCs w:val="20"/>
                <w:color w:val="auto"/>
              </w:rPr>
            </w:pPr>
          </w:p>
        </w:tc>
        <w:tc>
          <w:tcPr>
            <w:tcW w:w="100" w:type="dxa"/>
            <w:vAlign w:val="bottom"/>
            <w:tcBorders>
              <w:top w:val="single" w:sz="8" w:color="E6E7E8"/>
              <w:bottom w:val="single" w:sz="8" w:color="E6E7E8"/>
            </w:tcBorders>
            <w:shd w:val="clear" w:color="auto" w:fill="E6E7E8"/>
          </w:tcPr>
          <w:p>
            <w:pPr>
              <w:spacing w:after="0"/>
              <w:rPr>
                <w:sz w:val="20"/>
                <w:szCs w:val="20"/>
                <w:color w:val="auto"/>
              </w:rPr>
            </w:pPr>
          </w:p>
        </w:tc>
        <w:tc>
          <w:tcPr>
            <w:tcW w:w="20" w:type="dxa"/>
            <w:vAlign w:val="bottom"/>
            <w:tcBorders>
              <w:top w:val="single" w:sz="8" w:color="E6E7E8"/>
              <w:bottom w:val="single" w:sz="8" w:color="E6E7E8"/>
            </w:tcBorders>
            <w:shd w:val="clear" w:color="auto" w:fill="E6E7E8"/>
          </w:tcPr>
          <w:p>
            <w:pPr>
              <w:spacing w:after="0"/>
              <w:rPr>
                <w:sz w:val="20"/>
                <w:szCs w:val="20"/>
                <w:color w:val="auto"/>
              </w:rPr>
            </w:pPr>
          </w:p>
        </w:tc>
        <w:tc>
          <w:tcPr>
            <w:tcW w:w="280" w:type="dxa"/>
            <w:vAlign w:val="bottom"/>
            <w:tcBorders>
              <w:top w:val="single" w:sz="8" w:color="231F20"/>
              <w:bottom w:val="single" w:sz="8" w:color="231F20"/>
            </w:tcBorders>
            <w:shd w:val="clear" w:color="auto" w:fill="E6E7E8"/>
          </w:tcPr>
          <w:p>
            <w:pPr>
              <w:jc w:val="right"/>
              <w:ind w:right="85"/>
              <w:spacing w:after="0" w:line="214" w:lineRule="exact"/>
              <w:rPr>
                <w:sz w:val="20"/>
                <w:szCs w:val="20"/>
                <w:color w:val="auto"/>
              </w:rPr>
            </w:pPr>
            <w:r>
              <w:rPr>
                <w:rFonts w:ascii="Times New Roman" w:cs="Times New Roman" w:eastAsia="Times New Roman" w:hAnsi="Times New Roman"/>
                <w:sz w:val="19"/>
                <w:szCs w:val="19"/>
                <w:b w:val="1"/>
                <w:bCs w:val="1"/>
                <w:color w:val="231F20"/>
                <w:w w:val="83"/>
              </w:rPr>
              <w:t>$</w:t>
            </w:r>
          </w:p>
        </w:tc>
        <w:tc>
          <w:tcPr>
            <w:tcW w:w="920" w:type="dxa"/>
            <w:vAlign w:val="bottom"/>
            <w:tcBorders>
              <w:top w:val="single" w:sz="8" w:color="231F20"/>
              <w:bottom w:val="single" w:sz="8" w:color="231F20"/>
            </w:tcBorders>
            <w:gridSpan w:val="2"/>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246.5</w:t>
            </w:r>
          </w:p>
        </w:tc>
        <w:tc>
          <w:tcPr>
            <w:tcW w:w="200" w:type="dxa"/>
            <w:vAlign w:val="bottom"/>
            <w:tcBorders>
              <w:top w:val="single" w:sz="8" w:color="E6E7E8"/>
              <w:bottom w:val="single" w:sz="8" w:color="E6E7E8"/>
            </w:tcBorders>
            <w:shd w:val="clear" w:color="auto" w:fill="E6E7E8"/>
          </w:tcPr>
          <w:p>
            <w:pPr>
              <w:spacing w:after="0"/>
              <w:rPr>
                <w:sz w:val="20"/>
                <w:szCs w:val="20"/>
                <w:color w:val="auto"/>
              </w:rPr>
            </w:pPr>
          </w:p>
        </w:tc>
        <w:tc>
          <w:tcPr>
            <w:tcW w:w="20" w:type="dxa"/>
            <w:vAlign w:val="bottom"/>
            <w:tcBorders>
              <w:top w:val="single" w:sz="8" w:color="E6E7E8"/>
              <w:bottom w:val="single" w:sz="8" w:color="E6E7E8"/>
            </w:tcBorders>
            <w:shd w:val="clear" w:color="auto" w:fill="E6E7E8"/>
          </w:tcPr>
          <w:p>
            <w:pPr>
              <w:spacing w:after="0"/>
              <w:rPr>
                <w:sz w:val="20"/>
                <w:szCs w:val="20"/>
                <w:color w:val="auto"/>
              </w:rPr>
            </w:pPr>
          </w:p>
        </w:tc>
        <w:tc>
          <w:tcPr>
            <w:tcW w:w="260" w:type="dxa"/>
            <w:vAlign w:val="bottom"/>
            <w:tcBorders>
              <w:top w:val="single" w:sz="8" w:color="231F20"/>
              <w:bottom w:val="single" w:sz="8" w:color="231F20"/>
            </w:tcBorders>
            <w:shd w:val="clear" w:color="auto" w:fill="E6E7E8"/>
          </w:tcPr>
          <w:p>
            <w:pPr>
              <w:jc w:val="right"/>
              <w:ind w:right="65"/>
              <w:spacing w:after="0" w:line="214" w:lineRule="exact"/>
              <w:rPr>
                <w:sz w:val="20"/>
                <w:szCs w:val="20"/>
                <w:color w:val="auto"/>
              </w:rPr>
            </w:pPr>
            <w:r>
              <w:rPr>
                <w:rFonts w:ascii="Times New Roman" w:cs="Times New Roman" w:eastAsia="Times New Roman" w:hAnsi="Times New Roman"/>
                <w:sz w:val="19"/>
                <w:szCs w:val="19"/>
                <w:b w:val="1"/>
                <w:bCs w:val="1"/>
                <w:color w:val="231F20"/>
                <w:w w:val="83"/>
              </w:rPr>
              <w:t>$</w:t>
            </w:r>
          </w:p>
        </w:tc>
        <w:tc>
          <w:tcPr>
            <w:tcW w:w="940" w:type="dxa"/>
            <w:vAlign w:val="bottom"/>
            <w:tcBorders>
              <w:top w:val="single" w:sz="8" w:color="231F20"/>
              <w:bottom w:val="single" w:sz="8" w:color="231F20"/>
            </w:tcBorders>
            <w:gridSpan w:val="2"/>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494.8</w:t>
            </w:r>
          </w:p>
        </w:tc>
        <w:tc>
          <w:tcPr>
            <w:tcW w:w="60" w:type="dxa"/>
            <w:vAlign w:val="bottom"/>
            <w:tcBorders>
              <w:top w:val="single" w:sz="8" w:color="E6E7E8"/>
              <w:bottom w:val="single" w:sz="8" w:color="E6E7E8"/>
            </w:tcBorders>
            <w:shd w:val="clear" w:color="auto" w:fill="E6E7E8"/>
          </w:tcPr>
          <w:p>
            <w:pPr>
              <w:spacing w:after="0"/>
              <w:rPr>
                <w:sz w:val="20"/>
                <w:szCs w:val="20"/>
                <w:color w:val="auto"/>
              </w:rPr>
            </w:pPr>
          </w:p>
        </w:tc>
      </w:tr>
      <w:tr>
        <w:trPr>
          <w:trHeight w:val="20"/>
        </w:trPr>
        <w:tc>
          <w:tcPr>
            <w:tcW w:w="4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6"/>
        </w:trPr>
        <w:tc>
          <w:tcPr>
            <w:tcW w:w="4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231F20"/>
              </w:rPr>
              <w:t>Twelve Months Ended</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9"/>
        </w:trPr>
        <w:tc>
          <w:tcPr>
            <w:tcW w:w="4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231F20"/>
                <w:w w:val="98"/>
              </w:rPr>
              <w:t>December 31, 2023</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76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Electric and Gas Operating Revenues (millions):</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231F20"/>
              </w:rPr>
              <w:t>Electric</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3"/>
          </w:tcPr>
          <w:p>
            <w:pPr>
              <w:jc w:val="center"/>
              <w:ind w:right="520"/>
              <w:spacing w:after="0"/>
              <w:rPr>
                <w:sz w:val="20"/>
                <w:szCs w:val="20"/>
                <w:color w:val="auto"/>
              </w:rPr>
            </w:pPr>
            <w:r>
              <w:rPr>
                <w:rFonts w:ascii="Times New Roman" w:cs="Times New Roman" w:eastAsia="Times New Roman" w:hAnsi="Times New Roman"/>
                <w:sz w:val="16"/>
                <w:szCs w:val="16"/>
                <w:b w:val="1"/>
                <w:bCs w:val="1"/>
                <w:color w:val="231F20"/>
              </w:rPr>
              <w:t>Gas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231F20"/>
              </w:rPr>
              <w:t>Total</w:t>
            </w:r>
          </w:p>
        </w:tc>
      </w:tr>
      <w:tr>
        <w:trPr>
          <w:trHeight w:val="214"/>
        </w:trPr>
        <w:tc>
          <w:tcPr>
            <w:tcW w:w="4760" w:type="dxa"/>
            <w:vAlign w:val="bottom"/>
            <w:tcBorders>
              <w:top w:val="single" w:sz="8" w:color="E6E7E8"/>
            </w:tcBorders>
            <w:shd w:val="clear" w:color="auto" w:fill="E6E7E8"/>
          </w:tcPr>
          <w:p>
            <w:pPr>
              <w:spacing w:after="0" w:line="214" w:lineRule="exact"/>
              <w:rPr>
                <w:sz w:val="20"/>
                <w:szCs w:val="20"/>
                <w:color w:val="auto"/>
              </w:rPr>
            </w:pPr>
            <w:r>
              <w:rPr>
                <w:rFonts w:ascii="Times New Roman" w:cs="Times New Roman" w:eastAsia="Times New Roman" w:hAnsi="Times New Roman"/>
                <w:sz w:val="19"/>
                <w:szCs w:val="19"/>
                <w:color w:val="231F20"/>
              </w:rPr>
              <w:t>Billed and Unbilled Revenue:</w:t>
            </w:r>
          </w:p>
        </w:tc>
        <w:tc>
          <w:tcPr>
            <w:tcW w:w="840" w:type="dxa"/>
            <w:vAlign w:val="bottom"/>
            <w:tcBorders>
              <w:top w:val="single" w:sz="8" w:color="E6E7E8"/>
            </w:tcBorders>
            <w:shd w:val="clear" w:color="auto" w:fill="E6E7E8"/>
          </w:tcPr>
          <w:p>
            <w:pPr>
              <w:spacing w:after="0"/>
              <w:rPr>
                <w:sz w:val="18"/>
                <w:szCs w:val="18"/>
                <w:color w:val="auto"/>
              </w:rPr>
            </w:pPr>
          </w:p>
        </w:tc>
        <w:tc>
          <w:tcPr>
            <w:tcW w:w="20" w:type="dxa"/>
            <w:vAlign w:val="bottom"/>
            <w:tcBorders>
              <w:top w:val="single" w:sz="8" w:color="231F20"/>
            </w:tcBorders>
            <w:shd w:val="clear" w:color="auto" w:fill="E6E7E8"/>
          </w:tcPr>
          <w:p>
            <w:pPr>
              <w:spacing w:after="0"/>
              <w:rPr>
                <w:sz w:val="18"/>
                <w:szCs w:val="18"/>
                <w:color w:val="auto"/>
              </w:rPr>
            </w:pPr>
          </w:p>
        </w:tc>
        <w:tc>
          <w:tcPr>
            <w:tcW w:w="200" w:type="dxa"/>
            <w:vAlign w:val="bottom"/>
            <w:tcBorders>
              <w:top w:val="single" w:sz="8" w:color="231F20"/>
            </w:tcBorders>
            <w:shd w:val="clear" w:color="auto" w:fill="E6E7E8"/>
          </w:tcPr>
          <w:p>
            <w:pPr>
              <w:spacing w:after="0"/>
              <w:rPr>
                <w:sz w:val="18"/>
                <w:szCs w:val="18"/>
                <w:color w:val="auto"/>
              </w:rPr>
            </w:pPr>
          </w:p>
        </w:tc>
        <w:tc>
          <w:tcPr>
            <w:tcW w:w="980" w:type="dxa"/>
            <w:vAlign w:val="bottom"/>
            <w:tcBorders>
              <w:top w:val="single" w:sz="8" w:color="231F20"/>
            </w:tcBorders>
            <w:shd w:val="clear" w:color="auto" w:fill="E6E7E8"/>
          </w:tcPr>
          <w:p>
            <w:pPr>
              <w:spacing w:after="0"/>
              <w:rPr>
                <w:sz w:val="18"/>
                <w:szCs w:val="18"/>
                <w:color w:val="auto"/>
              </w:rPr>
            </w:pPr>
          </w:p>
        </w:tc>
        <w:tc>
          <w:tcPr>
            <w:tcW w:w="20" w:type="dxa"/>
            <w:vAlign w:val="bottom"/>
            <w:tcBorders>
              <w:top w:val="single" w:sz="8" w:color="E6E7E8"/>
            </w:tcBorders>
            <w:shd w:val="clear" w:color="auto" w:fill="E6E7E8"/>
          </w:tcPr>
          <w:p>
            <w:pPr>
              <w:spacing w:after="0"/>
              <w:rPr>
                <w:sz w:val="18"/>
                <w:szCs w:val="18"/>
                <w:color w:val="auto"/>
              </w:rPr>
            </w:pPr>
          </w:p>
        </w:tc>
        <w:tc>
          <w:tcPr>
            <w:tcW w:w="100" w:type="dxa"/>
            <w:vAlign w:val="bottom"/>
            <w:tcBorders>
              <w:top w:val="single" w:sz="8" w:color="E6E7E8"/>
            </w:tcBorders>
            <w:shd w:val="clear" w:color="auto" w:fill="E6E7E8"/>
          </w:tcPr>
          <w:p>
            <w:pPr>
              <w:spacing w:after="0"/>
              <w:rPr>
                <w:sz w:val="18"/>
                <w:szCs w:val="18"/>
                <w:color w:val="auto"/>
              </w:rPr>
            </w:pPr>
          </w:p>
        </w:tc>
        <w:tc>
          <w:tcPr>
            <w:tcW w:w="100" w:type="dxa"/>
            <w:vAlign w:val="bottom"/>
            <w:tcBorders>
              <w:top w:val="single" w:sz="8" w:color="E6E7E8"/>
            </w:tcBorders>
            <w:shd w:val="clear" w:color="auto" w:fill="E6E7E8"/>
          </w:tcPr>
          <w:p>
            <w:pPr>
              <w:spacing w:after="0"/>
              <w:rPr>
                <w:sz w:val="18"/>
                <w:szCs w:val="18"/>
                <w:color w:val="auto"/>
              </w:rPr>
            </w:pPr>
          </w:p>
        </w:tc>
        <w:tc>
          <w:tcPr>
            <w:tcW w:w="20" w:type="dxa"/>
            <w:vAlign w:val="bottom"/>
            <w:tcBorders>
              <w:top w:val="single" w:sz="8" w:color="231F20"/>
            </w:tcBorders>
            <w:shd w:val="clear" w:color="auto" w:fill="E6E7E8"/>
          </w:tcPr>
          <w:p>
            <w:pPr>
              <w:spacing w:after="0"/>
              <w:rPr>
                <w:sz w:val="18"/>
                <w:szCs w:val="18"/>
                <w:color w:val="auto"/>
              </w:rPr>
            </w:pPr>
          </w:p>
        </w:tc>
        <w:tc>
          <w:tcPr>
            <w:tcW w:w="280" w:type="dxa"/>
            <w:vAlign w:val="bottom"/>
            <w:tcBorders>
              <w:top w:val="single" w:sz="8" w:color="231F20"/>
            </w:tcBorders>
            <w:shd w:val="clear" w:color="auto" w:fill="E6E7E8"/>
          </w:tcPr>
          <w:p>
            <w:pPr>
              <w:spacing w:after="0"/>
              <w:rPr>
                <w:sz w:val="18"/>
                <w:szCs w:val="18"/>
                <w:color w:val="auto"/>
              </w:rPr>
            </w:pPr>
          </w:p>
        </w:tc>
        <w:tc>
          <w:tcPr>
            <w:tcW w:w="900" w:type="dxa"/>
            <w:vAlign w:val="bottom"/>
            <w:tcBorders>
              <w:top w:val="single" w:sz="8" w:color="231F20"/>
            </w:tcBorders>
            <w:shd w:val="clear" w:color="auto" w:fill="E6E7E8"/>
          </w:tcPr>
          <w:p>
            <w:pPr>
              <w:spacing w:after="0"/>
              <w:rPr>
                <w:sz w:val="18"/>
                <w:szCs w:val="18"/>
                <w:color w:val="auto"/>
              </w:rPr>
            </w:pPr>
          </w:p>
        </w:tc>
        <w:tc>
          <w:tcPr>
            <w:tcW w:w="20" w:type="dxa"/>
            <w:vAlign w:val="bottom"/>
            <w:tcBorders>
              <w:top w:val="single" w:sz="8" w:color="E6E7E8"/>
            </w:tcBorders>
            <w:shd w:val="clear" w:color="auto" w:fill="E6E7E8"/>
          </w:tcPr>
          <w:p>
            <w:pPr>
              <w:spacing w:after="0"/>
              <w:rPr>
                <w:sz w:val="18"/>
                <w:szCs w:val="18"/>
                <w:color w:val="auto"/>
              </w:rPr>
            </w:pPr>
          </w:p>
        </w:tc>
        <w:tc>
          <w:tcPr>
            <w:tcW w:w="200" w:type="dxa"/>
            <w:vAlign w:val="bottom"/>
            <w:tcBorders>
              <w:top w:val="single" w:sz="8" w:color="E6E7E8"/>
            </w:tcBorders>
            <w:shd w:val="clear" w:color="auto" w:fill="E6E7E8"/>
          </w:tcPr>
          <w:p>
            <w:pPr>
              <w:spacing w:after="0"/>
              <w:rPr>
                <w:sz w:val="18"/>
                <w:szCs w:val="18"/>
                <w:color w:val="auto"/>
              </w:rPr>
            </w:pPr>
          </w:p>
        </w:tc>
        <w:tc>
          <w:tcPr>
            <w:tcW w:w="20" w:type="dxa"/>
            <w:vAlign w:val="bottom"/>
            <w:tcBorders>
              <w:top w:val="single" w:sz="8" w:color="231F20"/>
            </w:tcBorders>
            <w:shd w:val="clear" w:color="auto" w:fill="E6E7E8"/>
          </w:tcPr>
          <w:p>
            <w:pPr>
              <w:spacing w:after="0"/>
              <w:rPr>
                <w:sz w:val="18"/>
                <w:szCs w:val="18"/>
                <w:color w:val="auto"/>
              </w:rPr>
            </w:pPr>
          </w:p>
        </w:tc>
        <w:tc>
          <w:tcPr>
            <w:tcW w:w="260" w:type="dxa"/>
            <w:vAlign w:val="bottom"/>
            <w:tcBorders>
              <w:top w:val="single" w:sz="8" w:color="231F20"/>
            </w:tcBorders>
            <w:shd w:val="clear" w:color="auto" w:fill="E6E7E8"/>
          </w:tcPr>
          <w:p>
            <w:pPr>
              <w:spacing w:after="0"/>
              <w:rPr>
                <w:sz w:val="18"/>
                <w:szCs w:val="18"/>
                <w:color w:val="auto"/>
              </w:rPr>
            </w:pPr>
          </w:p>
        </w:tc>
        <w:tc>
          <w:tcPr>
            <w:tcW w:w="920" w:type="dxa"/>
            <w:vAlign w:val="bottom"/>
            <w:tcBorders>
              <w:top w:val="single" w:sz="8" w:color="231F20"/>
            </w:tcBorders>
            <w:shd w:val="clear" w:color="auto" w:fill="E6E7E8"/>
          </w:tcPr>
          <w:p>
            <w:pPr>
              <w:spacing w:after="0"/>
              <w:rPr>
                <w:sz w:val="18"/>
                <w:szCs w:val="18"/>
                <w:color w:val="auto"/>
              </w:rPr>
            </w:pPr>
          </w:p>
        </w:tc>
        <w:tc>
          <w:tcPr>
            <w:tcW w:w="20" w:type="dxa"/>
            <w:vAlign w:val="bottom"/>
            <w:tcBorders>
              <w:top w:val="single" w:sz="8" w:color="E6E7E8"/>
            </w:tcBorders>
            <w:shd w:val="clear" w:color="auto" w:fill="E6E7E8"/>
          </w:tcPr>
          <w:p>
            <w:pPr>
              <w:spacing w:after="0"/>
              <w:rPr>
                <w:sz w:val="18"/>
                <w:szCs w:val="18"/>
                <w:color w:val="auto"/>
              </w:rPr>
            </w:pPr>
          </w:p>
        </w:tc>
        <w:tc>
          <w:tcPr>
            <w:tcW w:w="60" w:type="dxa"/>
            <w:vAlign w:val="bottom"/>
            <w:tcBorders>
              <w:top w:val="single" w:sz="8" w:color="E6E7E8"/>
            </w:tcBorders>
            <w:shd w:val="clear" w:color="auto" w:fill="E6E7E8"/>
          </w:tcPr>
          <w:p>
            <w:pPr>
              <w:spacing w:after="0"/>
              <w:rPr>
                <w:sz w:val="18"/>
                <w:szCs w:val="18"/>
                <w:color w:val="auto"/>
              </w:rPr>
            </w:pPr>
          </w:p>
        </w:tc>
      </w:tr>
      <w:tr>
        <w:trPr>
          <w:trHeight w:val="218"/>
        </w:trPr>
        <w:tc>
          <w:tcPr>
            <w:tcW w:w="476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Residential</w:t>
            </w:r>
          </w:p>
        </w:tc>
        <w:tc>
          <w:tcPr>
            <w:tcW w:w="840" w:type="dxa"/>
            <w:vAlign w:val="bottom"/>
          </w:tcPr>
          <w:p>
            <w:pPr>
              <w:spacing w:after="0"/>
              <w:rPr>
                <w:sz w:val="19"/>
                <w:szCs w:val="19"/>
                <w:color w:val="auto"/>
              </w:rPr>
            </w:pPr>
          </w:p>
        </w:tc>
        <w:tc>
          <w:tcPr>
            <w:tcW w:w="220" w:type="dxa"/>
            <w:vAlign w:val="bottom"/>
            <w:gridSpan w:val="2"/>
          </w:tcPr>
          <w:p>
            <w:pPr>
              <w:jc w:val="right"/>
              <w:ind w:right="25"/>
              <w:spacing w:after="0"/>
              <w:rPr>
                <w:sz w:val="20"/>
                <w:szCs w:val="20"/>
                <w:color w:val="auto"/>
              </w:rPr>
            </w:pPr>
            <w:r>
              <w:rPr>
                <w:rFonts w:ascii="Times New Roman" w:cs="Times New Roman" w:eastAsia="Times New Roman" w:hAnsi="Times New Roman"/>
                <w:sz w:val="19"/>
                <w:szCs w:val="19"/>
                <w:color w:val="231F20"/>
                <w:w w:val="8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181.6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2"/>
          </w:tcPr>
          <w:p>
            <w:pPr>
              <w:jc w:val="right"/>
              <w:ind w:right="105"/>
              <w:spacing w:after="0"/>
              <w:rPr>
                <w:sz w:val="20"/>
                <w:szCs w:val="20"/>
                <w:color w:val="auto"/>
              </w:rPr>
            </w:pPr>
            <w:r>
              <w:rPr>
                <w:rFonts w:ascii="Times New Roman" w:cs="Times New Roman" w:eastAsia="Times New Roman" w:hAnsi="Times New Roman"/>
                <w:sz w:val="19"/>
                <w:szCs w:val="19"/>
                <w:color w:val="231F20"/>
                <w:w w:val="8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98.8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gridSpan w:val="2"/>
          </w:tcPr>
          <w:p>
            <w:pPr>
              <w:jc w:val="right"/>
              <w:ind w:right="85"/>
              <w:spacing w:after="0"/>
              <w:rPr>
                <w:sz w:val="20"/>
                <w:szCs w:val="20"/>
                <w:color w:val="auto"/>
              </w:rPr>
            </w:pPr>
            <w:r>
              <w:rPr>
                <w:rFonts w:ascii="Times New Roman" w:cs="Times New Roman" w:eastAsia="Times New Roman" w:hAnsi="Times New Roman"/>
                <w:sz w:val="19"/>
                <w:szCs w:val="19"/>
                <w:color w:val="231F20"/>
                <w:w w:val="8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280.4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9"/>
        </w:trPr>
        <w:tc>
          <w:tcPr>
            <w:tcW w:w="476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Commercial &amp; Industrial</w:t>
            </w:r>
          </w:p>
        </w:tc>
        <w:tc>
          <w:tcPr>
            <w:tcW w:w="84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c>
          <w:tcPr>
            <w:tcW w:w="100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19"/>
                <w:szCs w:val="19"/>
                <w:color w:val="231F20"/>
              </w:rPr>
              <w:t>120.1</w:t>
            </w:r>
          </w:p>
        </w:tc>
        <w:tc>
          <w:tcPr>
            <w:tcW w:w="10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280" w:type="dxa"/>
            <w:vAlign w:val="bottom"/>
            <w:shd w:val="clear" w:color="auto" w:fill="E6E7E8"/>
          </w:tcPr>
          <w:p>
            <w:pPr>
              <w:spacing w:after="0"/>
              <w:rPr>
                <w:sz w:val="19"/>
                <w:szCs w:val="19"/>
                <w:color w:val="auto"/>
              </w:rPr>
            </w:pPr>
          </w:p>
        </w:tc>
        <w:tc>
          <w:tcPr>
            <w:tcW w:w="92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19"/>
                <w:szCs w:val="19"/>
                <w:color w:val="231F20"/>
              </w:rPr>
              <w:t>146.9</w:t>
            </w:r>
          </w:p>
        </w:tc>
        <w:tc>
          <w:tcPr>
            <w:tcW w:w="20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260" w:type="dxa"/>
            <w:vAlign w:val="bottom"/>
            <w:shd w:val="clear" w:color="auto" w:fill="E6E7E8"/>
          </w:tcPr>
          <w:p>
            <w:pPr>
              <w:spacing w:after="0"/>
              <w:rPr>
                <w:sz w:val="19"/>
                <w:szCs w:val="19"/>
                <w:color w:val="auto"/>
              </w:rPr>
            </w:pPr>
          </w:p>
        </w:tc>
        <w:tc>
          <w:tcPr>
            <w:tcW w:w="94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19"/>
                <w:szCs w:val="19"/>
                <w:color w:val="231F20"/>
              </w:rPr>
              <w:t>267.0</w:t>
            </w:r>
          </w:p>
        </w:tc>
        <w:tc>
          <w:tcPr>
            <w:tcW w:w="60" w:type="dxa"/>
            <w:vAlign w:val="bottom"/>
            <w:shd w:val="clear" w:color="auto" w:fill="E6E7E8"/>
          </w:tcPr>
          <w:p>
            <w:pPr>
              <w:spacing w:after="0"/>
              <w:rPr>
                <w:sz w:val="19"/>
                <w:szCs w:val="19"/>
                <w:color w:val="auto"/>
              </w:rPr>
            </w:pPr>
          </w:p>
        </w:tc>
      </w:tr>
      <w:tr>
        <w:trPr>
          <w:trHeight w:val="218"/>
        </w:trPr>
        <w:tc>
          <w:tcPr>
            <w:tcW w:w="476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Other</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231F20"/>
              </w:rPr>
              <w:t>10.0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18.1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4760" w:type="dxa"/>
            <w:vAlign w:val="bottom"/>
            <w:tcBorders>
              <w:top w:val="single" w:sz="8" w:color="E6E7E8"/>
            </w:tcBorders>
            <w:shd w:val="clear" w:color="auto" w:fill="E6E7E8"/>
          </w:tcPr>
          <w:p>
            <w:pPr>
              <w:ind w:left="600"/>
              <w:spacing w:after="0" w:line="214" w:lineRule="exact"/>
              <w:rPr>
                <w:sz w:val="20"/>
                <w:szCs w:val="20"/>
                <w:color w:val="auto"/>
              </w:rPr>
            </w:pPr>
            <w:r>
              <w:rPr>
                <w:rFonts w:ascii="Times New Roman" w:cs="Times New Roman" w:eastAsia="Times New Roman" w:hAnsi="Times New Roman"/>
                <w:sz w:val="19"/>
                <w:szCs w:val="19"/>
                <w:color w:val="231F20"/>
              </w:rPr>
              <w:t>Total Billed and Unbilled Revenue</w:t>
            </w:r>
          </w:p>
        </w:tc>
        <w:tc>
          <w:tcPr>
            <w:tcW w:w="840" w:type="dxa"/>
            <w:vAlign w:val="bottom"/>
            <w:tcBorders>
              <w:top w:val="single" w:sz="8" w:color="E6E7E8"/>
            </w:tcBorders>
            <w:shd w:val="clear" w:color="auto" w:fill="E6E7E8"/>
          </w:tcPr>
          <w:p>
            <w:pPr>
              <w:spacing w:after="0"/>
              <w:rPr>
                <w:sz w:val="18"/>
                <w:szCs w:val="18"/>
                <w:color w:val="auto"/>
              </w:rPr>
            </w:pPr>
          </w:p>
        </w:tc>
        <w:tc>
          <w:tcPr>
            <w:tcW w:w="20" w:type="dxa"/>
            <w:vAlign w:val="bottom"/>
            <w:tcBorders>
              <w:top w:val="single" w:sz="8" w:color="231F20"/>
            </w:tcBorders>
            <w:shd w:val="clear" w:color="auto" w:fill="E6E7E8"/>
          </w:tcPr>
          <w:p>
            <w:pPr>
              <w:spacing w:after="0"/>
              <w:rPr>
                <w:sz w:val="18"/>
                <w:szCs w:val="18"/>
                <w:color w:val="auto"/>
              </w:rPr>
            </w:pPr>
          </w:p>
        </w:tc>
        <w:tc>
          <w:tcPr>
            <w:tcW w:w="200" w:type="dxa"/>
            <w:vAlign w:val="bottom"/>
            <w:tcBorders>
              <w:top w:val="single" w:sz="8" w:color="231F20"/>
            </w:tcBorders>
            <w:shd w:val="clear" w:color="auto" w:fill="E6E7E8"/>
          </w:tcPr>
          <w:p>
            <w:pPr>
              <w:spacing w:after="0"/>
              <w:rPr>
                <w:sz w:val="18"/>
                <w:szCs w:val="18"/>
                <w:color w:val="auto"/>
              </w:rPr>
            </w:pPr>
          </w:p>
        </w:tc>
        <w:tc>
          <w:tcPr>
            <w:tcW w:w="980" w:type="dxa"/>
            <w:vAlign w:val="bottom"/>
            <w:tcBorders>
              <w:top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311.7</w:t>
            </w:r>
          </w:p>
        </w:tc>
        <w:tc>
          <w:tcPr>
            <w:tcW w:w="20" w:type="dxa"/>
            <w:vAlign w:val="bottom"/>
            <w:tcBorders>
              <w:top w:val="single" w:sz="8" w:color="E6E7E8"/>
            </w:tcBorders>
            <w:shd w:val="clear" w:color="auto" w:fill="E6E7E8"/>
          </w:tcPr>
          <w:p>
            <w:pPr>
              <w:spacing w:after="0"/>
              <w:rPr>
                <w:sz w:val="18"/>
                <w:szCs w:val="18"/>
                <w:color w:val="auto"/>
              </w:rPr>
            </w:pPr>
          </w:p>
        </w:tc>
        <w:tc>
          <w:tcPr>
            <w:tcW w:w="100" w:type="dxa"/>
            <w:vAlign w:val="bottom"/>
            <w:tcBorders>
              <w:top w:val="single" w:sz="8" w:color="E6E7E8"/>
            </w:tcBorders>
            <w:shd w:val="clear" w:color="auto" w:fill="E6E7E8"/>
          </w:tcPr>
          <w:p>
            <w:pPr>
              <w:spacing w:after="0"/>
              <w:rPr>
                <w:sz w:val="18"/>
                <w:szCs w:val="18"/>
                <w:color w:val="auto"/>
              </w:rPr>
            </w:pPr>
          </w:p>
        </w:tc>
        <w:tc>
          <w:tcPr>
            <w:tcW w:w="100" w:type="dxa"/>
            <w:vAlign w:val="bottom"/>
            <w:tcBorders>
              <w:top w:val="single" w:sz="8" w:color="E6E7E8"/>
            </w:tcBorders>
            <w:shd w:val="clear" w:color="auto" w:fill="E6E7E8"/>
          </w:tcPr>
          <w:p>
            <w:pPr>
              <w:spacing w:after="0"/>
              <w:rPr>
                <w:sz w:val="18"/>
                <w:szCs w:val="18"/>
                <w:color w:val="auto"/>
              </w:rPr>
            </w:pPr>
          </w:p>
        </w:tc>
        <w:tc>
          <w:tcPr>
            <w:tcW w:w="20" w:type="dxa"/>
            <w:vAlign w:val="bottom"/>
            <w:tcBorders>
              <w:top w:val="single" w:sz="8" w:color="231F20"/>
            </w:tcBorders>
            <w:shd w:val="clear" w:color="auto" w:fill="E6E7E8"/>
          </w:tcPr>
          <w:p>
            <w:pPr>
              <w:spacing w:after="0"/>
              <w:rPr>
                <w:sz w:val="18"/>
                <w:szCs w:val="18"/>
                <w:color w:val="auto"/>
              </w:rPr>
            </w:pPr>
          </w:p>
        </w:tc>
        <w:tc>
          <w:tcPr>
            <w:tcW w:w="280" w:type="dxa"/>
            <w:vAlign w:val="bottom"/>
            <w:tcBorders>
              <w:top w:val="single" w:sz="8" w:color="231F20"/>
            </w:tcBorders>
            <w:shd w:val="clear" w:color="auto" w:fill="E6E7E8"/>
          </w:tcPr>
          <w:p>
            <w:pPr>
              <w:spacing w:after="0"/>
              <w:rPr>
                <w:sz w:val="18"/>
                <w:szCs w:val="18"/>
                <w:color w:val="auto"/>
              </w:rPr>
            </w:pPr>
          </w:p>
        </w:tc>
        <w:tc>
          <w:tcPr>
            <w:tcW w:w="900" w:type="dxa"/>
            <w:vAlign w:val="bottom"/>
            <w:tcBorders>
              <w:top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253.8</w:t>
            </w:r>
          </w:p>
        </w:tc>
        <w:tc>
          <w:tcPr>
            <w:tcW w:w="20" w:type="dxa"/>
            <w:vAlign w:val="bottom"/>
            <w:tcBorders>
              <w:top w:val="single" w:sz="8" w:color="E6E7E8"/>
            </w:tcBorders>
            <w:shd w:val="clear" w:color="auto" w:fill="E6E7E8"/>
          </w:tcPr>
          <w:p>
            <w:pPr>
              <w:spacing w:after="0"/>
              <w:rPr>
                <w:sz w:val="18"/>
                <w:szCs w:val="18"/>
                <w:color w:val="auto"/>
              </w:rPr>
            </w:pPr>
          </w:p>
        </w:tc>
        <w:tc>
          <w:tcPr>
            <w:tcW w:w="200" w:type="dxa"/>
            <w:vAlign w:val="bottom"/>
            <w:tcBorders>
              <w:top w:val="single" w:sz="8" w:color="E6E7E8"/>
            </w:tcBorders>
            <w:shd w:val="clear" w:color="auto" w:fill="E6E7E8"/>
          </w:tcPr>
          <w:p>
            <w:pPr>
              <w:spacing w:after="0"/>
              <w:rPr>
                <w:sz w:val="18"/>
                <w:szCs w:val="18"/>
                <w:color w:val="auto"/>
              </w:rPr>
            </w:pPr>
          </w:p>
        </w:tc>
        <w:tc>
          <w:tcPr>
            <w:tcW w:w="20" w:type="dxa"/>
            <w:vAlign w:val="bottom"/>
            <w:tcBorders>
              <w:top w:val="single" w:sz="8" w:color="231F20"/>
            </w:tcBorders>
            <w:shd w:val="clear" w:color="auto" w:fill="E6E7E8"/>
          </w:tcPr>
          <w:p>
            <w:pPr>
              <w:spacing w:after="0"/>
              <w:rPr>
                <w:sz w:val="18"/>
                <w:szCs w:val="18"/>
                <w:color w:val="auto"/>
              </w:rPr>
            </w:pPr>
          </w:p>
        </w:tc>
        <w:tc>
          <w:tcPr>
            <w:tcW w:w="260" w:type="dxa"/>
            <w:vAlign w:val="bottom"/>
            <w:tcBorders>
              <w:top w:val="single" w:sz="8" w:color="231F20"/>
            </w:tcBorders>
            <w:shd w:val="clear" w:color="auto" w:fill="E6E7E8"/>
          </w:tcPr>
          <w:p>
            <w:pPr>
              <w:spacing w:after="0"/>
              <w:rPr>
                <w:sz w:val="18"/>
                <w:szCs w:val="18"/>
                <w:color w:val="auto"/>
              </w:rPr>
            </w:pPr>
          </w:p>
        </w:tc>
        <w:tc>
          <w:tcPr>
            <w:tcW w:w="920" w:type="dxa"/>
            <w:vAlign w:val="bottom"/>
            <w:tcBorders>
              <w:top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565.5</w:t>
            </w:r>
          </w:p>
        </w:tc>
        <w:tc>
          <w:tcPr>
            <w:tcW w:w="20" w:type="dxa"/>
            <w:vAlign w:val="bottom"/>
            <w:tcBorders>
              <w:top w:val="single" w:sz="8" w:color="E6E7E8"/>
            </w:tcBorders>
            <w:shd w:val="clear" w:color="auto" w:fill="E6E7E8"/>
          </w:tcPr>
          <w:p>
            <w:pPr>
              <w:spacing w:after="0"/>
              <w:rPr>
                <w:sz w:val="18"/>
                <w:szCs w:val="18"/>
                <w:color w:val="auto"/>
              </w:rPr>
            </w:pPr>
          </w:p>
        </w:tc>
        <w:tc>
          <w:tcPr>
            <w:tcW w:w="60" w:type="dxa"/>
            <w:vAlign w:val="bottom"/>
            <w:tcBorders>
              <w:top w:val="single" w:sz="8" w:color="E6E7E8"/>
            </w:tcBorders>
            <w:shd w:val="clear" w:color="auto" w:fill="E6E7E8"/>
          </w:tcPr>
          <w:p>
            <w:pPr>
              <w:spacing w:after="0"/>
              <w:rPr>
                <w:sz w:val="18"/>
                <w:szCs w:val="18"/>
                <w:color w:val="auto"/>
              </w:rPr>
            </w:pPr>
          </w:p>
        </w:tc>
      </w:tr>
      <w:tr>
        <w:trPr>
          <w:trHeight w:val="218"/>
        </w:trPr>
        <w:tc>
          <w:tcPr>
            <w:tcW w:w="4760" w:type="dxa"/>
            <w:vAlign w:val="bottom"/>
          </w:tcPr>
          <w:p>
            <w:pPr>
              <w:spacing w:after="0"/>
              <w:rPr>
                <w:sz w:val="20"/>
                <w:szCs w:val="20"/>
                <w:color w:val="auto"/>
              </w:rPr>
            </w:pPr>
            <w:r>
              <w:rPr>
                <w:rFonts w:ascii="Times New Roman" w:cs="Times New Roman" w:eastAsia="Times New Roman" w:hAnsi="Times New Roman"/>
                <w:sz w:val="19"/>
                <w:szCs w:val="19"/>
                <w:color w:val="231F20"/>
              </w:rPr>
              <w:t>Rate Adjustment Mechanism Revenue</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231F20"/>
              </w:rPr>
              <w:t>(5.2)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231F20"/>
              </w:rPr>
              <w:t>(3.2)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231F20"/>
              </w:rPr>
              <w:t>(8.4)</w:t>
            </w:r>
          </w:p>
        </w:tc>
      </w:tr>
      <w:tr>
        <w:trPr>
          <w:trHeight w:val="234"/>
        </w:trPr>
        <w:tc>
          <w:tcPr>
            <w:tcW w:w="4760" w:type="dxa"/>
            <w:vAlign w:val="bottom"/>
            <w:tcBorders>
              <w:top w:val="single" w:sz="8" w:color="E6E7E8"/>
              <w:bottom w:val="single" w:sz="8" w:color="E6E7E8"/>
            </w:tcBorders>
            <w:shd w:val="clear" w:color="auto" w:fill="E6E7E8"/>
          </w:tcPr>
          <w:p>
            <w:pPr>
              <w:ind w:left="400"/>
              <w:spacing w:after="0" w:line="214" w:lineRule="exact"/>
              <w:rPr>
                <w:sz w:val="20"/>
                <w:szCs w:val="20"/>
                <w:color w:val="auto"/>
              </w:rPr>
            </w:pPr>
            <w:r>
              <w:rPr>
                <w:rFonts w:ascii="Times New Roman" w:cs="Times New Roman" w:eastAsia="Times New Roman" w:hAnsi="Times New Roman"/>
                <w:sz w:val="19"/>
                <w:szCs w:val="19"/>
                <w:b w:val="1"/>
                <w:bCs w:val="1"/>
                <w:color w:val="231F20"/>
              </w:rPr>
              <w:t>Total Electric and Gas Operating Revenues</w:t>
            </w:r>
          </w:p>
        </w:tc>
        <w:tc>
          <w:tcPr>
            <w:tcW w:w="840" w:type="dxa"/>
            <w:vAlign w:val="bottom"/>
            <w:tcBorders>
              <w:top w:val="single" w:sz="8" w:color="E6E7E8"/>
              <w:bottom w:val="single" w:sz="8" w:color="E6E7E8"/>
            </w:tcBorders>
            <w:shd w:val="clear" w:color="auto" w:fill="E6E7E8"/>
          </w:tcPr>
          <w:p>
            <w:pPr>
              <w:spacing w:after="0"/>
              <w:rPr>
                <w:sz w:val="20"/>
                <w:szCs w:val="20"/>
                <w:color w:val="auto"/>
              </w:rPr>
            </w:pPr>
          </w:p>
        </w:tc>
        <w:tc>
          <w:tcPr>
            <w:tcW w:w="220" w:type="dxa"/>
            <w:vAlign w:val="bottom"/>
            <w:tcBorders>
              <w:top w:val="single" w:sz="8" w:color="231F20"/>
              <w:bottom w:val="single" w:sz="8" w:color="231F20"/>
            </w:tcBorders>
            <w:gridSpan w:val="2"/>
            <w:shd w:val="clear" w:color="auto" w:fill="E6E7E8"/>
          </w:tcPr>
          <w:p>
            <w:pPr>
              <w:jc w:val="right"/>
              <w:ind w:right="25"/>
              <w:spacing w:after="0" w:line="214" w:lineRule="exact"/>
              <w:rPr>
                <w:sz w:val="20"/>
                <w:szCs w:val="20"/>
                <w:color w:val="auto"/>
              </w:rPr>
            </w:pPr>
            <w:r>
              <w:rPr>
                <w:rFonts w:ascii="Times New Roman" w:cs="Times New Roman" w:eastAsia="Times New Roman" w:hAnsi="Times New Roman"/>
                <w:sz w:val="19"/>
                <w:szCs w:val="19"/>
                <w:b w:val="1"/>
                <w:bCs w:val="1"/>
                <w:color w:val="231F20"/>
                <w:w w:val="83"/>
              </w:rPr>
              <w:t>$</w:t>
            </w:r>
          </w:p>
        </w:tc>
        <w:tc>
          <w:tcPr>
            <w:tcW w:w="980" w:type="dxa"/>
            <w:vAlign w:val="bottom"/>
            <w:tcBorders>
              <w:top w:val="single" w:sz="8" w:color="231F20"/>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306.5</w:t>
            </w:r>
          </w:p>
        </w:tc>
        <w:tc>
          <w:tcPr>
            <w:tcW w:w="20" w:type="dxa"/>
            <w:vAlign w:val="bottom"/>
            <w:tcBorders>
              <w:top w:val="single" w:sz="8" w:color="E6E7E8"/>
              <w:bottom w:val="single" w:sz="8" w:color="E6E7E8"/>
            </w:tcBorders>
            <w:shd w:val="clear" w:color="auto" w:fill="E6E7E8"/>
          </w:tcPr>
          <w:p>
            <w:pPr>
              <w:spacing w:after="0"/>
              <w:rPr>
                <w:sz w:val="20"/>
                <w:szCs w:val="20"/>
                <w:color w:val="auto"/>
              </w:rPr>
            </w:pPr>
          </w:p>
        </w:tc>
        <w:tc>
          <w:tcPr>
            <w:tcW w:w="100" w:type="dxa"/>
            <w:vAlign w:val="bottom"/>
            <w:tcBorders>
              <w:top w:val="single" w:sz="8" w:color="E6E7E8"/>
              <w:bottom w:val="single" w:sz="8" w:color="E6E7E8"/>
            </w:tcBorders>
            <w:shd w:val="clear" w:color="auto" w:fill="E6E7E8"/>
          </w:tcPr>
          <w:p>
            <w:pPr>
              <w:spacing w:after="0"/>
              <w:rPr>
                <w:sz w:val="20"/>
                <w:szCs w:val="20"/>
                <w:color w:val="auto"/>
              </w:rPr>
            </w:pPr>
          </w:p>
        </w:tc>
        <w:tc>
          <w:tcPr>
            <w:tcW w:w="100" w:type="dxa"/>
            <w:vAlign w:val="bottom"/>
            <w:tcBorders>
              <w:top w:val="single" w:sz="8" w:color="E6E7E8"/>
              <w:bottom w:val="single" w:sz="8" w:color="E6E7E8"/>
            </w:tcBorders>
            <w:shd w:val="clear" w:color="auto" w:fill="E6E7E8"/>
          </w:tcPr>
          <w:p>
            <w:pPr>
              <w:spacing w:after="0"/>
              <w:rPr>
                <w:sz w:val="20"/>
                <w:szCs w:val="20"/>
                <w:color w:val="auto"/>
              </w:rPr>
            </w:pPr>
          </w:p>
        </w:tc>
        <w:tc>
          <w:tcPr>
            <w:tcW w:w="300" w:type="dxa"/>
            <w:vAlign w:val="bottom"/>
            <w:tcBorders>
              <w:top w:val="single" w:sz="8" w:color="231F20"/>
              <w:bottom w:val="single" w:sz="8" w:color="231F20"/>
            </w:tcBorders>
            <w:gridSpan w:val="2"/>
            <w:shd w:val="clear" w:color="auto" w:fill="E6E7E8"/>
          </w:tcPr>
          <w:p>
            <w:pPr>
              <w:jc w:val="right"/>
              <w:ind w:right="105"/>
              <w:spacing w:after="0" w:line="214" w:lineRule="exact"/>
              <w:rPr>
                <w:sz w:val="20"/>
                <w:szCs w:val="20"/>
                <w:color w:val="auto"/>
              </w:rPr>
            </w:pPr>
            <w:r>
              <w:rPr>
                <w:rFonts w:ascii="Times New Roman" w:cs="Times New Roman" w:eastAsia="Times New Roman" w:hAnsi="Times New Roman"/>
                <w:sz w:val="19"/>
                <w:szCs w:val="19"/>
                <w:b w:val="1"/>
                <w:bCs w:val="1"/>
                <w:color w:val="231F20"/>
                <w:w w:val="83"/>
              </w:rPr>
              <w:t>$</w:t>
            </w:r>
          </w:p>
        </w:tc>
        <w:tc>
          <w:tcPr>
            <w:tcW w:w="900" w:type="dxa"/>
            <w:vAlign w:val="bottom"/>
            <w:tcBorders>
              <w:top w:val="single" w:sz="8" w:color="231F20"/>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250.6</w:t>
            </w:r>
          </w:p>
        </w:tc>
        <w:tc>
          <w:tcPr>
            <w:tcW w:w="20" w:type="dxa"/>
            <w:vAlign w:val="bottom"/>
            <w:tcBorders>
              <w:top w:val="single" w:sz="8" w:color="E6E7E8"/>
              <w:bottom w:val="single" w:sz="8" w:color="E6E7E8"/>
            </w:tcBorders>
            <w:shd w:val="clear" w:color="auto" w:fill="E6E7E8"/>
          </w:tcPr>
          <w:p>
            <w:pPr>
              <w:spacing w:after="0"/>
              <w:rPr>
                <w:sz w:val="20"/>
                <w:szCs w:val="20"/>
                <w:color w:val="auto"/>
              </w:rPr>
            </w:pPr>
          </w:p>
        </w:tc>
        <w:tc>
          <w:tcPr>
            <w:tcW w:w="200" w:type="dxa"/>
            <w:vAlign w:val="bottom"/>
            <w:tcBorders>
              <w:top w:val="single" w:sz="8" w:color="E6E7E8"/>
              <w:bottom w:val="single" w:sz="8" w:color="E6E7E8"/>
            </w:tcBorders>
            <w:shd w:val="clear" w:color="auto" w:fill="E6E7E8"/>
          </w:tcPr>
          <w:p>
            <w:pPr>
              <w:spacing w:after="0"/>
              <w:rPr>
                <w:sz w:val="20"/>
                <w:szCs w:val="20"/>
                <w:color w:val="auto"/>
              </w:rPr>
            </w:pPr>
          </w:p>
        </w:tc>
        <w:tc>
          <w:tcPr>
            <w:tcW w:w="280" w:type="dxa"/>
            <w:vAlign w:val="bottom"/>
            <w:tcBorders>
              <w:top w:val="single" w:sz="8" w:color="231F20"/>
              <w:bottom w:val="single" w:sz="8" w:color="231F20"/>
            </w:tcBorders>
            <w:gridSpan w:val="2"/>
            <w:shd w:val="clear" w:color="auto" w:fill="E6E7E8"/>
          </w:tcPr>
          <w:p>
            <w:pPr>
              <w:jc w:val="right"/>
              <w:ind w:right="85"/>
              <w:spacing w:after="0" w:line="214" w:lineRule="exact"/>
              <w:rPr>
                <w:sz w:val="20"/>
                <w:szCs w:val="20"/>
                <w:color w:val="auto"/>
              </w:rPr>
            </w:pPr>
            <w:r>
              <w:rPr>
                <w:rFonts w:ascii="Times New Roman" w:cs="Times New Roman" w:eastAsia="Times New Roman" w:hAnsi="Times New Roman"/>
                <w:sz w:val="19"/>
                <w:szCs w:val="19"/>
                <w:b w:val="1"/>
                <w:bCs w:val="1"/>
                <w:color w:val="231F20"/>
                <w:w w:val="83"/>
              </w:rPr>
              <w:t>$</w:t>
            </w:r>
          </w:p>
        </w:tc>
        <w:tc>
          <w:tcPr>
            <w:tcW w:w="920" w:type="dxa"/>
            <w:vAlign w:val="bottom"/>
            <w:tcBorders>
              <w:top w:val="single" w:sz="8" w:color="231F20"/>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557.1</w:t>
            </w:r>
          </w:p>
        </w:tc>
        <w:tc>
          <w:tcPr>
            <w:tcW w:w="20" w:type="dxa"/>
            <w:vAlign w:val="bottom"/>
            <w:tcBorders>
              <w:top w:val="single" w:sz="8" w:color="E6E7E8"/>
              <w:bottom w:val="single" w:sz="8" w:color="E6E7E8"/>
            </w:tcBorders>
            <w:shd w:val="clear" w:color="auto" w:fill="E6E7E8"/>
          </w:tcPr>
          <w:p>
            <w:pPr>
              <w:spacing w:after="0"/>
              <w:rPr>
                <w:sz w:val="20"/>
                <w:szCs w:val="20"/>
                <w:color w:val="auto"/>
              </w:rPr>
            </w:pPr>
          </w:p>
        </w:tc>
        <w:tc>
          <w:tcPr>
            <w:tcW w:w="60" w:type="dxa"/>
            <w:vAlign w:val="bottom"/>
            <w:tcBorders>
              <w:top w:val="single" w:sz="8" w:color="E6E7E8"/>
              <w:bottom w:val="single" w:sz="8" w:color="E6E7E8"/>
            </w:tcBorders>
            <w:shd w:val="clear" w:color="auto" w:fill="E6E7E8"/>
          </w:tcPr>
          <w:p>
            <w:pPr>
              <w:spacing w:after="0"/>
              <w:rPr>
                <w:sz w:val="20"/>
                <w:szCs w:val="20"/>
                <w:color w:val="auto"/>
              </w:rPr>
            </w:pPr>
          </w:p>
        </w:tc>
      </w:tr>
      <w:tr>
        <w:trPr>
          <w:trHeight w:val="20"/>
        </w:trPr>
        <w:tc>
          <w:tcPr>
            <w:tcW w:w="4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-4295775</wp:posOffset>
            </wp:positionV>
            <wp:extent cx="260540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5">
                      <a:extLst>
                        <a:ext uri="{28A0092B-C50C-407E-A947-70E740481C1C}"/>
                      </a:extLst>
                    </a:blip>
                    <a:srcRect/>
                    <a:stretch>
                      <a:fillRect/>
                    </a:stretch>
                  </pic:blipFill>
                  <pic:spPr bwMode="auto">
                    <a:xfrm>
                      <a:off x="0" y="0"/>
                      <a:ext cx="2605405" cy="38100"/>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-2731770</wp:posOffset>
            </wp:positionV>
            <wp:extent cx="260540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46">
                      <a:extLst>
                        <a:ext uri="{28A0092B-C50C-407E-A947-70E740481C1C}"/>
                      </a:extLst>
                    </a:blip>
                    <a:srcRect/>
                    <a:stretch>
                      <a:fillRect/>
                    </a:stretch>
                  </pic:blipFill>
                  <pic:spPr bwMode="auto">
                    <a:xfrm>
                      <a:off x="0" y="0"/>
                      <a:ext cx="2605405" cy="38100"/>
                    </a:xfrm>
                    <a:prstGeom prst="rect">
                      <a:avLst/>
                    </a:prstGeom>
                    <a:noFill/>
                  </pic:spPr>
                </pic:pic>
              </a:graphicData>
            </a:graphic>
          </wp:anchor>
        </w:drawing>
        <w:drawing>
          <wp:anchor simplePos="0" relativeHeight="251657728" behindDoc="1" locked="0" layoutInCell="0" allowOverlap="1">
            <wp:simplePos x="0" y="0"/>
            <wp:positionH relativeFrom="column">
              <wp:posOffset>3883025</wp:posOffset>
            </wp:positionH>
            <wp:positionV relativeFrom="paragraph">
              <wp:posOffset>-1168400</wp:posOffset>
            </wp:positionV>
            <wp:extent cx="2599690"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7">
                      <a:extLst>
                        <a:ext uri="{28A0092B-C50C-407E-A947-70E740481C1C}"/>
                      </a:extLst>
                    </a:blip>
                    <a:srcRect/>
                    <a:stretch>
                      <a:fillRect/>
                    </a:stretch>
                  </pic:blipFill>
                  <pic:spPr bwMode="auto">
                    <a:xfrm>
                      <a:off x="0" y="0"/>
                      <a:ext cx="2599690" cy="38100"/>
                    </a:xfrm>
                    <a:prstGeom prst="rect">
                      <a:avLst/>
                    </a:prstGeom>
                    <a:noFill/>
                  </pic:spPr>
                </pic:pic>
              </a:graphicData>
            </a:graphic>
          </wp:anchor>
        </w:drawing>
      </w:r>
    </w:p>
    <w:p>
      <w:pPr>
        <w:spacing w:after="0" w:line="235"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21"/>
          <w:szCs w:val="21"/>
          <w:color w:val="231F20"/>
        </w:rPr>
        <w:t>The Company’s electric and gas sales in Massachusetts and New Hampshire are largely decoupled. Revenue decoupling is the term given to the elimination of the dependency of a utility’s distribution revenue on the volume of electricity or gas sales. The difference between distribution revenue amounts billed to customers and the targeted revenue decoupling amounts is recognized as an increase or a decrease in Accrued Revenue, which forms the basis for resetting rates for future cash recoveries from, or credits to, customers. These revenue decoupling targets may be adjusted as a result of rate cases and other authorized adjustments that the Company files with the MDPU and NHPUC.</w:t>
      </w:r>
    </w:p>
    <w:p>
      <w:pPr>
        <w:spacing w:after="0" w:line="234" w:lineRule="exact"/>
        <w:rPr>
          <w:sz w:val="20"/>
          <w:szCs w:val="20"/>
          <w:color w:val="auto"/>
        </w:rPr>
      </w:pPr>
    </w:p>
    <w:p>
      <w:pPr>
        <w:jc w:val="both"/>
        <w:ind w:right="200" w:firstLine="612"/>
        <w:spacing w:after="0" w:line="305" w:lineRule="auto"/>
        <w:rPr>
          <w:sz w:val="20"/>
          <w:szCs w:val="20"/>
          <w:color w:val="auto"/>
        </w:rPr>
      </w:pPr>
      <w:r>
        <w:rPr>
          <w:rFonts w:ascii="Times New Roman" w:cs="Times New Roman" w:eastAsia="Times New Roman" w:hAnsi="Times New Roman"/>
          <w:sz w:val="20"/>
          <w:szCs w:val="20"/>
          <w:color w:val="231F20"/>
        </w:rPr>
        <w:t>The Company bills its customers for sales tax in Massachusetts and Maine. These taxes are remitted to the appropriate departments of revenue in each state and are excluded from revenues on the Company’s Consolidated Statements of Earnings.</w:t>
      </w:r>
    </w:p>
    <w:p>
      <w:pPr>
        <w:spacing w:after="0" w:line="134" w:lineRule="exact"/>
        <w:rPr>
          <w:sz w:val="20"/>
          <w:szCs w:val="20"/>
          <w:color w:val="auto"/>
        </w:rPr>
      </w:pPr>
    </w:p>
    <w:p>
      <w:pPr>
        <w:ind w:right="40" w:firstLine="612"/>
        <w:spacing w:after="0" w:line="247" w:lineRule="auto"/>
        <w:rPr>
          <w:sz w:val="20"/>
          <w:szCs w:val="20"/>
          <w:color w:val="auto"/>
        </w:rPr>
      </w:pPr>
      <w:r>
        <w:rPr>
          <w:rFonts w:ascii="Times New Roman" w:cs="Times New Roman" w:eastAsia="Times New Roman" w:hAnsi="Times New Roman"/>
          <w:sz w:val="21"/>
          <w:szCs w:val="21"/>
          <w:b w:val="1"/>
          <w:bCs w:val="1"/>
          <w:color w:val="231F20"/>
        </w:rPr>
        <w:t xml:space="preserve">Depreciation and Amortization - </w:t>
      </w:r>
      <w:r>
        <w:rPr>
          <w:rFonts w:ascii="Times New Roman" w:cs="Times New Roman" w:eastAsia="Times New Roman" w:hAnsi="Times New Roman"/>
          <w:sz w:val="21"/>
          <w:szCs w:val="21"/>
          <w:color w:val="231F20"/>
        </w:rPr>
        <w:t>Depreciation expense is calculated on a group straight-line basis based on the useful</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lives of assets, and judgment is involved when estimating the useful lives of certain assets. The Company conducts independent depreciation studies on a periodic basis as part of the regulatory ratemaking process and considers the results presented in these studies in determining the useful lives of the Company’s fixed assets. A change in the estimated useful lives of these assets could have a material effect on the Company’s consolidated financial statements. Provisions for depreciation were equivalent to the following composite rates, based on the average depreciable property balances at the beginning and end of each year: 2025 - 3.45%, 2024 - 3.49% and 2023 - 3.33%.</w:t>
      </w:r>
    </w:p>
    <w:p>
      <w:pPr>
        <w:spacing w:after="0" w:line="191" w:lineRule="exact"/>
        <w:rPr>
          <w:sz w:val="20"/>
          <w:szCs w:val="20"/>
          <w:color w:val="auto"/>
        </w:rPr>
      </w:pPr>
    </w:p>
    <w:p>
      <w:pPr>
        <w:ind w:right="260" w:firstLine="612"/>
        <w:spacing w:after="0" w:line="283" w:lineRule="auto"/>
        <w:rPr>
          <w:sz w:val="20"/>
          <w:szCs w:val="20"/>
          <w:color w:val="auto"/>
        </w:rPr>
      </w:pPr>
      <w:r>
        <w:rPr>
          <w:rFonts w:ascii="Times New Roman" w:cs="Times New Roman" w:eastAsia="Times New Roman" w:hAnsi="Times New Roman"/>
          <w:sz w:val="21"/>
          <w:szCs w:val="21"/>
          <w:b w:val="1"/>
          <w:bCs w:val="1"/>
          <w:color w:val="231F20"/>
        </w:rPr>
        <w:t xml:space="preserve">Stock-based Employee Compensation - </w:t>
      </w:r>
      <w:r>
        <w:rPr>
          <w:rFonts w:ascii="Times New Roman" w:cs="Times New Roman" w:eastAsia="Times New Roman" w:hAnsi="Times New Roman"/>
          <w:sz w:val="21"/>
          <w:szCs w:val="21"/>
          <w:color w:val="231F20"/>
        </w:rPr>
        <w:t>Unitil accounts for stock-based employee compensation using the fair value</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method (See Note 5 Equity).</w:t>
      </w:r>
    </w:p>
    <w:p>
      <w:pPr>
        <w:spacing w:after="0" w:line="154" w:lineRule="exact"/>
        <w:rPr>
          <w:sz w:val="20"/>
          <w:szCs w:val="20"/>
          <w:color w:val="auto"/>
        </w:rPr>
      </w:pPr>
    </w:p>
    <w:p>
      <w:pPr>
        <w:ind w:right="140" w:firstLine="612"/>
        <w:spacing w:after="0" w:line="283" w:lineRule="auto"/>
        <w:rPr>
          <w:sz w:val="20"/>
          <w:szCs w:val="20"/>
          <w:color w:val="auto"/>
        </w:rPr>
      </w:pPr>
      <w:r>
        <w:rPr>
          <w:rFonts w:ascii="Times New Roman" w:cs="Times New Roman" w:eastAsia="Times New Roman" w:hAnsi="Times New Roman"/>
          <w:sz w:val="21"/>
          <w:szCs w:val="21"/>
          <w:b w:val="1"/>
          <w:bCs w:val="1"/>
          <w:color w:val="231F20"/>
        </w:rPr>
        <w:t xml:space="preserve">Income Taxes - </w:t>
      </w:r>
      <w:r>
        <w:rPr>
          <w:rFonts w:ascii="Times New Roman" w:cs="Times New Roman" w:eastAsia="Times New Roman" w:hAnsi="Times New Roman"/>
          <w:sz w:val="21"/>
          <w:szCs w:val="21"/>
          <w:color w:val="231F20"/>
        </w:rPr>
        <w:t>The Company is subject to Federal and State income taxes as well as various other business taxes. The</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Company’s process for determining income tax amounts involves estimating the Company’s current tax liabilities as well as</w:t>
      </w:r>
    </w:p>
    <w:p>
      <w:pPr>
        <w:sectPr>
          <w:pgSz w:w="12240" w:h="15840" w:orient="portrait"/>
          <w:cols w:equalWidth="0" w:num="1">
            <w:col w:w="10800"/>
          </w:cols>
          <w:pgMar w:left="720" w:top="928" w:right="720" w:bottom="188"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47</w:t>
      </w:r>
    </w:p>
    <w:p>
      <w:pPr>
        <w:sectPr>
          <w:pgSz w:w="12240" w:h="15840" w:orient="portrait"/>
          <w:cols w:equalWidth="0" w:num="1">
            <w:col w:w="10800"/>
          </w:cols>
          <w:pgMar w:left="720" w:top="928" w:right="720" w:bottom="188" w:gutter="0" w:footer="0" w:header="0"/>
          <w:type w:val="continuous"/>
        </w:sectPr>
      </w:pPr>
    </w:p>
    <w:bookmarkStart w:id="67" w:name="page68"/>
    <w:bookmarkEnd w:id="67"/>
    <w:p>
      <w:pPr>
        <w:ind w:right="20"/>
        <w:spacing w:after="0" w:line="247" w:lineRule="auto"/>
        <w:rPr>
          <w:sz w:val="20"/>
          <w:szCs w:val="20"/>
          <w:color w:val="auto"/>
        </w:rPr>
      </w:pPr>
      <w:r>
        <w:rPr>
          <w:rFonts w:ascii="Times New Roman" w:cs="Times New Roman" w:eastAsia="Times New Roman" w:hAnsi="Times New Roman"/>
          <w:sz w:val="21"/>
          <w:szCs w:val="21"/>
          <w:color w:val="231F20"/>
        </w:rPr>
        <w:t>assessing temporary and permanent differences resulting from the timing of the deductions of expenses and recognition of taxable income for tax and book accounting purposes. These temporary differences result in deferred tax assets and liabilities, which are included in the Company’s Consolidated Balance Sheets. The Company accounts for income tax assets, liabilities and expenses in accordance with the FASB Codification guidance on Income Taxes. The Company classifies penalties and interest expense related to income tax liabilities as income tax expense and interest expense, respectively, in the Consolidated Statements of Earnings.</w:t>
      </w:r>
    </w:p>
    <w:p>
      <w:pPr>
        <w:spacing w:after="0" w:line="198" w:lineRule="exact"/>
        <w:rPr>
          <w:sz w:val="20"/>
          <w:szCs w:val="20"/>
          <w:color w:val="auto"/>
        </w:rPr>
      </w:pPr>
    </w:p>
    <w:p>
      <w:pPr>
        <w:ind w:right="20" w:firstLine="612"/>
        <w:spacing w:after="0" w:line="245" w:lineRule="auto"/>
        <w:rPr>
          <w:sz w:val="20"/>
          <w:szCs w:val="20"/>
          <w:color w:val="auto"/>
        </w:rPr>
      </w:pPr>
      <w:r>
        <w:rPr>
          <w:rFonts w:ascii="Times New Roman" w:cs="Times New Roman" w:eastAsia="Times New Roman" w:hAnsi="Times New Roman"/>
          <w:sz w:val="21"/>
          <w:szCs w:val="21"/>
          <w:color w:val="231F20"/>
        </w:rPr>
        <w:t>Provisions for income taxes are calculated in each of the jurisdictions in which the Company operates for each period for which a statement of earnings is presented. The Company accounts for income taxes in accordance with the FASB Codification guidance on Income Taxes, which requires an asset and liability approach for the financial accounting and reporting of income taxes. Significant judgments and estimates are required in determining the current and deferred tax assets and liabilities. The Company’s deferred tax assets and liabilities reflect its best assessment of estimated future taxes to be paid. In accordance with the FASB Codification, the Company periodically assesses the realization of its deferred tax assets and liabilities and adjusts the income tax provision, the current tax liability and deferred taxes in the period in which the facts and circumstances which gave rise to the revision become known.</w:t>
      </w:r>
    </w:p>
    <w:p>
      <w:pPr>
        <w:spacing w:after="0" w:line="200" w:lineRule="exact"/>
        <w:rPr>
          <w:sz w:val="20"/>
          <w:szCs w:val="20"/>
          <w:color w:val="auto"/>
        </w:rPr>
      </w:pPr>
    </w:p>
    <w:p>
      <w:pPr>
        <w:jc w:val="both"/>
        <w:ind w:right="240" w:firstLine="612"/>
        <w:spacing w:after="0" w:line="249" w:lineRule="auto"/>
        <w:rPr>
          <w:sz w:val="20"/>
          <w:szCs w:val="20"/>
          <w:color w:val="auto"/>
        </w:rPr>
      </w:pPr>
      <w:r>
        <w:rPr>
          <w:rFonts w:ascii="Times New Roman" w:cs="Times New Roman" w:eastAsia="Times New Roman" w:hAnsi="Times New Roman"/>
          <w:sz w:val="21"/>
          <w:szCs w:val="21"/>
          <w:color w:val="231F20"/>
        </w:rPr>
        <w:t>In December 2023, the FASB issued ASU 2023-09, Income Taxes - Improvements to Income Tax Disclosures (ASU 2023-09). ASU 2023-09 establishes new income tax disclosure requirements in addition to modifying and eliminating certain existing requirements. The amendments in ASU 2023-09 are effective for annual periods beginning after December 15, 2024, with early adoption permitted. The Company adopted this new guidance for the year ended December 31, 2025 and it did not have a material effect on the Company’s Consolidated Financial Statements (See Note 9 Income Taxes).</w:t>
      </w:r>
    </w:p>
    <w:p>
      <w:pPr>
        <w:spacing w:after="0" w:line="191" w:lineRule="exact"/>
        <w:rPr>
          <w:sz w:val="20"/>
          <w:szCs w:val="20"/>
          <w:color w:val="auto"/>
        </w:rPr>
      </w:pPr>
    </w:p>
    <w:p>
      <w:pPr>
        <w:ind w:right="100" w:firstLine="612"/>
        <w:spacing w:after="0" w:line="246" w:lineRule="auto"/>
        <w:rPr>
          <w:sz w:val="20"/>
          <w:szCs w:val="20"/>
          <w:color w:val="auto"/>
        </w:rPr>
      </w:pPr>
      <w:r>
        <w:rPr>
          <w:rFonts w:ascii="Times New Roman" w:cs="Times New Roman" w:eastAsia="Times New Roman" w:hAnsi="Times New Roman"/>
          <w:sz w:val="21"/>
          <w:szCs w:val="21"/>
          <w:b w:val="1"/>
          <w:bCs w:val="1"/>
          <w:color w:val="231F20"/>
        </w:rPr>
        <w:t xml:space="preserve">Dividends - </w:t>
      </w:r>
      <w:r>
        <w:rPr>
          <w:rFonts w:ascii="Times New Roman" w:cs="Times New Roman" w:eastAsia="Times New Roman" w:hAnsi="Times New Roman"/>
          <w:sz w:val="21"/>
          <w:szCs w:val="21"/>
          <w:color w:val="231F20"/>
        </w:rPr>
        <w:t>The Company’s dividend policy is reviewed periodically by the Board. The amount and timing of all</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dividend payments is subject to the discretion of the Board and will depend upon business conditions, results of operations, financial conditions and other factors. For the year ended December 31, 2025, the Company paid quarterly dividends of $0.45 per share, resulting in an annualized dividend rate of $1.80 per common share. For the years ended December 31, 2024 and 2023, the Company paid quarterly dividends of $0.425 and $0.405 per common share, respectively, resulting in annualized dividend rates of $1.70 and $1.62 per common share, respectively. At a January 2026 meeting of the Board, the Board declared a quarterly dividend on the Company’s common stock of $0.475 per share, an increase of $0.025 per share on a quarterly basis, resulting in an increase in the effective annualized dividend rate to $1.90 per share from $1.80 per share.</w:t>
      </w:r>
    </w:p>
    <w:p>
      <w:pPr>
        <w:spacing w:after="0" w:line="192" w:lineRule="exact"/>
        <w:rPr>
          <w:sz w:val="20"/>
          <w:szCs w:val="20"/>
          <w:color w:val="auto"/>
        </w:rPr>
      </w:pPr>
    </w:p>
    <w:p>
      <w:pPr>
        <w:ind w:right="40" w:firstLine="612"/>
        <w:spacing w:after="0" w:line="245" w:lineRule="auto"/>
        <w:rPr>
          <w:sz w:val="20"/>
          <w:szCs w:val="20"/>
          <w:color w:val="auto"/>
        </w:rPr>
      </w:pPr>
      <w:r>
        <w:rPr>
          <w:rFonts w:ascii="Times New Roman" w:cs="Times New Roman" w:eastAsia="Times New Roman" w:hAnsi="Times New Roman"/>
          <w:sz w:val="21"/>
          <w:szCs w:val="21"/>
          <w:b w:val="1"/>
          <w:bCs w:val="1"/>
          <w:color w:val="231F20"/>
        </w:rPr>
        <w:t xml:space="preserve">Cash and Cash Equivalents - </w:t>
      </w:r>
      <w:r>
        <w:rPr>
          <w:rFonts w:ascii="Times New Roman" w:cs="Times New Roman" w:eastAsia="Times New Roman" w:hAnsi="Times New Roman"/>
          <w:sz w:val="21"/>
          <w:szCs w:val="21"/>
          <w:color w:val="231F20"/>
        </w:rPr>
        <w:t>Cash and Cash Equivalents includes all cash and cash equivalents to which the Company</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has legal title. Cash equivalents include short-term investments with original maturities of three months or less and interest bearing deposits. The Company’s cash and cash equivalents are held at financial institutions and at times may exceed federally insured limits. The Company has not experienced any losses in such accounts. Under the Independent System Operator—New England (ISO-NE) Financial Assurance Policy (Policy), Unitil’s subsidiaries Unitil Energy, Fitchburg and Unitil Power are required to provide assurance of their ability to satisfy their obligations to ISO-NE. Under this Policy, Unitil’s subsidiaries provide cash deposits covering approximately 2-1/2 months of outstanding obligations, less credit amounts that are based on the Company’s credit rating. On December 31, 2025 and 2024, the Unitil subsidiaries had deposited $8.5 million and $5.0 million, respectively, to satisfy their ISO-NE obligations.</w:t>
      </w:r>
    </w:p>
    <w:p>
      <w:pPr>
        <w:spacing w:after="0" w:line="195" w:lineRule="exact"/>
        <w:rPr>
          <w:sz w:val="20"/>
          <w:szCs w:val="20"/>
          <w:color w:val="auto"/>
        </w:rPr>
      </w:pPr>
    </w:p>
    <w:p>
      <w:pPr>
        <w:ind w:firstLine="612"/>
        <w:spacing w:after="0" w:line="244" w:lineRule="auto"/>
        <w:rPr>
          <w:sz w:val="20"/>
          <w:szCs w:val="20"/>
          <w:color w:val="auto"/>
        </w:rPr>
      </w:pPr>
      <w:r>
        <w:rPr>
          <w:rFonts w:ascii="Times New Roman" w:cs="Times New Roman" w:eastAsia="Times New Roman" w:hAnsi="Times New Roman"/>
          <w:sz w:val="21"/>
          <w:szCs w:val="21"/>
          <w:b w:val="1"/>
          <w:bCs w:val="1"/>
          <w:color w:val="231F20"/>
        </w:rPr>
        <w:t xml:space="preserve">Allowance for Doubtful Accounts - </w:t>
      </w:r>
      <w:r>
        <w:rPr>
          <w:rFonts w:ascii="Times New Roman" w:cs="Times New Roman" w:eastAsia="Times New Roman" w:hAnsi="Times New Roman"/>
          <w:sz w:val="21"/>
          <w:szCs w:val="21"/>
          <w:color w:val="231F20"/>
        </w:rPr>
        <w:t>The Company recognizes a provision for doubtful accounts that reflects the</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Company’s estimate of expected credit losses for electric and gas utility service accounts receivable. The allowance for doubtful accounts is calculated by applying a historical loss rate to customer account balances and management’s assessment of current and expected economic conditions, customer trends, or other factors. The Company also calculates the amount of written-off receivables that are recoverable through regulatory rate reconciling mechanisms. The Company’s distribution utilities which are under traditional cost of service regulation are authorized by regulators to recover the costs of the energy commodity portion of bad debts through rate mechanisms. Also, the electric and gas divisions of Fitchburg are authorized to recover through rates past due amounts associated with protected hardship accounts. Evaluating the adequacy of the allowance for doubtful accounts requires judgment about the assumptions used in the analysis. The Company’s experience has been that the assumptions used in evaluating the adequacy of the allowance for doubtful accounts have proven to be reasonably accurate. (See Note 3 Allowance for Doubtful Accounts).</w:t>
      </w:r>
    </w:p>
    <w:p>
      <w:pPr>
        <w:spacing w:after="0" w:line="200" w:lineRule="exact"/>
        <w:rPr>
          <w:sz w:val="20"/>
          <w:szCs w:val="20"/>
          <w:color w:val="auto"/>
        </w:rPr>
      </w:pPr>
    </w:p>
    <w:p>
      <w:pPr>
        <w:ind w:right="160" w:firstLine="612"/>
        <w:spacing w:after="0" w:line="279" w:lineRule="auto"/>
        <w:rPr>
          <w:sz w:val="20"/>
          <w:szCs w:val="20"/>
          <w:color w:val="auto"/>
        </w:rPr>
      </w:pPr>
      <w:r>
        <w:rPr>
          <w:rFonts w:ascii="Times New Roman" w:cs="Times New Roman" w:eastAsia="Times New Roman" w:hAnsi="Times New Roman"/>
          <w:sz w:val="21"/>
          <w:szCs w:val="21"/>
          <w:color w:val="231F20"/>
        </w:rPr>
        <w:t>Accounts Receivable, Net includes $2.1 million and $2.3 million of the Allowance for Doubtful Accounts at December 31, 2025 and December 31, 2024, respectively. Unbilled Revenues, net (a component of Accrued Revenue) includes less than</w:t>
      </w:r>
    </w:p>
    <w:p>
      <w:pPr>
        <w:sectPr>
          <w:pgSz w:w="12240" w:h="15840" w:orient="portrait"/>
          <w:cols w:equalWidth="0" w:num="1">
            <w:col w:w="10800"/>
          </w:cols>
          <w:pgMar w:left="720" w:top="929" w:right="720" w:bottom="188"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48</w:t>
      </w:r>
    </w:p>
    <w:p>
      <w:pPr>
        <w:sectPr>
          <w:pgSz w:w="12240" w:h="15840" w:orient="portrait"/>
          <w:cols w:equalWidth="0" w:num="1">
            <w:col w:w="10800"/>
          </w:cols>
          <w:pgMar w:left="720" w:top="929" w:right="720" w:bottom="188" w:gutter="0" w:footer="0" w:header="0"/>
          <w:type w:val="continuous"/>
        </w:sectPr>
      </w:pPr>
    </w:p>
    <w:bookmarkStart w:id="68" w:name="page69"/>
    <w:bookmarkEnd w:id="68"/>
    <w:p>
      <w:pPr>
        <w:ind w:right="820"/>
        <w:spacing w:after="0" w:line="279" w:lineRule="auto"/>
        <w:rPr>
          <w:sz w:val="20"/>
          <w:szCs w:val="20"/>
          <w:color w:val="auto"/>
        </w:rPr>
      </w:pPr>
      <w:r>
        <w:rPr>
          <w:rFonts w:ascii="Times New Roman" w:cs="Times New Roman" w:eastAsia="Times New Roman" w:hAnsi="Times New Roman"/>
          <w:sz w:val="21"/>
          <w:szCs w:val="21"/>
          <w:color w:val="231F20"/>
        </w:rPr>
        <w:t>$0.1 million and $0.1 million of the Allowance for Doubtful Accounts at December 31, 2025 and December 31, 2024, respectively.</w:t>
      </w:r>
    </w:p>
    <w:p>
      <w:pPr>
        <w:spacing w:after="0" w:line="158" w:lineRule="exact"/>
        <w:rPr>
          <w:sz w:val="20"/>
          <w:szCs w:val="20"/>
          <w:color w:val="auto"/>
        </w:rPr>
      </w:pPr>
    </w:p>
    <w:p>
      <w:pPr>
        <w:jc w:val="both"/>
        <w:ind w:right="40" w:firstLine="612"/>
        <w:spacing w:after="0" w:line="261" w:lineRule="auto"/>
        <w:rPr>
          <w:sz w:val="20"/>
          <w:szCs w:val="20"/>
          <w:color w:val="auto"/>
        </w:rPr>
      </w:pPr>
      <w:r>
        <w:rPr>
          <w:rFonts w:ascii="Times New Roman" w:cs="Times New Roman" w:eastAsia="Times New Roman" w:hAnsi="Times New Roman"/>
          <w:sz w:val="21"/>
          <w:szCs w:val="21"/>
          <w:b w:val="1"/>
          <w:bCs w:val="1"/>
          <w:color w:val="231F20"/>
        </w:rPr>
        <w:t xml:space="preserve">Accrued Revenue - </w:t>
      </w:r>
      <w:r>
        <w:rPr>
          <w:rFonts w:ascii="Times New Roman" w:cs="Times New Roman" w:eastAsia="Times New Roman" w:hAnsi="Times New Roman"/>
          <w:sz w:val="21"/>
          <w:szCs w:val="21"/>
          <w:color w:val="231F20"/>
        </w:rPr>
        <w:t>Accrued Revenue includes the current portion of Regulatory Assets (see “Regulatory Accounting”)</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and unbilled revenues (see “Utility Revenue Recognition”). The following table shows the components of Accrued Revenue as of December 31, 2025 and 2024.</w:t>
      </w: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Accrued Revenue (millions)</w:t>
            </w:r>
          </w:p>
        </w:tc>
        <w:tc>
          <w:tcPr>
            <w:tcW w:w="2220" w:type="dxa"/>
            <w:vAlign w:val="bottom"/>
          </w:tcPr>
          <w:p>
            <w:pPr>
              <w:spacing w:after="0"/>
              <w:rPr>
                <w:sz w:val="17"/>
                <w:szCs w:val="17"/>
                <w:color w:val="auto"/>
              </w:rPr>
            </w:pPr>
          </w:p>
        </w:tc>
        <w:tc>
          <w:tcPr>
            <w:tcW w:w="320" w:type="dxa"/>
            <w:vAlign w:val="bottom"/>
            <w:tcBorders>
              <w:bottom w:val="single" w:sz="8" w:color="231F20"/>
            </w:tcBorders>
          </w:tcPr>
          <w:p>
            <w:pPr>
              <w:spacing w:after="0"/>
              <w:rPr>
                <w:sz w:val="17"/>
                <w:szCs w:val="17"/>
                <w:color w:val="auto"/>
              </w:rPr>
            </w:pPr>
          </w:p>
        </w:tc>
        <w:tc>
          <w:tcPr>
            <w:tcW w:w="1780" w:type="dxa"/>
            <w:vAlign w:val="bottom"/>
            <w:tcBorders>
              <w:bottom w:val="single" w:sz="8" w:color="231F20"/>
            </w:tcBorders>
            <w:gridSpan w:val="3"/>
          </w:tcPr>
          <w:p>
            <w:pPr>
              <w:jc w:val="right"/>
              <w:ind w:right="16"/>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960" w:type="dxa"/>
            <w:vAlign w:val="bottom"/>
            <w:tcBorders>
              <w:bottom w:val="single" w:sz="8" w:color="231F20"/>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80" w:type="dxa"/>
            <w:vAlign w:val="bottom"/>
            <w:gridSpan w:val="2"/>
            <w:vMerge w:val="continue"/>
          </w:tcPr>
          <w:p>
            <w:pPr>
              <w:spacing w:after="0"/>
              <w:rPr>
                <w:sz w:val="16"/>
                <w:szCs w:val="16"/>
                <w:color w:val="auto"/>
              </w:rPr>
            </w:pPr>
          </w:p>
        </w:tc>
        <w:tc>
          <w:tcPr>
            <w:tcW w:w="2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51"/>
              <w:spacing w:after="0" w:line="169" w:lineRule="exact"/>
              <w:rPr>
                <w:sz w:val="20"/>
                <w:szCs w:val="20"/>
                <w:color w:val="auto"/>
              </w:rPr>
            </w:pPr>
            <w:r>
              <w:rPr>
                <w:rFonts w:ascii="Times New Roman" w:cs="Times New Roman" w:eastAsia="Times New Roman" w:hAnsi="Times New Roman"/>
                <w:sz w:val="16"/>
                <w:szCs w:val="16"/>
                <w:b w:val="1"/>
                <w:bCs w:val="1"/>
                <w:color w:val="231F20"/>
              </w:rPr>
              <w:t>2025</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449"/>
              <w:spacing w:after="0" w:line="169" w:lineRule="exact"/>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00" w:type="dxa"/>
            <w:vAlign w:val="bottom"/>
            <w:tcBorders>
              <w:top w:val="single" w:sz="8" w:color="231F20"/>
            </w:tcBorders>
            <w:shd w:val="clear" w:color="auto" w:fill="E6E7E8"/>
          </w:tcPr>
          <w:p>
            <w:pPr>
              <w:spacing w:after="0" w:line="204" w:lineRule="exact"/>
              <w:rPr>
                <w:sz w:val="20"/>
                <w:szCs w:val="20"/>
                <w:color w:val="auto"/>
              </w:rPr>
            </w:pPr>
            <w:r>
              <w:rPr>
                <w:rFonts w:ascii="Times New Roman" w:cs="Times New Roman" w:eastAsia="Times New Roman" w:hAnsi="Times New Roman"/>
                <w:sz w:val="19"/>
                <w:szCs w:val="19"/>
                <w:color w:val="231F20"/>
                <w:w w:val="87"/>
              </w:rPr>
              <w:t>Regulatory Assets—Current</w:t>
            </w:r>
          </w:p>
        </w:tc>
        <w:tc>
          <w:tcPr>
            <w:tcW w:w="2480" w:type="dxa"/>
            <w:vAlign w:val="bottom"/>
            <w:tcBorders>
              <w:top w:val="single" w:sz="8" w:color="E6E7E8"/>
            </w:tcBorders>
            <w:shd w:val="clear" w:color="auto" w:fill="E6E7E8"/>
          </w:tcPr>
          <w:p>
            <w:pPr>
              <w:spacing w:after="0"/>
              <w:rPr>
                <w:sz w:val="17"/>
                <w:szCs w:val="17"/>
                <w:color w:val="auto"/>
              </w:rPr>
            </w:pPr>
          </w:p>
        </w:tc>
        <w:tc>
          <w:tcPr>
            <w:tcW w:w="2220" w:type="dxa"/>
            <w:vAlign w:val="bottom"/>
            <w:tcBorders>
              <w:top w:val="single" w:sz="8" w:color="E6E7E8"/>
            </w:tcBorders>
            <w:shd w:val="clear" w:color="auto" w:fill="E6E7E8"/>
          </w:tcPr>
          <w:p>
            <w:pPr>
              <w:spacing w:after="0"/>
              <w:rPr>
                <w:sz w:val="17"/>
                <w:szCs w:val="17"/>
                <w:color w:val="auto"/>
              </w:rPr>
            </w:pPr>
          </w:p>
        </w:tc>
        <w:tc>
          <w:tcPr>
            <w:tcW w:w="320" w:type="dxa"/>
            <w:vAlign w:val="bottom"/>
            <w:tcBorders>
              <w:top w:val="single" w:sz="8" w:color="231F20"/>
            </w:tcBorders>
            <w:shd w:val="clear" w:color="auto" w:fill="E6E7E8"/>
          </w:tcPr>
          <w:p>
            <w:pPr>
              <w:jc w:val="right"/>
              <w:ind w:right="156"/>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108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b w:val="1"/>
                <w:bCs w:val="1"/>
                <w:color w:val="231F20"/>
              </w:rPr>
              <w:t>78.1</w:t>
            </w:r>
          </w:p>
        </w:tc>
        <w:tc>
          <w:tcPr>
            <w:tcW w:w="260" w:type="dxa"/>
            <w:vAlign w:val="bottom"/>
            <w:tcBorders>
              <w:top w:val="single" w:sz="8" w:color="E6E7E8"/>
            </w:tcBorders>
            <w:shd w:val="clear" w:color="auto" w:fill="E6E7E8"/>
          </w:tcPr>
          <w:p>
            <w:pPr>
              <w:spacing w:after="0"/>
              <w:rPr>
                <w:sz w:val="17"/>
                <w:szCs w:val="17"/>
                <w:color w:val="auto"/>
              </w:rPr>
            </w:pPr>
          </w:p>
        </w:tc>
        <w:tc>
          <w:tcPr>
            <w:tcW w:w="440" w:type="dxa"/>
            <w:vAlign w:val="bottom"/>
            <w:tcBorders>
              <w:top w:val="single" w:sz="8" w:color="231F20"/>
            </w:tcBorders>
            <w:shd w:val="clear" w:color="auto" w:fill="E6E7E8"/>
          </w:tcPr>
          <w:p>
            <w:pPr>
              <w:jc w:val="right"/>
              <w:ind w:right="276"/>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color w:val="231F20"/>
              </w:rPr>
              <w:t>70.1</w:t>
            </w:r>
          </w:p>
        </w:tc>
        <w:tc>
          <w:tcPr>
            <w:tcW w:w="60" w:type="dxa"/>
            <w:vAlign w:val="bottom"/>
            <w:tcBorders>
              <w:top w:val="single" w:sz="8" w:color="E6E7E8"/>
            </w:tcBorders>
            <w:shd w:val="clear" w:color="auto" w:fill="E6E7E8"/>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380" w:type="dxa"/>
            <w:vAlign w:val="bottom"/>
            <w:tcBorders>
              <w:bottom w:val="single" w:sz="8" w:color="E6E7E8"/>
            </w:tcBorders>
            <w:gridSpan w:val="2"/>
          </w:tcPr>
          <w:p>
            <w:pPr>
              <w:spacing w:after="0"/>
              <w:rPr>
                <w:sz w:val="20"/>
                <w:szCs w:val="20"/>
                <w:color w:val="auto"/>
              </w:rPr>
            </w:pPr>
            <w:r>
              <w:rPr>
                <w:rFonts w:ascii="Times New Roman" w:cs="Times New Roman" w:eastAsia="Times New Roman" w:hAnsi="Times New Roman"/>
                <w:sz w:val="19"/>
                <w:szCs w:val="19"/>
                <w:color w:val="231F20"/>
              </w:rPr>
              <w:t>Unbilled Revenues</w:t>
            </w:r>
          </w:p>
        </w:tc>
        <w:tc>
          <w:tcPr>
            <w:tcW w:w="2220" w:type="dxa"/>
            <w:vAlign w:val="bottom"/>
            <w:tcBorders>
              <w:bottom w:val="single" w:sz="8" w:color="E6E7E8"/>
            </w:tcBorders>
          </w:tcPr>
          <w:p>
            <w:pPr>
              <w:spacing w:after="0"/>
              <w:rPr>
                <w:sz w:val="19"/>
                <w:szCs w:val="19"/>
                <w:color w:val="auto"/>
              </w:rPr>
            </w:pPr>
          </w:p>
        </w:tc>
        <w:tc>
          <w:tcPr>
            <w:tcW w:w="320" w:type="dxa"/>
            <w:vAlign w:val="bottom"/>
            <w:tcBorders>
              <w:bottom w:val="single" w:sz="8" w:color="231F20"/>
            </w:tcBorders>
          </w:tcPr>
          <w:p>
            <w:pPr>
              <w:spacing w:after="0"/>
              <w:rPr>
                <w:sz w:val="19"/>
                <w:szCs w:val="19"/>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8.9</w:t>
            </w:r>
          </w:p>
        </w:tc>
        <w:tc>
          <w:tcPr>
            <w:tcW w:w="260" w:type="dxa"/>
            <w:vAlign w:val="bottom"/>
            <w:tcBorders>
              <w:bottom w:val="single" w:sz="8" w:color="E6E7E8"/>
            </w:tcBorders>
          </w:tcPr>
          <w:p>
            <w:pPr>
              <w:spacing w:after="0"/>
              <w:rPr>
                <w:sz w:val="19"/>
                <w:szCs w:val="19"/>
                <w:color w:val="auto"/>
              </w:rPr>
            </w:pPr>
          </w:p>
        </w:tc>
        <w:tc>
          <w:tcPr>
            <w:tcW w:w="440" w:type="dxa"/>
            <w:vAlign w:val="bottom"/>
            <w:tcBorders>
              <w:bottom w:val="single" w:sz="8" w:color="231F20"/>
            </w:tcBorders>
          </w:tcPr>
          <w:p>
            <w:pPr>
              <w:spacing w:after="0"/>
              <w:rPr>
                <w:sz w:val="19"/>
                <w:szCs w:val="19"/>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7.3</w:t>
            </w:r>
          </w:p>
        </w:tc>
        <w:tc>
          <w:tcPr>
            <w:tcW w:w="60" w:type="dxa"/>
            <w:vAlign w:val="bottom"/>
            <w:tcBorders>
              <w:bottom w:val="single" w:sz="8" w:color="E6E7E8"/>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380" w:type="dxa"/>
            <w:vAlign w:val="bottom"/>
            <w:tcBorders>
              <w:bottom w:val="single" w:sz="8" w:color="E6E7E8"/>
            </w:tcBorders>
            <w:gridSpan w:val="2"/>
            <w:shd w:val="clear" w:color="auto" w:fill="E6E7E8"/>
          </w:tcPr>
          <w:p>
            <w:pPr>
              <w:ind w:left="200"/>
              <w:spacing w:after="0" w:line="214" w:lineRule="exact"/>
              <w:rPr>
                <w:sz w:val="20"/>
                <w:szCs w:val="20"/>
                <w:color w:val="auto"/>
              </w:rPr>
            </w:pPr>
            <w:r>
              <w:rPr>
                <w:rFonts w:ascii="Times New Roman" w:cs="Times New Roman" w:eastAsia="Times New Roman" w:hAnsi="Times New Roman"/>
                <w:sz w:val="19"/>
                <w:szCs w:val="19"/>
                <w:b w:val="1"/>
                <w:bCs w:val="1"/>
                <w:color w:val="231F20"/>
              </w:rPr>
              <w:t>Total Accrued Revenue</w:t>
            </w:r>
          </w:p>
        </w:tc>
        <w:tc>
          <w:tcPr>
            <w:tcW w:w="2220" w:type="dxa"/>
            <w:vAlign w:val="bottom"/>
            <w:tcBorders>
              <w:bottom w:val="single" w:sz="8" w:color="E6E7E8"/>
            </w:tcBorders>
            <w:shd w:val="clear" w:color="auto" w:fill="E6E7E8"/>
          </w:tcPr>
          <w:p>
            <w:pPr>
              <w:spacing w:after="0"/>
              <w:rPr>
                <w:sz w:val="20"/>
                <w:szCs w:val="20"/>
                <w:color w:val="auto"/>
              </w:rPr>
            </w:pPr>
          </w:p>
        </w:tc>
        <w:tc>
          <w:tcPr>
            <w:tcW w:w="320" w:type="dxa"/>
            <w:vAlign w:val="bottom"/>
            <w:tcBorders>
              <w:bottom w:val="single" w:sz="8" w:color="231F20"/>
            </w:tcBorders>
            <w:shd w:val="clear" w:color="auto" w:fill="E6E7E8"/>
          </w:tcPr>
          <w:p>
            <w:pPr>
              <w:jc w:val="right"/>
              <w:ind w:right="156"/>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1080" w:type="dxa"/>
            <w:vAlign w:val="bottom"/>
            <w:tcBorders>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87.0</w:t>
            </w:r>
          </w:p>
        </w:tc>
        <w:tc>
          <w:tcPr>
            <w:tcW w:w="260" w:type="dxa"/>
            <w:vAlign w:val="bottom"/>
            <w:tcBorders>
              <w:bottom w:val="single" w:sz="8" w:color="E6E7E8"/>
            </w:tcBorders>
            <w:shd w:val="clear" w:color="auto" w:fill="E6E7E8"/>
          </w:tcPr>
          <w:p>
            <w:pPr>
              <w:spacing w:after="0"/>
              <w:rPr>
                <w:sz w:val="20"/>
                <w:szCs w:val="20"/>
                <w:color w:val="auto"/>
              </w:rPr>
            </w:pPr>
          </w:p>
        </w:tc>
        <w:tc>
          <w:tcPr>
            <w:tcW w:w="440" w:type="dxa"/>
            <w:vAlign w:val="bottom"/>
            <w:tcBorders>
              <w:bottom w:val="single" w:sz="8" w:color="231F20"/>
            </w:tcBorders>
            <w:shd w:val="clear" w:color="auto" w:fill="E6E7E8"/>
          </w:tcPr>
          <w:p>
            <w:pPr>
              <w:jc w:val="right"/>
              <w:ind w:right="276"/>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Borders>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77.4</w:t>
            </w:r>
          </w:p>
        </w:tc>
        <w:tc>
          <w:tcPr>
            <w:tcW w:w="60" w:type="dxa"/>
            <w:vAlign w:val="bottom"/>
            <w:tcBorders>
              <w:bottom w:val="single" w:sz="8" w:color="E6E7E8"/>
            </w:tcBorders>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180" w:firstLine="612"/>
        <w:spacing w:after="0" w:line="250" w:lineRule="auto"/>
        <w:rPr>
          <w:sz w:val="20"/>
          <w:szCs w:val="20"/>
          <w:color w:val="auto"/>
        </w:rPr>
      </w:pPr>
      <w:r>
        <w:rPr>
          <w:rFonts w:ascii="Times New Roman" w:cs="Times New Roman" w:eastAsia="Times New Roman" w:hAnsi="Times New Roman"/>
          <w:sz w:val="21"/>
          <w:szCs w:val="21"/>
          <w:b w:val="1"/>
          <w:bCs w:val="1"/>
          <w:color w:val="231F20"/>
        </w:rPr>
        <w:t xml:space="preserve">Exchange Gas Receivable - </w:t>
      </w:r>
      <w:r>
        <w:rPr>
          <w:rFonts w:ascii="Times New Roman" w:cs="Times New Roman" w:eastAsia="Times New Roman" w:hAnsi="Times New Roman"/>
          <w:sz w:val="21"/>
          <w:szCs w:val="21"/>
          <w:color w:val="231F20"/>
        </w:rPr>
        <w:t>Northern Utilities, Fitchburg and Bangor have gas exchange and storage agreements</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whereby natural gas purchases during the months of April through October are delivered to a third-party. The third-party delivers natural gas back to the Company during the months of November through March. The exchange and storage gas volumes are recorded at weighted average cost. The following table shows the components of Exchange Gas Receivable as of December 31, 2025 and 2024.</w:t>
      </w:r>
    </w:p>
    <w:p>
      <w:pPr>
        <w:spacing w:after="0" w:line="246"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4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w w:val="99"/>
              </w:rPr>
              <w:t>Exchange Gas Receivable (millions)</w:t>
            </w:r>
          </w:p>
        </w:tc>
        <w:tc>
          <w:tcPr>
            <w:tcW w:w="4160" w:type="dxa"/>
            <w:vAlign w:val="bottom"/>
            <w:vMerge w:val="restart"/>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1780" w:type="dxa"/>
            <w:vAlign w:val="bottom"/>
            <w:tcBorders>
              <w:bottom w:val="single" w:sz="8" w:color="231F20"/>
            </w:tcBorders>
            <w:gridSpan w:val="3"/>
          </w:tcPr>
          <w:p>
            <w:pPr>
              <w:jc w:val="right"/>
              <w:ind w:right="16"/>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980" w:type="dxa"/>
            <w:vAlign w:val="bottom"/>
            <w:tcBorders>
              <w:bottom w:val="single" w:sz="8" w:color="231F20"/>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Borders>
              <w:bottom w:val="single" w:sz="8" w:color="231F20"/>
            </w:tcBorders>
            <w:vMerge w:val="continue"/>
          </w:tcPr>
          <w:p>
            <w:pPr>
              <w:spacing w:after="0"/>
              <w:rPr>
                <w:sz w:val="17"/>
                <w:szCs w:val="17"/>
                <w:color w:val="auto"/>
              </w:rPr>
            </w:pPr>
          </w:p>
        </w:tc>
        <w:tc>
          <w:tcPr>
            <w:tcW w:w="4160" w:type="dxa"/>
            <w:vAlign w:val="bottom"/>
            <w:tcBorders>
              <w:bottom w:val="single" w:sz="8" w:color="E6E7E8"/>
            </w:tcBorders>
            <w:vMerge w:val="continue"/>
          </w:tcPr>
          <w:p>
            <w:pPr>
              <w:spacing w:after="0"/>
              <w:rPr>
                <w:sz w:val="17"/>
                <w:szCs w:val="17"/>
                <w:color w:val="auto"/>
              </w:rPr>
            </w:pPr>
          </w:p>
        </w:tc>
        <w:tc>
          <w:tcPr>
            <w:tcW w:w="20" w:type="dxa"/>
            <w:vAlign w:val="bottom"/>
            <w:tcBorders>
              <w:bottom w:val="single" w:sz="8" w:color="E6E7E8"/>
            </w:tcBorders>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60" w:type="dxa"/>
            <w:vAlign w:val="bottom"/>
            <w:tcBorders>
              <w:bottom w:val="single" w:sz="8" w:color="E6E7E8"/>
            </w:tcBorders>
          </w:tcPr>
          <w:p>
            <w:pPr>
              <w:spacing w:after="0"/>
              <w:rPr>
                <w:sz w:val="17"/>
                <w:szCs w:val="17"/>
                <w:color w:val="auto"/>
              </w:rPr>
            </w:pPr>
          </w:p>
        </w:tc>
        <w:tc>
          <w:tcPr>
            <w:tcW w:w="42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ind w:right="468"/>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Borders>
              <w:bottom w:val="single" w:sz="8" w:color="E6E7E8"/>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600" w:type="dxa"/>
            <w:vAlign w:val="bottom"/>
            <w:tcBorders>
              <w:top w:val="single" w:sz="8" w:color="E6E7E8"/>
            </w:tcBorders>
            <w:gridSpan w:val="2"/>
            <w:shd w:val="clear" w:color="auto" w:fill="E6E7E8"/>
          </w:tcPr>
          <w:p>
            <w:pPr>
              <w:spacing w:after="0" w:line="217" w:lineRule="exact"/>
              <w:rPr>
                <w:sz w:val="20"/>
                <w:szCs w:val="20"/>
                <w:color w:val="auto"/>
              </w:rPr>
            </w:pPr>
            <w:r>
              <w:rPr>
                <w:rFonts w:ascii="Times New Roman" w:cs="Times New Roman" w:eastAsia="Times New Roman" w:hAnsi="Times New Roman"/>
                <w:sz w:val="19"/>
                <w:szCs w:val="19"/>
                <w:color w:val="231F20"/>
              </w:rPr>
              <w:t>Northern Utilities</w:t>
            </w:r>
          </w:p>
        </w:tc>
        <w:tc>
          <w:tcPr>
            <w:tcW w:w="20" w:type="dxa"/>
            <w:vAlign w:val="bottom"/>
            <w:tcBorders>
              <w:top w:val="single" w:sz="8" w:color="E6E7E8"/>
            </w:tcBorders>
            <w:shd w:val="clear" w:color="auto" w:fill="E6E7E8"/>
          </w:tcPr>
          <w:p>
            <w:pPr>
              <w:spacing w:after="0"/>
              <w:rPr>
                <w:sz w:val="18"/>
                <w:szCs w:val="18"/>
                <w:color w:val="auto"/>
              </w:rPr>
            </w:pPr>
          </w:p>
        </w:tc>
        <w:tc>
          <w:tcPr>
            <w:tcW w:w="280" w:type="dxa"/>
            <w:vAlign w:val="bottom"/>
            <w:tcBorders>
              <w:top w:val="single" w:sz="8" w:color="231F20"/>
            </w:tcBorders>
            <w:shd w:val="clear" w:color="auto" w:fill="E6E7E8"/>
          </w:tcPr>
          <w:p>
            <w:pPr>
              <w:jc w:val="right"/>
              <w:ind w:right="167"/>
              <w:spacing w:after="0"/>
              <w:rPr>
                <w:sz w:val="20"/>
                <w:szCs w:val="20"/>
                <w:color w:val="auto"/>
              </w:rPr>
            </w:pPr>
            <w:r>
              <w:rPr>
                <w:rFonts w:ascii="Times New Roman" w:cs="Times New Roman" w:eastAsia="Times New Roman" w:hAnsi="Times New Roman"/>
                <w:sz w:val="11"/>
                <w:szCs w:val="11"/>
                <w:b w:val="1"/>
                <w:bCs w:val="1"/>
                <w:color w:val="231F20"/>
                <w:w w:val="71"/>
              </w:rPr>
              <w:t>$</w:t>
            </w:r>
          </w:p>
        </w:tc>
        <w:tc>
          <w:tcPr>
            <w:tcW w:w="1100" w:type="dxa"/>
            <w:vAlign w:val="bottom"/>
            <w:tcBorders>
              <w:top w:val="single" w:sz="8" w:color="231F20"/>
            </w:tcBorders>
            <w:shd w:val="clear" w:color="auto" w:fill="E6E7E8"/>
          </w:tcPr>
          <w:p>
            <w:pPr>
              <w:jc w:val="right"/>
              <w:spacing w:after="0" w:line="217" w:lineRule="exact"/>
              <w:rPr>
                <w:sz w:val="20"/>
                <w:szCs w:val="20"/>
                <w:color w:val="auto"/>
              </w:rPr>
            </w:pPr>
            <w:r>
              <w:rPr>
                <w:rFonts w:ascii="Times New Roman" w:cs="Times New Roman" w:eastAsia="Times New Roman" w:hAnsi="Times New Roman"/>
                <w:sz w:val="19"/>
                <w:szCs w:val="19"/>
                <w:b w:val="1"/>
                <w:bCs w:val="1"/>
                <w:color w:val="231F20"/>
              </w:rPr>
              <w:t>8.0</w:t>
            </w:r>
          </w:p>
        </w:tc>
        <w:tc>
          <w:tcPr>
            <w:tcW w:w="260" w:type="dxa"/>
            <w:vAlign w:val="bottom"/>
            <w:tcBorders>
              <w:top w:val="single" w:sz="8" w:color="E6E7E8"/>
            </w:tcBorders>
            <w:shd w:val="clear" w:color="auto" w:fill="E6E7E8"/>
          </w:tcPr>
          <w:p>
            <w:pPr>
              <w:spacing w:after="0"/>
              <w:rPr>
                <w:sz w:val="18"/>
                <w:szCs w:val="18"/>
                <w:color w:val="auto"/>
              </w:rPr>
            </w:pPr>
          </w:p>
        </w:tc>
        <w:tc>
          <w:tcPr>
            <w:tcW w:w="420" w:type="dxa"/>
            <w:vAlign w:val="bottom"/>
            <w:tcBorders>
              <w:top w:val="single" w:sz="8" w:color="231F20"/>
            </w:tcBorders>
            <w:shd w:val="clear" w:color="auto" w:fill="E6E7E8"/>
          </w:tcPr>
          <w:p>
            <w:pPr>
              <w:jc w:val="right"/>
              <w:ind w:right="256"/>
              <w:spacing w:after="0"/>
              <w:rPr>
                <w:sz w:val="20"/>
                <w:szCs w:val="20"/>
                <w:color w:val="auto"/>
              </w:rPr>
            </w:pPr>
            <w:r>
              <w:rPr>
                <w:rFonts w:ascii="Times New Roman" w:cs="Times New Roman" w:eastAsia="Times New Roman" w:hAnsi="Times New Roman"/>
                <w:sz w:val="17"/>
                <w:szCs w:val="17"/>
                <w:color w:val="231F20"/>
                <w:w w:val="70"/>
              </w:rPr>
              <w:t>$</w:t>
            </w:r>
          </w:p>
        </w:tc>
        <w:tc>
          <w:tcPr>
            <w:tcW w:w="980" w:type="dxa"/>
            <w:vAlign w:val="bottom"/>
            <w:tcBorders>
              <w:top w:val="single" w:sz="8" w:color="231F20"/>
            </w:tcBorders>
            <w:shd w:val="clear" w:color="auto" w:fill="E6E7E8"/>
          </w:tcPr>
          <w:p>
            <w:pPr>
              <w:jc w:val="right"/>
              <w:spacing w:after="0" w:line="217" w:lineRule="exact"/>
              <w:rPr>
                <w:sz w:val="20"/>
                <w:szCs w:val="20"/>
                <w:color w:val="auto"/>
              </w:rPr>
            </w:pPr>
            <w:r>
              <w:rPr>
                <w:rFonts w:ascii="Times New Roman" w:cs="Times New Roman" w:eastAsia="Times New Roman" w:hAnsi="Times New Roman"/>
                <w:sz w:val="19"/>
                <w:szCs w:val="19"/>
                <w:color w:val="231F20"/>
              </w:rPr>
              <w:t>6.0</w:t>
            </w:r>
          </w:p>
        </w:tc>
        <w:tc>
          <w:tcPr>
            <w:tcW w:w="60" w:type="dxa"/>
            <w:vAlign w:val="bottom"/>
            <w:tcBorders>
              <w:top w:val="single" w:sz="8" w:color="E6E7E8"/>
            </w:tcBorders>
            <w:shd w:val="clear" w:color="auto" w:fill="E6E7E8"/>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6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Fitchburg</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0.5</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600" w:type="dxa"/>
            <w:vAlign w:val="bottom"/>
            <w:tcBorders>
              <w:bottom w:val="single" w:sz="8" w:color="E6E7E8"/>
            </w:tcBorders>
            <w:gridSpan w:val="2"/>
            <w:shd w:val="clear" w:color="auto" w:fill="E6E7E8"/>
          </w:tcPr>
          <w:p>
            <w:pPr>
              <w:spacing w:after="0"/>
              <w:rPr>
                <w:sz w:val="20"/>
                <w:szCs w:val="20"/>
                <w:color w:val="auto"/>
              </w:rPr>
            </w:pPr>
            <w:r>
              <w:rPr>
                <w:rFonts w:ascii="Times New Roman" w:cs="Times New Roman" w:eastAsia="Times New Roman" w:hAnsi="Times New Roman"/>
                <w:sz w:val="19"/>
                <w:szCs w:val="19"/>
                <w:color w:val="231F20"/>
              </w:rPr>
              <w:t>Bangor</w:t>
            </w:r>
          </w:p>
        </w:tc>
        <w:tc>
          <w:tcPr>
            <w:tcW w:w="20" w:type="dxa"/>
            <w:vAlign w:val="bottom"/>
            <w:tcBorders>
              <w:bottom w:val="single" w:sz="8" w:color="E6E7E8"/>
            </w:tcBorders>
            <w:shd w:val="clear" w:color="auto" w:fill="E6E7E8"/>
          </w:tcPr>
          <w:p>
            <w:pPr>
              <w:spacing w:after="0"/>
              <w:rPr>
                <w:sz w:val="21"/>
                <w:szCs w:val="21"/>
                <w:color w:val="auto"/>
              </w:rPr>
            </w:pPr>
          </w:p>
        </w:tc>
        <w:tc>
          <w:tcPr>
            <w:tcW w:w="280" w:type="dxa"/>
            <w:vAlign w:val="bottom"/>
            <w:tcBorders>
              <w:bottom w:val="single" w:sz="8" w:color="231F20"/>
            </w:tcBorders>
            <w:shd w:val="clear" w:color="auto" w:fill="E6E7E8"/>
          </w:tcPr>
          <w:p>
            <w:pPr>
              <w:spacing w:after="0"/>
              <w:rPr>
                <w:sz w:val="21"/>
                <w:szCs w:val="21"/>
                <w:color w:val="auto"/>
              </w:rPr>
            </w:pPr>
          </w:p>
        </w:tc>
        <w:tc>
          <w:tcPr>
            <w:tcW w:w="110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1.3</w:t>
            </w:r>
          </w:p>
        </w:tc>
        <w:tc>
          <w:tcPr>
            <w:tcW w:w="260" w:type="dxa"/>
            <w:vAlign w:val="bottom"/>
            <w:tcBorders>
              <w:bottom w:val="single" w:sz="8" w:color="E6E7E8"/>
            </w:tcBorders>
            <w:shd w:val="clear" w:color="auto" w:fill="E6E7E8"/>
          </w:tcPr>
          <w:p>
            <w:pPr>
              <w:spacing w:after="0"/>
              <w:rPr>
                <w:sz w:val="21"/>
                <w:szCs w:val="21"/>
                <w:color w:val="auto"/>
              </w:rPr>
            </w:pPr>
          </w:p>
        </w:tc>
        <w:tc>
          <w:tcPr>
            <w:tcW w:w="420" w:type="dxa"/>
            <w:vAlign w:val="bottom"/>
            <w:tcBorders>
              <w:bottom w:val="single" w:sz="8" w:color="231F20"/>
            </w:tcBorders>
            <w:shd w:val="clear" w:color="auto" w:fill="E6E7E8"/>
          </w:tcPr>
          <w:p>
            <w:pPr>
              <w:spacing w:after="0"/>
              <w:rPr>
                <w:sz w:val="21"/>
                <w:szCs w:val="21"/>
                <w:color w:val="auto"/>
              </w:rPr>
            </w:pPr>
          </w:p>
        </w:tc>
        <w:tc>
          <w:tcPr>
            <w:tcW w:w="98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60" w:type="dxa"/>
            <w:vAlign w:val="bottom"/>
            <w:tcBorders>
              <w:bottom w:val="single" w:sz="8" w:color="E6E7E8"/>
            </w:tcBorders>
            <w:shd w:val="clear" w:color="auto" w:fill="E6E7E8"/>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6600" w:type="dxa"/>
            <w:vAlign w:val="bottom"/>
            <w:gridSpan w:val="2"/>
          </w:tcPr>
          <w:p>
            <w:pPr>
              <w:ind w:left="200"/>
              <w:spacing w:after="0" w:line="207" w:lineRule="exact"/>
              <w:rPr>
                <w:sz w:val="20"/>
                <w:szCs w:val="20"/>
                <w:color w:val="auto"/>
              </w:rPr>
            </w:pPr>
            <w:r>
              <w:rPr>
                <w:rFonts w:ascii="Times New Roman" w:cs="Times New Roman" w:eastAsia="Times New Roman" w:hAnsi="Times New Roman"/>
                <w:sz w:val="19"/>
                <w:szCs w:val="19"/>
                <w:b w:val="1"/>
                <w:bCs w:val="1"/>
                <w:color w:val="231F20"/>
              </w:rPr>
              <w:t>Total Exchange Gas Receivable</w:t>
            </w:r>
          </w:p>
        </w:tc>
        <w:tc>
          <w:tcPr>
            <w:tcW w:w="20" w:type="dxa"/>
            <w:vAlign w:val="bottom"/>
          </w:tcPr>
          <w:p>
            <w:pPr>
              <w:spacing w:after="0"/>
              <w:rPr>
                <w:sz w:val="18"/>
                <w:szCs w:val="18"/>
                <w:color w:val="auto"/>
              </w:rPr>
            </w:pPr>
          </w:p>
        </w:tc>
        <w:tc>
          <w:tcPr>
            <w:tcW w:w="280" w:type="dxa"/>
            <w:vAlign w:val="bottom"/>
            <w:tcBorders>
              <w:bottom w:val="single" w:sz="8" w:color="231F20"/>
            </w:tcBorders>
          </w:tcPr>
          <w:p>
            <w:pPr>
              <w:jc w:val="right"/>
              <w:ind w:right="167"/>
              <w:spacing w:after="0"/>
              <w:rPr>
                <w:sz w:val="20"/>
                <w:szCs w:val="20"/>
                <w:color w:val="auto"/>
              </w:rPr>
            </w:pPr>
            <w:r>
              <w:rPr>
                <w:rFonts w:ascii="Times New Roman" w:cs="Times New Roman" w:eastAsia="Times New Roman" w:hAnsi="Times New Roman"/>
                <w:sz w:val="11"/>
                <w:szCs w:val="11"/>
                <w:b w:val="1"/>
                <w:bCs w:val="1"/>
                <w:color w:val="231F20"/>
                <w:w w:val="71"/>
              </w:rPr>
              <w:t>$</w:t>
            </w:r>
          </w:p>
        </w:tc>
        <w:tc>
          <w:tcPr>
            <w:tcW w:w="1100" w:type="dxa"/>
            <w:vAlign w:val="bottom"/>
            <w:tcBorders>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b w:val="1"/>
                <w:bCs w:val="1"/>
                <w:color w:val="231F20"/>
              </w:rPr>
              <w:t>9.8</w:t>
            </w:r>
          </w:p>
        </w:tc>
        <w:tc>
          <w:tcPr>
            <w:tcW w:w="260" w:type="dxa"/>
            <w:vAlign w:val="bottom"/>
          </w:tcPr>
          <w:p>
            <w:pPr>
              <w:spacing w:after="0"/>
              <w:rPr>
                <w:sz w:val="18"/>
                <w:szCs w:val="18"/>
                <w:color w:val="auto"/>
              </w:rPr>
            </w:pPr>
          </w:p>
        </w:tc>
        <w:tc>
          <w:tcPr>
            <w:tcW w:w="420" w:type="dxa"/>
            <w:vAlign w:val="bottom"/>
            <w:tcBorders>
              <w:bottom w:val="single" w:sz="8" w:color="231F20"/>
            </w:tcBorders>
          </w:tcPr>
          <w:p>
            <w:pPr>
              <w:jc w:val="right"/>
              <w:ind w:right="256"/>
              <w:spacing w:after="0"/>
              <w:rPr>
                <w:sz w:val="20"/>
                <w:szCs w:val="20"/>
                <w:color w:val="auto"/>
              </w:rPr>
            </w:pPr>
            <w:r>
              <w:rPr>
                <w:rFonts w:ascii="Times New Roman" w:cs="Times New Roman" w:eastAsia="Times New Roman" w:hAnsi="Times New Roman"/>
                <w:sz w:val="17"/>
                <w:szCs w:val="17"/>
                <w:color w:val="231F20"/>
                <w:w w:val="70"/>
              </w:rPr>
              <w:t>$</w:t>
            </w:r>
          </w:p>
        </w:tc>
        <w:tc>
          <w:tcPr>
            <w:tcW w:w="980" w:type="dxa"/>
            <w:vAlign w:val="bottom"/>
            <w:tcBorders>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rPr>
              <w:t>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700" w:firstLine="612"/>
        <w:spacing w:after="0" w:line="283" w:lineRule="auto"/>
        <w:rPr>
          <w:sz w:val="20"/>
          <w:szCs w:val="20"/>
          <w:color w:val="auto"/>
        </w:rPr>
      </w:pPr>
      <w:r>
        <w:rPr>
          <w:rFonts w:ascii="Times New Roman" w:cs="Times New Roman" w:eastAsia="Times New Roman" w:hAnsi="Times New Roman"/>
          <w:sz w:val="21"/>
          <w:szCs w:val="21"/>
          <w:b w:val="1"/>
          <w:bCs w:val="1"/>
          <w:color w:val="231F20"/>
        </w:rPr>
        <w:t xml:space="preserve">Gas Inventory - </w:t>
      </w:r>
      <w:r>
        <w:rPr>
          <w:rFonts w:ascii="Times New Roman" w:cs="Times New Roman" w:eastAsia="Times New Roman" w:hAnsi="Times New Roman"/>
          <w:sz w:val="21"/>
          <w:szCs w:val="21"/>
          <w:color w:val="231F20"/>
        </w:rPr>
        <w:t>The Company uses the weighted average cost methodology to value natural gas inventory. The</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following table shows the components of Gas Inventory as of December 31, 2025 and 2024.</w:t>
      </w:r>
    </w:p>
    <w:p>
      <w:pPr>
        <w:spacing w:after="0" w:line="207"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Gas Inventory (millions)</w:t>
            </w:r>
          </w:p>
        </w:tc>
        <w:tc>
          <w:tcPr>
            <w:tcW w:w="2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1780" w:type="dxa"/>
            <w:vAlign w:val="bottom"/>
            <w:tcBorders>
              <w:bottom w:val="single" w:sz="8" w:color="231F20"/>
            </w:tcBorders>
            <w:gridSpan w:val="4"/>
          </w:tcPr>
          <w:p>
            <w:pPr>
              <w:jc w:val="right"/>
              <w:ind w:right="16"/>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960" w:type="dxa"/>
            <w:vAlign w:val="bottom"/>
            <w:tcBorders>
              <w:bottom w:val="single" w:sz="8" w:color="231F20"/>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50"/>
              <w:spacing w:after="0" w:line="169" w:lineRule="exact"/>
              <w:rPr>
                <w:sz w:val="20"/>
                <w:szCs w:val="20"/>
                <w:color w:val="auto"/>
              </w:rPr>
            </w:pPr>
            <w:r>
              <w:rPr>
                <w:rFonts w:ascii="Times New Roman" w:cs="Times New Roman" w:eastAsia="Times New Roman" w:hAnsi="Times New Roman"/>
                <w:sz w:val="16"/>
                <w:szCs w:val="16"/>
                <w:b w:val="1"/>
                <w:bCs w:val="1"/>
                <w:color w:val="231F20"/>
              </w:rPr>
              <w:t>2025</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448"/>
              <w:spacing w:after="0" w:line="169" w:lineRule="exact"/>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80" w:type="dxa"/>
            <w:vAlign w:val="bottom"/>
            <w:tcBorders>
              <w:top w:val="single" w:sz="8" w:color="231F20"/>
            </w:tcBorders>
            <w:shd w:val="clear" w:color="auto" w:fill="E6E7E8"/>
          </w:tcPr>
          <w:p>
            <w:pPr>
              <w:spacing w:after="0" w:line="204" w:lineRule="exact"/>
              <w:rPr>
                <w:sz w:val="20"/>
                <w:szCs w:val="20"/>
                <w:color w:val="auto"/>
              </w:rPr>
            </w:pPr>
            <w:r>
              <w:rPr>
                <w:rFonts w:ascii="Times New Roman" w:cs="Times New Roman" w:eastAsia="Times New Roman" w:hAnsi="Times New Roman"/>
                <w:sz w:val="19"/>
                <w:szCs w:val="19"/>
                <w:color w:val="231F20"/>
              </w:rPr>
              <w:t>Natural Gas</w:t>
            </w:r>
          </w:p>
        </w:tc>
        <w:tc>
          <w:tcPr>
            <w:tcW w:w="4920" w:type="dxa"/>
            <w:vAlign w:val="bottom"/>
            <w:tcBorders>
              <w:top w:val="single" w:sz="8" w:color="E6E7E8"/>
            </w:tcBorders>
            <w:shd w:val="clear" w:color="auto" w:fill="E6E7E8"/>
          </w:tcPr>
          <w:p>
            <w:pPr>
              <w:spacing w:after="0"/>
              <w:rPr>
                <w:sz w:val="17"/>
                <w:szCs w:val="17"/>
                <w:color w:val="auto"/>
              </w:rPr>
            </w:pPr>
          </w:p>
        </w:tc>
        <w:tc>
          <w:tcPr>
            <w:tcW w:w="20" w:type="dxa"/>
            <w:vAlign w:val="bottom"/>
            <w:tcBorders>
              <w:top w:val="single" w:sz="8" w:color="E6E7E8"/>
            </w:tcBorders>
            <w:shd w:val="clear" w:color="auto" w:fill="E6E7E8"/>
          </w:tcPr>
          <w:p>
            <w:pPr>
              <w:spacing w:after="0"/>
              <w:rPr>
                <w:sz w:val="17"/>
                <w:szCs w:val="17"/>
                <w:color w:val="auto"/>
              </w:rPr>
            </w:pPr>
          </w:p>
        </w:tc>
        <w:tc>
          <w:tcPr>
            <w:tcW w:w="300" w:type="dxa"/>
            <w:vAlign w:val="bottom"/>
            <w:tcBorders>
              <w:top w:val="single" w:sz="8" w:color="231F20"/>
            </w:tcBorders>
            <w:shd w:val="clear" w:color="auto" w:fill="E6E7E8"/>
          </w:tcPr>
          <w:p>
            <w:pPr>
              <w:jc w:val="right"/>
              <w:ind w:right="187"/>
              <w:spacing w:after="0"/>
              <w:rPr>
                <w:sz w:val="20"/>
                <w:szCs w:val="20"/>
                <w:color w:val="auto"/>
              </w:rPr>
            </w:pPr>
            <w:r>
              <w:rPr>
                <w:rFonts w:ascii="Times New Roman" w:cs="Times New Roman" w:eastAsia="Times New Roman" w:hAnsi="Times New Roman"/>
                <w:sz w:val="11"/>
                <w:szCs w:val="11"/>
                <w:b w:val="1"/>
                <w:bCs w:val="1"/>
                <w:color w:val="231F20"/>
                <w:w w:val="71"/>
              </w:rPr>
              <w:t>$</w:t>
            </w:r>
          </w:p>
        </w:tc>
        <w:tc>
          <w:tcPr>
            <w:tcW w:w="108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b w:val="1"/>
                <w:bCs w:val="1"/>
                <w:color w:val="231F20"/>
              </w:rPr>
              <w:t>0.4</w:t>
            </w:r>
          </w:p>
        </w:tc>
        <w:tc>
          <w:tcPr>
            <w:tcW w:w="20" w:type="dxa"/>
            <w:vAlign w:val="bottom"/>
            <w:tcBorders>
              <w:top w:val="single" w:sz="8" w:color="E6E7E8"/>
            </w:tcBorders>
            <w:shd w:val="clear" w:color="auto" w:fill="E6E7E8"/>
          </w:tcPr>
          <w:p>
            <w:pPr>
              <w:spacing w:after="0"/>
              <w:rPr>
                <w:sz w:val="17"/>
                <w:szCs w:val="17"/>
                <w:color w:val="auto"/>
              </w:rPr>
            </w:pPr>
          </w:p>
        </w:tc>
        <w:tc>
          <w:tcPr>
            <w:tcW w:w="240" w:type="dxa"/>
            <w:vAlign w:val="bottom"/>
            <w:tcBorders>
              <w:top w:val="single" w:sz="8" w:color="E6E7E8"/>
            </w:tcBorders>
            <w:shd w:val="clear" w:color="auto" w:fill="E6E7E8"/>
          </w:tcPr>
          <w:p>
            <w:pPr>
              <w:spacing w:after="0"/>
              <w:rPr>
                <w:sz w:val="17"/>
                <w:szCs w:val="17"/>
                <w:color w:val="auto"/>
              </w:rPr>
            </w:pPr>
          </w:p>
        </w:tc>
        <w:tc>
          <w:tcPr>
            <w:tcW w:w="440" w:type="dxa"/>
            <w:vAlign w:val="bottom"/>
            <w:tcBorders>
              <w:top w:val="single" w:sz="8" w:color="231F20"/>
            </w:tcBorders>
            <w:shd w:val="clear" w:color="auto" w:fill="E6E7E8"/>
          </w:tcPr>
          <w:p>
            <w:pPr>
              <w:jc w:val="right"/>
              <w:ind w:right="276"/>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color w:val="231F20"/>
              </w:rPr>
              <w:t>0.2</w:t>
            </w:r>
          </w:p>
        </w:tc>
        <w:tc>
          <w:tcPr>
            <w:tcW w:w="60" w:type="dxa"/>
            <w:vAlign w:val="bottom"/>
            <w:tcBorders>
              <w:top w:val="single" w:sz="8" w:color="E6E7E8"/>
            </w:tcBorders>
            <w:shd w:val="clear" w:color="auto" w:fill="E6E7E8"/>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Propane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0.4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60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19"/>
                <w:szCs w:val="19"/>
                <w:color w:val="231F20"/>
              </w:rPr>
              <w:t>Liquefied Natural Gas &amp; Other</w:t>
            </w:r>
          </w:p>
        </w:tc>
        <w:tc>
          <w:tcPr>
            <w:tcW w:w="20" w:type="dxa"/>
            <w:vAlign w:val="bottom"/>
            <w:shd w:val="clear" w:color="auto" w:fill="E6E7E8"/>
          </w:tcPr>
          <w:p>
            <w:pPr>
              <w:spacing w:after="0"/>
              <w:rPr>
                <w:sz w:val="20"/>
                <w:szCs w:val="20"/>
                <w:color w:val="auto"/>
              </w:rPr>
            </w:pPr>
          </w:p>
        </w:tc>
        <w:tc>
          <w:tcPr>
            <w:tcW w:w="300" w:type="dxa"/>
            <w:vAlign w:val="bottom"/>
            <w:shd w:val="clear" w:color="auto" w:fill="E6E7E8"/>
          </w:tcPr>
          <w:p>
            <w:pPr>
              <w:spacing w:after="0"/>
              <w:rPr>
                <w:sz w:val="20"/>
                <w:szCs w:val="20"/>
                <w:color w:val="auto"/>
              </w:rPr>
            </w:pPr>
          </w:p>
        </w:tc>
        <w:tc>
          <w:tcPr>
            <w:tcW w:w="110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19"/>
                <w:szCs w:val="19"/>
                <w:b w:val="1"/>
                <w:bCs w:val="1"/>
                <w:color w:val="231F20"/>
              </w:rPr>
              <w:t>0.5</w:t>
            </w:r>
          </w:p>
        </w:tc>
        <w:tc>
          <w:tcPr>
            <w:tcW w:w="240" w:type="dxa"/>
            <w:vAlign w:val="bottom"/>
            <w:shd w:val="clear" w:color="auto" w:fill="E6E7E8"/>
          </w:tcPr>
          <w:p>
            <w:pPr>
              <w:spacing w:after="0"/>
              <w:rPr>
                <w:sz w:val="20"/>
                <w:szCs w:val="20"/>
                <w:color w:val="auto"/>
              </w:rPr>
            </w:pPr>
          </w:p>
        </w:tc>
        <w:tc>
          <w:tcPr>
            <w:tcW w:w="440" w:type="dxa"/>
            <w:vAlign w:val="bottom"/>
            <w:shd w:val="clear" w:color="auto" w:fill="E6E7E8"/>
          </w:tcPr>
          <w:p>
            <w:pPr>
              <w:spacing w:after="0"/>
              <w:rPr>
                <w:sz w:val="20"/>
                <w:szCs w:val="20"/>
                <w:color w:val="auto"/>
              </w:rPr>
            </w:pPr>
          </w:p>
        </w:tc>
        <w:tc>
          <w:tcPr>
            <w:tcW w:w="9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0.5</w:t>
            </w: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6600" w:type="dxa"/>
            <w:vAlign w:val="bottom"/>
            <w:tcBorders>
              <w:top w:val="single" w:sz="8" w:color="E6E7E8"/>
            </w:tcBorders>
            <w:gridSpan w:val="2"/>
          </w:tcPr>
          <w:p>
            <w:pPr>
              <w:ind w:left="200"/>
              <w:spacing w:after="0" w:line="193" w:lineRule="exact"/>
              <w:rPr>
                <w:sz w:val="20"/>
                <w:szCs w:val="20"/>
                <w:color w:val="auto"/>
              </w:rPr>
            </w:pPr>
            <w:r>
              <w:rPr>
                <w:rFonts w:ascii="Times New Roman" w:cs="Times New Roman" w:eastAsia="Times New Roman" w:hAnsi="Times New Roman"/>
                <w:sz w:val="19"/>
                <w:szCs w:val="19"/>
                <w:b w:val="1"/>
                <w:bCs w:val="1"/>
                <w:color w:val="231F20"/>
              </w:rPr>
              <w:t>Total Gas Inventory</w:t>
            </w:r>
          </w:p>
        </w:tc>
        <w:tc>
          <w:tcPr>
            <w:tcW w:w="20" w:type="dxa"/>
            <w:vAlign w:val="bottom"/>
            <w:tcBorders>
              <w:top w:val="single" w:sz="8" w:color="E6E7E8"/>
            </w:tcBorders>
          </w:tcPr>
          <w:p>
            <w:pPr>
              <w:spacing w:after="0"/>
              <w:rPr>
                <w:sz w:val="16"/>
                <w:szCs w:val="16"/>
                <w:color w:val="auto"/>
              </w:rPr>
            </w:pPr>
          </w:p>
        </w:tc>
        <w:tc>
          <w:tcPr>
            <w:tcW w:w="300" w:type="dxa"/>
            <w:vAlign w:val="bottom"/>
            <w:tcBorders>
              <w:top w:val="single" w:sz="8" w:color="231F20"/>
              <w:bottom w:val="single" w:sz="8" w:color="231F20"/>
            </w:tcBorders>
          </w:tcPr>
          <w:p>
            <w:pPr>
              <w:jc w:val="right"/>
              <w:ind w:right="187"/>
              <w:spacing w:after="0"/>
              <w:rPr>
                <w:sz w:val="20"/>
                <w:szCs w:val="20"/>
                <w:color w:val="auto"/>
              </w:rPr>
            </w:pPr>
            <w:r>
              <w:rPr>
                <w:rFonts w:ascii="Times New Roman" w:cs="Times New Roman" w:eastAsia="Times New Roman" w:hAnsi="Times New Roman"/>
                <w:sz w:val="11"/>
                <w:szCs w:val="11"/>
                <w:b w:val="1"/>
                <w:bCs w:val="1"/>
                <w:color w:val="231F20"/>
                <w:w w:val="71"/>
              </w:rPr>
              <w:t>$</w:t>
            </w:r>
          </w:p>
        </w:tc>
        <w:tc>
          <w:tcPr>
            <w:tcW w:w="1080" w:type="dxa"/>
            <w:vAlign w:val="bottom"/>
            <w:tcBorders>
              <w:top w:val="single" w:sz="8" w:color="231F20"/>
              <w:bottom w:val="single" w:sz="8" w:color="231F20"/>
            </w:tcBorders>
          </w:tcPr>
          <w:p>
            <w:pPr>
              <w:jc w:val="right"/>
              <w:spacing w:after="0" w:line="193" w:lineRule="exact"/>
              <w:rPr>
                <w:sz w:val="20"/>
                <w:szCs w:val="20"/>
                <w:color w:val="auto"/>
              </w:rPr>
            </w:pPr>
            <w:r>
              <w:rPr>
                <w:rFonts w:ascii="Times New Roman" w:cs="Times New Roman" w:eastAsia="Times New Roman" w:hAnsi="Times New Roman"/>
                <w:sz w:val="19"/>
                <w:szCs w:val="19"/>
                <w:b w:val="1"/>
                <w:bCs w:val="1"/>
                <w:color w:val="231F20"/>
              </w:rPr>
              <w:t>1.3</w:t>
            </w:r>
          </w:p>
        </w:tc>
        <w:tc>
          <w:tcPr>
            <w:tcW w:w="20" w:type="dxa"/>
            <w:vAlign w:val="bottom"/>
            <w:tcBorders>
              <w:top w:val="single" w:sz="8" w:color="E6E7E8"/>
            </w:tcBorders>
          </w:tcPr>
          <w:p>
            <w:pPr>
              <w:spacing w:after="0"/>
              <w:rPr>
                <w:sz w:val="16"/>
                <w:szCs w:val="16"/>
                <w:color w:val="auto"/>
              </w:rPr>
            </w:pPr>
          </w:p>
        </w:tc>
        <w:tc>
          <w:tcPr>
            <w:tcW w:w="240" w:type="dxa"/>
            <w:vAlign w:val="bottom"/>
            <w:tcBorders>
              <w:top w:val="single" w:sz="8" w:color="E6E7E8"/>
            </w:tcBorders>
          </w:tcPr>
          <w:p>
            <w:pPr>
              <w:spacing w:after="0"/>
              <w:rPr>
                <w:sz w:val="16"/>
                <w:szCs w:val="16"/>
                <w:color w:val="auto"/>
              </w:rPr>
            </w:pPr>
          </w:p>
        </w:tc>
        <w:tc>
          <w:tcPr>
            <w:tcW w:w="440" w:type="dxa"/>
            <w:vAlign w:val="bottom"/>
            <w:tcBorders>
              <w:top w:val="single" w:sz="8" w:color="231F20"/>
              <w:bottom w:val="single" w:sz="8" w:color="231F20"/>
            </w:tcBorders>
          </w:tcPr>
          <w:p>
            <w:pPr>
              <w:jc w:val="right"/>
              <w:ind w:right="276"/>
              <w:spacing w:after="0" w:line="194" w:lineRule="exact"/>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Borders>
              <w:top w:val="single" w:sz="8" w:color="231F20"/>
              <w:bottom w:val="single" w:sz="8" w:color="231F20"/>
            </w:tcBorders>
          </w:tcPr>
          <w:p>
            <w:pPr>
              <w:jc w:val="right"/>
              <w:spacing w:after="0" w:line="193" w:lineRule="exact"/>
              <w:rPr>
                <w:sz w:val="20"/>
                <w:szCs w:val="20"/>
                <w:color w:val="auto"/>
              </w:rPr>
            </w:pPr>
            <w:r>
              <w:rPr>
                <w:rFonts w:ascii="Times New Roman" w:cs="Times New Roman" w:eastAsia="Times New Roman" w:hAnsi="Times New Roman"/>
                <w:sz w:val="19"/>
                <w:szCs w:val="19"/>
                <w:color w:val="231F20"/>
              </w:rPr>
              <w:t>1.1</w:t>
            </w:r>
          </w:p>
        </w:tc>
        <w:tc>
          <w:tcPr>
            <w:tcW w:w="60" w:type="dxa"/>
            <w:vAlign w:val="bottom"/>
            <w:tcBorders>
              <w:top w:val="single" w:sz="8" w:color="E6E7E8"/>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ind w:right="220" w:firstLine="612"/>
        <w:spacing w:after="0" w:line="279" w:lineRule="auto"/>
        <w:rPr>
          <w:sz w:val="20"/>
          <w:szCs w:val="20"/>
          <w:color w:val="auto"/>
        </w:rPr>
      </w:pPr>
      <w:r>
        <w:rPr>
          <w:rFonts w:ascii="Times New Roman" w:cs="Times New Roman" w:eastAsia="Times New Roman" w:hAnsi="Times New Roman"/>
          <w:sz w:val="21"/>
          <w:szCs w:val="21"/>
          <w:color w:val="231F20"/>
        </w:rPr>
        <w:t>The Company also has an inventory of Materials and Supplies in the amounts of $ 15.4 million and $ 14.2 million as of December 31, 2025 and December 31, 2024, respectively. These amounts are recorded at weighted average cost.</w:t>
      </w:r>
    </w:p>
    <w:p>
      <w:pPr>
        <w:spacing w:after="0" w:line="158" w:lineRule="exact"/>
        <w:rPr>
          <w:sz w:val="20"/>
          <w:szCs w:val="20"/>
          <w:color w:val="auto"/>
        </w:rPr>
      </w:pPr>
    </w:p>
    <w:p>
      <w:pPr>
        <w:ind w:right="80" w:firstLine="612"/>
        <w:spacing w:after="0" w:line="244" w:lineRule="auto"/>
        <w:rPr>
          <w:sz w:val="20"/>
          <w:szCs w:val="20"/>
          <w:color w:val="auto"/>
        </w:rPr>
      </w:pPr>
      <w:r>
        <w:rPr>
          <w:rFonts w:ascii="Times New Roman" w:cs="Times New Roman" w:eastAsia="Times New Roman" w:hAnsi="Times New Roman"/>
          <w:sz w:val="21"/>
          <w:szCs w:val="21"/>
          <w:b w:val="1"/>
          <w:bCs w:val="1"/>
          <w:color w:val="231F20"/>
        </w:rPr>
        <w:t xml:space="preserve">Utility Plant - </w:t>
      </w:r>
      <w:r>
        <w:rPr>
          <w:rFonts w:ascii="Times New Roman" w:cs="Times New Roman" w:eastAsia="Times New Roman" w:hAnsi="Times New Roman"/>
          <w:sz w:val="21"/>
          <w:szCs w:val="21"/>
          <w:color w:val="231F20"/>
        </w:rPr>
        <w:t>The cost of additions to Utility Plant and the cost of renewals and betterments are capitalized. Cost of</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additions consists of labor, materials, services and certain indirect construction costs, including an allowance for funds used during construction (AFUDC). The average interest rates applied to AFUDC were 5.39%, 6.22% and 5.48% in 2025, 2024 and 2023, respectively. The costs of current repairs and minor replacements are charged to appropriate operating expense accounts. The original cost of utility plant retired or otherwise disposed of is charged to the accumulated provision for depreciation. The Company includes in its mass asset depreciation rates, which are periodically reviewed as part of its ratemaking proceedings, cost of removal amounts to provide for future negative salvage value. At December 31, 2025 and 2024, the Company has recorded cost of removal amounts of $153.0 million and $139.2 million, respectively, that have been collected in depreciation rates but have not yet been expended, and which represent regulatory liabilities. These amounts are recorded on the Consolidated Balance Sheets in Cost of Removal Obligations.</w:t>
      </w:r>
    </w:p>
    <w:p>
      <w:pPr>
        <w:spacing w:after="0" w:line="223" w:lineRule="exact"/>
        <w:rPr>
          <w:sz w:val="20"/>
          <w:szCs w:val="20"/>
          <w:color w:val="auto"/>
        </w:rPr>
      </w:pPr>
    </w:p>
    <w:p>
      <w:pPr>
        <w:ind w:firstLine="612"/>
        <w:spacing w:after="0" w:line="248" w:lineRule="auto"/>
        <w:rPr>
          <w:sz w:val="20"/>
          <w:szCs w:val="20"/>
          <w:color w:val="auto"/>
        </w:rPr>
      </w:pPr>
      <w:r>
        <w:rPr>
          <w:rFonts w:ascii="Times New Roman" w:cs="Times New Roman" w:eastAsia="Times New Roman" w:hAnsi="Times New Roman"/>
          <w:sz w:val="21"/>
          <w:szCs w:val="21"/>
          <w:b w:val="1"/>
          <w:bCs w:val="1"/>
          <w:color w:val="231F20"/>
        </w:rPr>
        <w:t xml:space="preserve">Regulatory Accounting - </w:t>
      </w:r>
      <w:r>
        <w:rPr>
          <w:rFonts w:ascii="Times New Roman" w:cs="Times New Roman" w:eastAsia="Times New Roman" w:hAnsi="Times New Roman"/>
          <w:sz w:val="21"/>
          <w:szCs w:val="21"/>
          <w:color w:val="231F20"/>
        </w:rPr>
        <w:t>The Company’s principal business is the distribution of electricity and natural gas by the five</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distribution utilities: Unitil Energy, Fitchburg, Northern Utilities, Bangor and Maine Natural. Unitil Energy and Fitchburg are subject to regulation by the FERC. Fitchburg is also regulated by the Massachusetts Department of Public Utilities (MDPU), Unitil Energy is regulated by the New Hampshire Public Utilities Commission (NHPUC), Northern Utilities is regulated by the Maine Public Utilities Commission (MPUC) and NHPUC, Bangor is regulated by the MPUC and Maine Natural is regulated by the MPUC. Granite State, the Company’s natural gas transmission pipeline, is regulated by the FERC. Accordingly, the</w:t>
      </w:r>
    </w:p>
    <w:p>
      <w:pPr>
        <w:sectPr>
          <w:pgSz w:w="12240" w:h="15840" w:orient="portrait"/>
          <w:cols w:equalWidth="0" w:num="1">
            <w:col w:w="10760"/>
          </w:cols>
          <w:pgMar w:left="720" w:top="928" w:right="760" w:bottom="188" w:gutter="0" w:footer="0" w:header="0"/>
        </w:sect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49</w:t>
      </w:r>
    </w:p>
    <w:p>
      <w:pPr>
        <w:sectPr>
          <w:pgSz w:w="12240" w:h="15840" w:orient="portrait"/>
          <w:cols w:equalWidth="0" w:num="1">
            <w:col w:w="10760"/>
          </w:cols>
          <w:pgMar w:left="720" w:top="928" w:right="760" w:bottom="188" w:gutter="0" w:footer="0" w:header="0"/>
          <w:type w:val="continuous"/>
        </w:sectPr>
      </w:pPr>
    </w:p>
    <w:bookmarkStart w:id="69" w:name="page70"/>
    <w:bookmarkEnd w:id="69"/>
    <w:p>
      <w:pPr>
        <w:ind w:right="40"/>
        <w:spacing w:after="0" w:line="245" w:lineRule="auto"/>
        <w:rPr>
          <w:sz w:val="20"/>
          <w:szCs w:val="20"/>
          <w:color w:val="auto"/>
        </w:rPr>
      </w:pPr>
      <w:r>
        <w:rPr>
          <w:rFonts w:ascii="Times New Roman" w:cs="Times New Roman" w:eastAsia="Times New Roman" w:hAnsi="Times New Roman"/>
          <w:sz w:val="21"/>
          <w:szCs w:val="21"/>
          <w:color w:val="231F20"/>
        </w:rPr>
        <w:t>Company uses the Regulated Operations guidance as set forth in the FASB Codification. The Company has recorded Regulatory Assets and Regulatory Liabilities which will be recovered from customers, or applied for customer benefit, in accordance with rate provisions approved by the applicable public utility regulatory commission. The electric and gas divisions of Fitchburg are authorized to recover through rates past due amounts associated with hardship accounts that are protected from shut-off. As of December 31, 2025 and December 31, 2024, the Company has recorded $8.9 million and $7.9 million, respectively, of hardship accounts in Regulatory Assets. These amounts are included in “Other Deferred Charges” in the following table. The Company currently receives recovery in rates or expects to receive recovery of these hardship accounts in future rate cases.</w:t>
      </w:r>
    </w:p>
    <w:p>
      <w:pPr>
        <w:spacing w:after="0" w:line="238" w:lineRule="exact"/>
        <w:rPr>
          <w:sz w:val="20"/>
          <w:szCs w:val="20"/>
          <w:color w:val="auto"/>
        </w:rPr>
      </w:pPr>
    </w:p>
    <w:tbl>
      <w:tblPr>
        <w:tblLayout w:type="fixed"/>
        <w:tblInd w:w="440" w:type="dxa"/>
        <w:tblCellMar>
          <w:top w:w="0" w:type="dxa"/>
          <w:left w:w="0" w:type="dxa"/>
          <w:bottom w:w="0" w:type="dxa"/>
          <w:right w:w="0" w:type="dxa"/>
        </w:tblCellMar>
      </w:tblPr>
      <w:tr>
        <w:trPr>
          <w:trHeight w:val="203"/>
        </w:trPr>
        <w:tc>
          <w:tcPr>
            <w:tcW w:w="100" w:type="dxa"/>
            <w:vAlign w:val="bottom"/>
          </w:tcPr>
          <w:p>
            <w:pPr>
              <w:spacing w:after="0"/>
              <w:rPr>
                <w:sz w:val="17"/>
                <w:szCs w:val="17"/>
                <w:color w:val="auto"/>
              </w:rPr>
            </w:pPr>
          </w:p>
        </w:tc>
        <w:tc>
          <w:tcPr>
            <w:tcW w:w="53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Regulatory Assets consist of the following (millions)</w:t>
            </w:r>
          </w:p>
        </w:tc>
        <w:tc>
          <w:tcPr>
            <w:tcW w:w="1220" w:type="dxa"/>
            <w:vAlign w:val="bottom"/>
          </w:tcPr>
          <w:p>
            <w:pPr>
              <w:spacing w:after="0"/>
              <w:rPr>
                <w:sz w:val="17"/>
                <w:szCs w:val="17"/>
                <w:color w:val="auto"/>
              </w:rPr>
            </w:pPr>
          </w:p>
        </w:tc>
        <w:tc>
          <w:tcPr>
            <w:tcW w:w="320" w:type="dxa"/>
            <w:vAlign w:val="bottom"/>
            <w:tcBorders>
              <w:bottom w:val="single" w:sz="8" w:color="231F20"/>
            </w:tcBorders>
          </w:tcPr>
          <w:p>
            <w:pPr>
              <w:spacing w:after="0"/>
              <w:rPr>
                <w:sz w:val="17"/>
                <w:szCs w:val="17"/>
                <w:color w:val="auto"/>
              </w:rPr>
            </w:pPr>
          </w:p>
        </w:tc>
        <w:tc>
          <w:tcPr>
            <w:tcW w:w="1780" w:type="dxa"/>
            <w:vAlign w:val="bottom"/>
            <w:tcBorders>
              <w:bottom w:val="single" w:sz="8" w:color="231F20"/>
            </w:tcBorders>
            <w:gridSpan w:val="3"/>
          </w:tcPr>
          <w:p>
            <w:pPr>
              <w:jc w:val="right"/>
              <w:ind w:right="16"/>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960" w:type="dxa"/>
            <w:vAlign w:val="bottom"/>
            <w:tcBorders>
              <w:bottom w:val="single" w:sz="8" w:color="231F20"/>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5380" w:type="dxa"/>
            <w:vAlign w:val="bottom"/>
            <w:gridSpan w:val="3"/>
            <w:vMerge w:val="continue"/>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48"/>
              <w:spacing w:after="0" w:line="169" w:lineRule="exact"/>
              <w:rPr>
                <w:sz w:val="20"/>
                <w:szCs w:val="20"/>
                <w:color w:val="auto"/>
              </w:rPr>
            </w:pPr>
            <w:r>
              <w:rPr>
                <w:rFonts w:ascii="Times New Roman" w:cs="Times New Roman" w:eastAsia="Times New Roman" w:hAnsi="Times New Roman"/>
                <w:sz w:val="16"/>
                <w:szCs w:val="16"/>
                <w:b w:val="1"/>
                <w:bCs w:val="1"/>
                <w:color w:val="231F20"/>
              </w:rPr>
              <w:t>2025</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447"/>
              <w:spacing w:after="0" w:line="169" w:lineRule="exact"/>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520" w:type="dxa"/>
            <w:vAlign w:val="bottom"/>
            <w:tcBorders>
              <w:top w:val="single" w:sz="8" w:color="231F20"/>
            </w:tcBorders>
            <w:gridSpan w:val="2"/>
            <w:shd w:val="clear" w:color="auto" w:fill="E6E7E8"/>
          </w:tcPr>
          <w:p>
            <w:pPr>
              <w:spacing w:after="0" w:line="204" w:lineRule="exact"/>
              <w:rPr>
                <w:sz w:val="20"/>
                <w:szCs w:val="20"/>
                <w:color w:val="auto"/>
              </w:rPr>
            </w:pPr>
            <w:r>
              <w:rPr>
                <w:rFonts w:ascii="Times New Roman" w:cs="Times New Roman" w:eastAsia="Times New Roman" w:hAnsi="Times New Roman"/>
                <w:sz w:val="19"/>
                <w:szCs w:val="19"/>
                <w:color w:val="231F20"/>
              </w:rPr>
              <w:t>Retirement Benefits</w:t>
            </w:r>
          </w:p>
        </w:tc>
        <w:tc>
          <w:tcPr>
            <w:tcW w:w="1860" w:type="dxa"/>
            <w:vAlign w:val="bottom"/>
            <w:tcBorders>
              <w:top w:val="single" w:sz="8" w:color="E6E7E8"/>
            </w:tcBorders>
            <w:shd w:val="clear" w:color="auto" w:fill="E6E7E8"/>
          </w:tcPr>
          <w:p>
            <w:pPr>
              <w:spacing w:after="0"/>
              <w:rPr>
                <w:sz w:val="17"/>
                <w:szCs w:val="17"/>
                <w:color w:val="auto"/>
              </w:rPr>
            </w:pPr>
          </w:p>
        </w:tc>
        <w:tc>
          <w:tcPr>
            <w:tcW w:w="1220" w:type="dxa"/>
            <w:vAlign w:val="bottom"/>
            <w:tcBorders>
              <w:top w:val="single" w:sz="8" w:color="E6E7E8"/>
            </w:tcBorders>
            <w:shd w:val="clear" w:color="auto" w:fill="E6E7E8"/>
          </w:tcPr>
          <w:p>
            <w:pPr>
              <w:spacing w:after="0"/>
              <w:rPr>
                <w:sz w:val="17"/>
                <w:szCs w:val="17"/>
                <w:color w:val="auto"/>
              </w:rPr>
            </w:pPr>
          </w:p>
        </w:tc>
        <w:tc>
          <w:tcPr>
            <w:tcW w:w="320" w:type="dxa"/>
            <w:vAlign w:val="bottom"/>
            <w:tcBorders>
              <w:top w:val="single" w:sz="8" w:color="231F20"/>
            </w:tcBorders>
            <w:shd w:val="clear" w:color="auto" w:fill="E6E7E8"/>
          </w:tcPr>
          <w:p>
            <w:pPr>
              <w:jc w:val="right"/>
              <w:ind w:right="156"/>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108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b w:val="1"/>
                <w:bCs w:val="1"/>
                <w:color w:val="231F20"/>
              </w:rPr>
              <w:t>14.6</w:t>
            </w:r>
          </w:p>
        </w:tc>
        <w:tc>
          <w:tcPr>
            <w:tcW w:w="260" w:type="dxa"/>
            <w:vAlign w:val="bottom"/>
            <w:tcBorders>
              <w:top w:val="single" w:sz="8" w:color="E6E7E8"/>
            </w:tcBorders>
            <w:shd w:val="clear" w:color="auto" w:fill="E6E7E8"/>
          </w:tcPr>
          <w:p>
            <w:pPr>
              <w:spacing w:after="0"/>
              <w:rPr>
                <w:sz w:val="17"/>
                <w:szCs w:val="17"/>
                <w:color w:val="auto"/>
              </w:rPr>
            </w:pPr>
          </w:p>
        </w:tc>
        <w:tc>
          <w:tcPr>
            <w:tcW w:w="440" w:type="dxa"/>
            <w:vAlign w:val="bottom"/>
            <w:tcBorders>
              <w:top w:val="single" w:sz="8" w:color="231F20"/>
            </w:tcBorders>
            <w:shd w:val="clear" w:color="auto" w:fill="E6E7E8"/>
          </w:tcPr>
          <w:p>
            <w:pPr>
              <w:jc w:val="right"/>
              <w:ind w:right="276"/>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color w:val="231F20"/>
              </w:rPr>
              <w:t>14.4</w:t>
            </w:r>
          </w:p>
        </w:tc>
        <w:tc>
          <w:tcPr>
            <w:tcW w:w="60" w:type="dxa"/>
            <w:vAlign w:val="bottom"/>
            <w:tcBorders>
              <w:top w:val="single" w:sz="8" w:color="E6E7E8"/>
            </w:tcBorders>
            <w:shd w:val="clear" w:color="auto" w:fill="E6E7E8"/>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9"/>
                <w:szCs w:val="19"/>
                <w:color w:val="231F20"/>
              </w:rPr>
              <w:t>Energy Supply &amp; Other Rate Adjustment Mechanisms</w:t>
            </w: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73.1</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9"/>
                <w:szCs w:val="19"/>
                <w:color w:val="auto"/>
              </w:rPr>
            </w:pPr>
          </w:p>
        </w:tc>
        <w:tc>
          <w:tcPr>
            <w:tcW w:w="5380" w:type="dxa"/>
            <w:vAlign w:val="bottom"/>
            <w:gridSpan w:val="3"/>
            <w:shd w:val="clear" w:color="auto" w:fill="E6E7E8"/>
          </w:tcPr>
          <w:p>
            <w:pPr>
              <w:spacing w:after="0"/>
              <w:rPr>
                <w:sz w:val="20"/>
                <w:szCs w:val="20"/>
                <w:color w:val="auto"/>
              </w:rPr>
            </w:pPr>
            <w:r>
              <w:rPr>
                <w:rFonts w:ascii="Times New Roman" w:cs="Times New Roman" w:eastAsia="Times New Roman" w:hAnsi="Times New Roman"/>
                <w:sz w:val="19"/>
                <w:szCs w:val="19"/>
                <w:color w:val="231F20"/>
              </w:rPr>
              <w:t>Deferred Storm Charges</w:t>
            </w:r>
          </w:p>
        </w:tc>
        <w:tc>
          <w:tcPr>
            <w:tcW w:w="1220" w:type="dxa"/>
            <w:vAlign w:val="bottom"/>
            <w:shd w:val="clear" w:color="auto" w:fill="E6E7E8"/>
          </w:tcPr>
          <w:p>
            <w:pPr>
              <w:spacing w:after="0"/>
              <w:rPr>
                <w:sz w:val="19"/>
                <w:szCs w:val="19"/>
                <w:color w:val="auto"/>
              </w:rPr>
            </w:pPr>
          </w:p>
        </w:tc>
        <w:tc>
          <w:tcPr>
            <w:tcW w:w="320" w:type="dxa"/>
            <w:vAlign w:val="bottom"/>
            <w:shd w:val="clear" w:color="auto" w:fill="E6E7E8"/>
          </w:tcPr>
          <w:p>
            <w:pPr>
              <w:spacing w:after="0"/>
              <w:rPr>
                <w:sz w:val="19"/>
                <w:szCs w:val="19"/>
                <w:color w:val="auto"/>
              </w:rPr>
            </w:pPr>
          </w:p>
        </w:tc>
        <w:tc>
          <w:tcPr>
            <w:tcW w:w="1340" w:type="dxa"/>
            <w:vAlign w:val="bottom"/>
            <w:gridSpan w:val="2"/>
            <w:shd w:val="clear" w:color="auto" w:fill="E6E7E8"/>
          </w:tcPr>
          <w:p>
            <w:pPr>
              <w:jc w:val="right"/>
              <w:ind w:right="260"/>
              <w:spacing w:after="0"/>
              <w:rPr>
                <w:sz w:val="20"/>
                <w:szCs w:val="20"/>
                <w:color w:val="auto"/>
              </w:rPr>
            </w:pPr>
            <w:r>
              <w:rPr>
                <w:rFonts w:ascii="Times New Roman" w:cs="Times New Roman" w:eastAsia="Times New Roman" w:hAnsi="Times New Roman"/>
                <w:sz w:val="19"/>
                <w:szCs w:val="19"/>
                <w:b w:val="1"/>
                <w:bCs w:val="1"/>
                <w:color w:val="231F20"/>
              </w:rPr>
              <w:t>6.0</w:t>
            </w:r>
          </w:p>
        </w:tc>
        <w:tc>
          <w:tcPr>
            <w:tcW w:w="440" w:type="dxa"/>
            <w:vAlign w:val="bottom"/>
            <w:shd w:val="clear" w:color="auto" w:fill="E6E7E8"/>
          </w:tcPr>
          <w:p>
            <w:pPr>
              <w:spacing w:after="0"/>
              <w:rPr>
                <w:sz w:val="19"/>
                <w:szCs w:val="19"/>
                <w:color w:val="auto"/>
              </w:rPr>
            </w:pPr>
          </w:p>
        </w:tc>
        <w:tc>
          <w:tcPr>
            <w:tcW w:w="9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8.3</w:t>
            </w:r>
          </w:p>
        </w:tc>
        <w:tc>
          <w:tcPr>
            <w:tcW w:w="60" w:type="dxa"/>
            <w:vAlign w:val="bottom"/>
            <w:shd w:val="clear" w:color="auto" w:fill="E6E7E8"/>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9"/>
                <w:szCs w:val="19"/>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9"/>
                <w:szCs w:val="19"/>
                <w:color w:val="231F20"/>
              </w:rPr>
              <w:t>Environmental</w:t>
            </w: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b w:val="1"/>
                <w:bCs w:val="1"/>
                <w:color w:val="231F20"/>
              </w:rPr>
              <w:t>10.0</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9"/>
                <w:szCs w:val="19"/>
                <w:color w:val="auto"/>
              </w:rPr>
            </w:pPr>
          </w:p>
        </w:tc>
        <w:tc>
          <w:tcPr>
            <w:tcW w:w="5380" w:type="dxa"/>
            <w:vAlign w:val="bottom"/>
            <w:gridSpan w:val="3"/>
            <w:shd w:val="clear" w:color="auto" w:fill="E6E7E8"/>
          </w:tcPr>
          <w:p>
            <w:pPr>
              <w:spacing w:after="0"/>
              <w:rPr>
                <w:sz w:val="20"/>
                <w:szCs w:val="20"/>
                <w:color w:val="auto"/>
              </w:rPr>
            </w:pPr>
            <w:r>
              <w:rPr>
                <w:rFonts w:ascii="Times New Roman" w:cs="Times New Roman" w:eastAsia="Times New Roman" w:hAnsi="Times New Roman"/>
                <w:sz w:val="19"/>
                <w:szCs w:val="19"/>
                <w:color w:val="231F20"/>
              </w:rPr>
              <w:t>Income Taxes</w:t>
            </w:r>
          </w:p>
        </w:tc>
        <w:tc>
          <w:tcPr>
            <w:tcW w:w="1220" w:type="dxa"/>
            <w:vAlign w:val="bottom"/>
            <w:shd w:val="clear" w:color="auto" w:fill="E6E7E8"/>
          </w:tcPr>
          <w:p>
            <w:pPr>
              <w:spacing w:after="0"/>
              <w:rPr>
                <w:sz w:val="19"/>
                <w:szCs w:val="19"/>
                <w:color w:val="auto"/>
              </w:rPr>
            </w:pPr>
          </w:p>
        </w:tc>
        <w:tc>
          <w:tcPr>
            <w:tcW w:w="320" w:type="dxa"/>
            <w:vAlign w:val="bottom"/>
            <w:shd w:val="clear" w:color="auto" w:fill="E6E7E8"/>
          </w:tcPr>
          <w:p>
            <w:pPr>
              <w:spacing w:after="0"/>
              <w:rPr>
                <w:sz w:val="19"/>
                <w:szCs w:val="19"/>
                <w:color w:val="auto"/>
              </w:rPr>
            </w:pPr>
          </w:p>
        </w:tc>
        <w:tc>
          <w:tcPr>
            <w:tcW w:w="1340" w:type="dxa"/>
            <w:vAlign w:val="bottom"/>
            <w:gridSpan w:val="2"/>
            <w:shd w:val="clear" w:color="auto" w:fill="E6E7E8"/>
          </w:tcPr>
          <w:p>
            <w:pPr>
              <w:jc w:val="right"/>
              <w:ind w:right="260"/>
              <w:spacing w:after="0"/>
              <w:rPr>
                <w:sz w:val="20"/>
                <w:szCs w:val="20"/>
                <w:color w:val="auto"/>
              </w:rPr>
            </w:pPr>
            <w:r>
              <w:rPr>
                <w:rFonts w:ascii="Times New Roman" w:cs="Times New Roman" w:eastAsia="Times New Roman" w:hAnsi="Times New Roman"/>
                <w:sz w:val="19"/>
                <w:szCs w:val="19"/>
                <w:b w:val="1"/>
                <w:bCs w:val="1"/>
                <w:color w:val="231F20"/>
              </w:rPr>
              <w:t>0.4</w:t>
            </w:r>
          </w:p>
        </w:tc>
        <w:tc>
          <w:tcPr>
            <w:tcW w:w="440" w:type="dxa"/>
            <w:vAlign w:val="bottom"/>
            <w:shd w:val="clear" w:color="auto" w:fill="E6E7E8"/>
          </w:tcPr>
          <w:p>
            <w:pPr>
              <w:spacing w:after="0"/>
              <w:rPr>
                <w:sz w:val="19"/>
                <w:szCs w:val="19"/>
                <w:color w:val="auto"/>
              </w:rPr>
            </w:pPr>
          </w:p>
        </w:tc>
        <w:tc>
          <w:tcPr>
            <w:tcW w:w="9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0.4</w:t>
            </w:r>
          </w:p>
        </w:tc>
        <w:tc>
          <w:tcPr>
            <w:tcW w:w="60" w:type="dxa"/>
            <w:vAlign w:val="bottom"/>
            <w:shd w:val="clear" w:color="auto" w:fill="E6E7E8"/>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9"/>
                <w:szCs w:val="19"/>
                <w:color w:val="231F20"/>
              </w:rPr>
              <w:t>Other Deferred Charges</w:t>
            </w: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b w:val="1"/>
                <w:bCs w:val="1"/>
                <w:color w:val="231F20"/>
              </w:rPr>
              <w:t>12.8</w:t>
            </w:r>
          </w:p>
        </w:tc>
        <w:tc>
          <w:tcPr>
            <w:tcW w:w="4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231F20"/>
              </w:rPr>
              <w:t>14.1</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5380" w:type="dxa"/>
            <w:vAlign w:val="bottom"/>
            <w:tcBorders>
              <w:top w:val="single" w:sz="8" w:color="E6E7E8"/>
            </w:tcBorders>
            <w:gridSpan w:val="3"/>
            <w:shd w:val="clear" w:color="auto" w:fill="E6E7E8"/>
          </w:tcPr>
          <w:p>
            <w:pPr>
              <w:ind w:left="200"/>
              <w:spacing w:after="0" w:line="214" w:lineRule="exact"/>
              <w:rPr>
                <w:sz w:val="20"/>
                <w:szCs w:val="20"/>
                <w:color w:val="auto"/>
              </w:rPr>
            </w:pPr>
            <w:r>
              <w:rPr>
                <w:rFonts w:ascii="Times New Roman" w:cs="Times New Roman" w:eastAsia="Times New Roman" w:hAnsi="Times New Roman"/>
                <w:sz w:val="19"/>
                <w:szCs w:val="19"/>
                <w:b w:val="1"/>
                <w:bCs w:val="1"/>
                <w:color w:val="231F20"/>
              </w:rPr>
              <w:t>Total Regulatory Assets</w:t>
            </w:r>
          </w:p>
        </w:tc>
        <w:tc>
          <w:tcPr>
            <w:tcW w:w="1220" w:type="dxa"/>
            <w:vAlign w:val="bottom"/>
            <w:tcBorders>
              <w:top w:val="single" w:sz="8" w:color="E6E7E8"/>
            </w:tcBorders>
            <w:shd w:val="clear" w:color="auto" w:fill="E6E7E8"/>
          </w:tcPr>
          <w:p>
            <w:pPr>
              <w:spacing w:after="0"/>
              <w:rPr>
                <w:sz w:val="18"/>
                <w:szCs w:val="18"/>
                <w:color w:val="auto"/>
              </w:rPr>
            </w:pPr>
          </w:p>
        </w:tc>
        <w:tc>
          <w:tcPr>
            <w:tcW w:w="320" w:type="dxa"/>
            <w:vAlign w:val="bottom"/>
            <w:tcBorders>
              <w:top w:val="single" w:sz="8" w:color="231F20"/>
            </w:tcBorders>
            <w:shd w:val="clear" w:color="auto" w:fill="E6E7E8"/>
          </w:tcPr>
          <w:p>
            <w:pPr>
              <w:spacing w:after="0"/>
              <w:rPr>
                <w:sz w:val="18"/>
                <w:szCs w:val="18"/>
                <w:color w:val="auto"/>
              </w:rPr>
            </w:pPr>
          </w:p>
        </w:tc>
        <w:tc>
          <w:tcPr>
            <w:tcW w:w="1080" w:type="dxa"/>
            <w:vAlign w:val="bottom"/>
            <w:tcBorders>
              <w:top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116.9</w:t>
            </w:r>
          </w:p>
        </w:tc>
        <w:tc>
          <w:tcPr>
            <w:tcW w:w="260" w:type="dxa"/>
            <w:vAlign w:val="bottom"/>
            <w:tcBorders>
              <w:top w:val="single" w:sz="8" w:color="E6E7E8"/>
            </w:tcBorders>
            <w:shd w:val="clear" w:color="auto" w:fill="E6E7E8"/>
          </w:tcPr>
          <w:p>
            <w:pPr>
              <w:spacing w:after="0"/>
              <w:rPr>
                <w:sz w:val="18"/>
                <w:szCs w:val="18"/>
                <w:color w:val="auto"/>
              </w:rPr>
            </w:pPr>
          </w:p>
        </w:tc>
        <w:tc>
          <w:tcPr>
            <w:tcW w:w="440" w:type="dxa"/>
            <w:vAlign w:val="bottom"/>
            <w:tcBorders>
              <w:top w:val="single" w:sz="8" w:color="231F20"/>
            </w:tcBorders>
            <w:shd w:val="clear" w:color="auto" w:fill="E6E7E8"/>
          </w:tcPr>
          <w:p>
            <w:pPr>
              <w:spacing w:after="0"/>
              <w:rPr>
                <w:sz w:val="18"/>
                <w:szCs w:val="18"/>
                <w:color w:val="auto"/>
              </w:rPr>
            </w:pPr>
          </w:p>
        </w:tc>
        <w:tc>
          <w:tcPr>
            <w:tcW w:w="960" w:type="dxa"/>
            <w:vAlign w:val="bottom"/>
            <w:tcBorders>
              <w:top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112.0</w:t>
            </w:r>
          </w:p>
        </w:tc>
        <w:tc>
          <w:tcPr>
            <w:tcW w:w="60" w:type="dxa"/>
            <w:vAlign w:val="bottom"/>
            <w:tcBorders>
              <w:top w:val="single" w:sz="8" w:color="E6E7E8"/>
            </w:tcBorders>
            <w:shd w:val="clear" w:color="auto" w:fill="E6E7E8"/>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9"/>
                <w:szCs w:val="19"/>
                <w:color w:val="auto"/>
              </w:rPr>
            </w:pPr>
          </w:p>
        </w:tc>
        <w:tc>
          <w:tcPr>
            <w:tcW w:w="5380" w:type="dxa"/>
            <w:vAlign w:val="bottom"/>
            <w:tcBorders>
              <w:bottom w:val="single" w:sz="8" w:color="E6E7E8"/>
            </w:tcBorders>
            <w:gridSpan w:val="3"/>
          </w:tcPr>
          <w:p>
            <w:pPr>
              <w:spacing w:after="0" w:line="219" w:lineRule="exact"/>
              <w:rPr>
                <w:sz w:val="20"/>
                <w:szCs w:val="20"/>
                <w:color w:val="auto"/>
              </w:rPr>
            </w:pPr>
            <w:r>
              <w:rPr>
                <w:rFonts w:ascii="Times New Roman" w:cs="Times New Roman" w:eastAsia="Times New Roman" w:hAnsi="Times New Roman"/>
                <w:sz w:val="19"/>
                <w:szCs w:val="19"/>
                <w:color w:val="231F20"/>
              </w:rPr>
              <w:t>Less: Current Portion of Regulatory Assets</w:t>
            </w:r>
            <w:r>
              <w:rPr>
                <w:rFonts w:ascii="Times New Roman" w:cs="Times New Roman" w:eastAsia="Times New Roman" w:hAnsi="Times New Roman"/>
                <w:sz w:val="24"/>
                <w:szCs w:val="24"/>
                <w:color w:val="231F20"/>
                <w:vertAlign w:val="superscript"/>
              </w:rPr>
              <w:t>(1)</w:t>
            </w:r>
          </w:p>
        </w:tc>
        <w:tc>
          <w:tcPr>
            <w:tcW w:w="1220" w:type="dxa"/>
            <w:vAlign w:val="bottom"/>
            <w:tcBorders>
              <w:bottom w:val="single" w:sz="8" w:color="E6E7E8"/>
            </w:tcBorders>
          </w:tcPr>
          <w:p>
            <w:pPr>
              <w:spacing w:after="0"/>
              <w:rPr>
                <w:sz w:val="19"/>
                <w:szCs w:val="19"/>
                <w:color w:val="auto"/>
              </w:rPr>
            </w:pPr>
          </w:p>
        </w:tc>
        <w:tc>
          <w:tcPr>
            <w:tcW w:w="320" w:type="dxa"/>
            <w:vAlign w:val="bottom"/>
            <w:tcBorders>
              <w:bottom w:val="single" w:sz="8" w:color="231F20"/>
            </w:tcBorders>
          </w:tcPr>
          <w:p>
            <w:pPr>
              <w:spacing w:after="0"/>
              <w:rPr>
                <w:sz w:val="19"/>
                <w:szCs w:val="19"/>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78.1</w:t>
            </w:r>
          </w:p>
        </w:tc>
        <w:tc>
          <w:tcPr>
            <w:tcW w:w="260" w:type="dxa"/>
            <w:vAlign w:val="bottom"/>
            <w:tcBorders>
              <w:bottom w:val="single" w:sz="8" w:color="E6E7E8"/>
            </w:tcBorders>
          </w:tcPr>
          <w:p>
            <w:pPr>
              <w:spacing w:after="0"/>
              <w:rPr>
                <w:sz w:val="19"/>
                <w:szCs w:val="19"/>
                <w:color w:val="auto"/>
              </w:rPr>
            </w:pPr>
          </w:p>
        </w:tc>
        <w:tc>
          <w:tcPr>
            <w:tcW w:w="440" w:type="dxa"/>
            <w:vAlign w:val="bottom"/>
            <w:tcBorders>
              <w:bottom w:val="single" w:sz="8" w:color="231F20"/>
            </w:tcBorders>
          </w:tcPr>
          <w:p>
            <w:pPr>
              <w:spacing w:after="0"/>
              <w:rPr>
                <w:sz w:val="19"/>
                <w:szCs w:val="19"/>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70.1</w:t>
            </w:r>
          </w:p>
        </w:tc>
        <w:tc>
          <w:tcPr>
            <w:tcW w:w="60" w:type="dxa"/>
            <w:vAlign w:val="bottom"/>
            <w:tcBorders>
              <w:bottom w:val="single" w:sz="8" w:color="E6E7E8"/>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5380" w:type="dxa"/>
            <w:vAlign w:val="bottom"/>
            <w:gridSpan w:val="3"/>
            <w:shd w:val="clear" w:color="auto" w:fill="E6E7E8"/>
          </w:tcPr>
          <w:p>
            <w:pPr>
              <w:ind w:left="200"/>
              <w:spacing w:after="0" w:line="214" w:lineRule="exact"/>
              <w:rPr>
                <w:sz w:val="20"/>
                <w:szCs w:val="20"/>
                <w:color w:val="auto"/>
              </w:rPr>
            </w:pPr>
            <w:r>
              <w:rPr>
                <w:rFonts w:ascii="Times New Roman" w:cs="Times New Roman" w:eastAsia="Times New Roman" w:hAnsi="Times New Roman"/>
                <w:sz w:val="19"/>
                <w:szCs w:val="19"/>
                <w:b w:val="1"/>
                <w:bCs w:val="1"/>
                <w:color w:val="231F20"/>
              </w:rPr>
              <w:t>Regulatory Assets—noncurrent</w:t>
            </w:r>
          </w:p>
        </w:tc>
        <w:tc>
          <w:tcPr>
            <w:tcW w:w="1220" w:type="dxa"/>
            <w:vAlign w:val="bottom"/>
            <w:shd w:val="clear" w:color="auto" w:fill="E6E7E8"/>
          </w:tcPr>
          <w:p>
            <w:pPr>
              <w:spacing w:after="0"/>
              <w:rPr>
                <w:sz w:val="18"/>
                <w:szCs w:val="18"/>
                <w:color w:val="auto"/>
              </w:rPr>
            </w:pPr>
          </w:p>
        </w:tc>
        <w:tc>
          <w:tcPr>
            <w:tcW w:w="320" w:type="dxa"/>
            <w:vAlign w:val="bottom"/>
            <w:tcBorders>
              <w:bottom w:val="single" w:sz="8" w:color="231F20"/>
            </w:tcBorders>
            <w:shd w:val="clear" w:color="auto" w:fill="E6E7E8"/>
          </w:tcPr>
          <w:p>
            <w:pPr>
              <w:jc w:val="right"/>
              <w:ind w:right="156"/>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1080" w:type="dxa"/>
            <w:vAlign w:val="bottom"/>
            <w:tcBorders>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38.8</w:t>
            </w:r>
          </w:p>
        </w:tc>
        <w:tc>
          <w:tcPr>
            <w:tcW w:w="260" w:type="dxa"/>
            <w:vAlign w:val="bottom"/>
            <w:shd w:val="clear" w:color="auto" w:fill="E6E7E8"/>
          </w:tcPr>
          <w:p>
            <w:pPr>
              <w:spacing w:after="0"/>
              <w:rPr>
                <w:sz w:val="18"/>
                <w:szCs w:val="18"/>
                <w:color w:val="auto"/>
              </w:rPr>
            </w:pPr>
          </w:p>
        </w:tc>
        <w:tc>
          <w:tcPr>
            <w:tcW w:w="440" w:type="dxa"/>
            <w:vAlign w:val="bottom"/>
            <w:tcBorders>
              <w:bottom w:val="single" w:sz="8" w:color="231F20"/>
            </w:tcBorders>
            <w:shd w:val="clear" w:color="auto" w:fill="E6E7E8"/>
          </w:tcPr>
          <w:p>
            <w:pPr>
              <w:jc w:val="right"/>
              <w:ind w:right="276"/>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Borders>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41.9</w:t>
            </w:r>
          </w:p>
        </w:tc>
        <w:tc>
          <w:tcPr>
            <w:tcW w:w="60" w:type="dxa"/>
            <w:vAlign w:val="bottom"/>
            <w:shd w:val="clear" w:color="auto" w:fill="E6E7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00" w:type="dxa"/>
            <w:vAlign w:val="bottom"/>
            <w:tcBorders>
              <w:bottom w:val="single" w:sz="8" w:color="231F20"/>
            </w:tcBorders>
          </w:tcPr>
          <w:p>
            <w:pPr>
              <w:spacing w:after="0"/>
              <w:rPr>
                <w:sz w:val="10"/>
                <w:szCs w:val="10"/>
                <w:color w:val="auto"/>
              </w:rPr>
            </w:pPr>
          </w:p>
        </w:tc>
        <w:tc>
          <w:tcPr>
            <w:tcW w:w="980" w:type="dxa"/>
            <w:vAlign w:val="bottom"/>
            <w:tcBorders>
              <w:bottom w:val="single" w:sz="8" w:color="231F20"/>
            </w:tcBorders>
          </w:tcPr>
          <w:p>
            <w:pPr>
              <w:spacing w:after="0"/>
              <w:rPr>
                <w:sz w:val="10"/>
                <w:szCs w:val="10"/>
                <w:color w:val="auto"/>
              </w:rPr>
            </w:pPr>
          </w:p>
        </w:tc>
        <w:tc>
          <w:tcPr>
            <w:tcW w:w="25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720" w:hanging="288"/>
        <w:spacing w:after="0"/>
        <w:tabs>
          <w:tab w:leader="none" w:pos="720" w:val="left"/>
        </w:tabs>
        <w:numPr>
          <w:ilvl w:val="0"/>
          <w:numId w:val="21"/>
        </w:numPr>
        <w:rPr>
          <w:rFonts w:ascii="Times New Roman" w:cs="Times New Roman" w:eastAsia="Times New Roman" w:hAnsi="Times New Roman"/>
          <w:sz w:val="20"/>
          <w:szCs w:val="20"/>
          <w:color w:val="231F20"/>
          <w:vertAlign w:val="superscript"/>
        </w:rPr>
      </w:pPr>
      <w:r>
        <w:rPr>
          <w:rFonts w:ascii="Times New Roman" w:cs="Times New Roman" w:eastAsia="Times New Roman" w:hAnsi="Times New Roman"/>
          <w:sz w:val="16"/>
          <w:szCs w:val="16"/>
          <w:color w:val="231F20"/>
        </w:rPr>
        <w:t>Reflects amounts included in Accrued Revenue on the Company’s Consolidated Balance Sheets.</w:t>
      </w:r>
    </w:p>
    <w:p>
      <w:pPr>
        <w:spacing w:after="0" w:line="269"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37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w w:val="99"/>
              </w:rPr>
              <w:t>Regulatory Liabilities consist of the following (millions)</w:t>
            </w:r>
          </w:p>
        </w:tc>
        <w:tc>
          <w:tcPr>
            <w:tcW w:w="1400" w:type="dxa"/>
            <w:vAlign w:val="bottom"/>
            <w:vMerge w:val="restart"/>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1780" w:type="dxa"/>
            <w:vAlign w:val="bottom"/>
            <w:tcBorders>
              <w:bottom w:val="single" w:sz="8" w:color="231F20"/>
            </w:tcBorders>
            <w:gridSpan w:val="3"/>
          </w:tcPr>
          <w:p>
            <w:pPr>
              <w:jc w:val="right"/>
              <w:ind w:right="16"/>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980" w:type="dxa"/>
            <w:vAlign w:val="bottom"/>
            <w:tcBorders>
              <w:bottom w:val="single" w:sz="8" w:color="231F20"/>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Borders>
              <w:bottom w:val="single" w:sz="8" w:color="231F20"/>
            </w:tcBorders>
            <w:vMerge w:val="continue"/>
          </w:tcPr>
          <w:p>
            <w:pPr>
              <w:spacing w:after="0"/>
              <w:rPr>
                <w:sz w:val="17"/>
                <w:szCs w:val="17"/>
                <w:color w:val="auto"/>
              </w:rPr>
            </w:pPr>
          </w:p>
        </w:tc>
        <w:tc>
          <w:tcPr>
            <w:tcW w:w="1400" w:type="dxa"/>
            <w:vAlign w:val="bottom"/>
            <w:tcBorders>
              <w:bottom w:val="single" w:sz="8" w:color="E6E7E8"/>
            </w:tcBorders>
            <w:vMerge w:val="continue"/>
          </w:tcPr>
          <w:p>
            <w:pPr>
              <w:spacing w:after="0"/>
              <w:rPr>
                <w:sz w:val="17"/>
                <w:szCs w:val="17"/>
                <w:color w:val="auto"/>
              </w:rPr>
            </w:pPr>
          </w:p>
        </w:tc>
        <w:tc>
          <w:tcPr>
            <w:tcW w:w="1420" w:type="dxa"/>
            <w:vAlign w:val="bottom"/>
            <w:tcBorders>
              <w:bottom w:val="single" w:sz="8" w:color="E6E7E8"/>
            </w:tcBorders>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jc w:val="right"/>
              <w:ind w:right="468"/>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60" w:type="dxa"/>
            <w:vAlign w:val="bottom"/>
            <w:tcBorders>
              <w:bottom w:val="single" w:sz="8" w:color="E6E7E8"/>
            </w:tcBorders>
          </w:tcPr>
          <w:p>
            <w:pPr>
              <w:spacing w:after="0"/>
              <w:rPr>
                <w:sz w:val="17"/>
                <w:szCs w:val="17"/>
                <w:color w:val="auto"/>
              </w:rPr>
            </w:pPr>
          </w:p>
        </w:tc>
        <w:tc>
          <w:tcPr>
            <w:tcW w:w="42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ind w:right="467"/>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Borders>
              <w:bottom w:val="single" w:sz="8" w:color="E6E7E8"/>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180" w:type="dxa"/>
            <w:vAlign w:val="bottom"/>
            <w:tcBorders>
              <w:top w:val="single" w:sz="8" w:color="E6E7E8"/>
            </w:tcBorders>
            <w:gridSpan w:val="2"/>
            <w:shd w:val="clear" w:color="auto" w:fill="E6E7E8"/>
          </w:tcPr>
          <w:p>
            <w:pPr>
              <w:spacing w:after="0" w:line="217" w:lineRule="exact"/>
              <w:rPr>
                <w:sz w:val="20"/>
                <w:szCs w:val="20"/>
                <w:color w:val="auto"/>
              </w:rPr>
            </w:pPr>
            <w:r>
              <w:rPr>
                <w:rFonts w:ascii="Times New Roman" w:cs="Times New Roman" w:eastAsia="Times New Roman" w:hAnsi="Times New Roman"/>
                <w:sz w:val="19"/>
                <w:szCs w:val="19"/>
                <w:color w:val="231F20"/>
              </w:rPr>
              <w:t>Rate Adjustment Mechanisms and Other</w:t>
            </w:r>
          </w:p>
        </w:tc>
        <w:tc>
          <w:tcPr>
            <w:tcW w:w="1420" w:type="dxa"/>
            <w:vAlign w:val="bottom"/>
            <w:tcBorders>
              <w:top w:val="single" w:sz="8" w:color="E6E7E8"/>
            </w:tcBorders>
            <w:shd w:val="clear" w:color="auto" w:fill="E6E7E8"/>
          </w:tcPr>
          <w:p>
            <w:pPr>
              <w:spacing w:after="0"/>
              <w:rPr>
                <w:sz w:val="18"/>
                <w:szCs w:val="18"/>
                <w:color w:val="auto"/>
              </w:rPr>
            </w:pPr>
          </w:p>
        </w:tc>
        <w:tc>
          <w:tcPr>
            <w:tcW w:w="300" w:type="dxa"/>
            <w:vAlign w:val="bottom"/>
            <w:tcBorders>
              <w:top w:val="single" w:sz="8" w:color="231F20"/>
            </w:tcBorders>
            <w:shd w:val="clear" w:color="auto" w:fill="E6E7E8"/>
          </w:tcPr>
          <w:p>
            <w:pPr>
              <w:jc w:val="right"/>
              <w:ind w:right="136"/>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1100" w:type="dxa"/>
            <w:vAlign w:val="bottom"/>
            <w:tcBorders>
              <w:top w:val="single" w:sz="8" w:color="231F20"/>
            </w:tcBorders>
            <w:shd w:val="clear" w:color="auto" w:fill="E6E7E8"/>
          </w:tcPr>
          <w:p>
            <w:pPr>
              <w:jc w:val="right"/>
              <w:spacing w:after="0" w:line="217" w:lineRule="exact"/>
              <w:rPr>
                <w:sz w:val="20"/>
                <w:szCs w:val="20"/>
                <w:color w:val="auto"/>
              </w:rPr>
            </w:pPr>
            <w:r>
              <w:rPr>
                <w:rFonts w:ascii="Times New Roman" w:cs="Times New Roman" w:eastAsia="Times New Roman" w:hAnsi="Times New Roman"/>
                <w:sz w:val="19"/>
                <w:szCs w:val="19"/>
                <w:b w:val="1"/>
                <w:bCs w:val="1"/>
                <w:color w:val="231F20"/>
              </w:rPr>
              <w:t>11.1</w:t>
            </w:r>
          </w:p>
        </w:tc>
        <w:tc>
          <w:tcPr>
            <w:tcW w:w="260" w:type="dxa"/>
            <w:vAlign w:val="bottom"/>
            <w:tcBorders>
              <w:top w:val="single" w:sz="8" w:color="E6E7E8"/>
            </w:tcBorders>
            <w:shd w:val="clear" w:color="auto" w:fill="E6E7E8"/>
          </w:tcPr>
          <w:p>
            <w:pPr>
              <w:spacing w:after="0"/>
              <w:rPr>
                <w:sz w:val="18"/>
                <w:szCs w:val="18"/>
                <w:color w:val="auto"/>
              </w:rPr>
            </w:pPr>
          </w:p>
        </w:tc>
        <w:tc>
          <w:tcPr>
            <w:tcW w:w="420" w:type="dxa"/>
            <w:vAlign w:val="bottom"/>
            <w:tcBorders>
              <w:top w:val="single" w:sz="8" w:color="231F20"/>
            </w:tcBorders>
            <w:shd w:val="clear" w:color="auto" w:fill="E6E7E8"/>
          </w:tcPr>
          <w:p>
            <w:pPr>
              <w:jc w:val="right"/>
              <w:ind w:right="256"/>
              <w:spacing w:after="0"/>
              <w:rPr>
                <w:sz w:val="20"/>
                <w:szCs w:val="20"/>
                <w:color w:val="auto"/>
              </w:rPr>
            </w:pPr>
            <w:r>
              <w:rPr>
                <w:rFonts w:ascii="Times New Roman" w:cs="Times New Roman" w:eastAsia="Times New Roman" w:hAnsi="Times New Roman"/>
                <w:sz w:val="17"/>
                <w:szCs w:val="17"/>
                <w:color w:val="231F20"/>
                <w:w w:val="70"/>
              </w:rPr>
              <w:t>$</w:t>
            </w:r>
          </w:p>
        </w:tc>
        <w:tc>
          <w:tcPr>
            <w:tcW w:w="980" w:type="dxa"/>
            <w:vAlign w:val="bottom"/>
            <w:tcBorders>
              <w:top w:val="single" w:sz="8" w:color="231F20"/>
            </w:tcBorders>
            <w:shd w:val="clear" w:color="auto" w:fill="E6E7E8"/>
          </w:tcPr>
          <w:p>
            <w:pPr>
              <w:jc w:val="right"/>
              <w:spacing w:after="0" w:line="217" w:lineRule="exact"/>
              <w:rPr>
                <w:sz w:val="20"/>
                <w:szCs w:val="20"/>
                <w:color w:val="auto"/>
              </w:rPr>
            </w:pPr>
            <w:r>
              <w:rPr>
                <w:rFonts w:ascii="Times New Roman" w:cs="Times New Roman" w:eastAsia="Times New Roman" w:hAnsi="Times New Roman"/>
                <w:sz w:val="19"/>
                <w:szCs w:val="19"/>
                <w:color w:val="231F20"/>
              </w:rPr>
              <w:t>13.6</w:t>
            </w:r>
          </w:p>
        </w:tc>
        <w:tc>
          <w:tcPr>
            <w:tcW w:w="60" w:type="dxa"/>
            <w:vAlign w:val="bottom"/>
            <w:tcBorders>
              <w:top w:val="single" w:sz="8" w:color="E6E7E8"/>
            </w:tcBorders>
            <w:shd w:val="clear" w:color="auto" w:fill="E6E7E8"/>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18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Income Taxes</w:t>
            </w: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51.1</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50.4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18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19"/>
                <w:szCs w:val="19"/>
                <w:color w:val="231F20"/>
              </w:rPr>
              <w:t>Derivative Assets</w:t>
            </w:r>
          </w:p>
        </w:tc>
        <w:tc>
          <w:tcPr>
            <w:tcW w:w="1420" w:type="dxa"/>
            <w:vAlign w:val="bottom"/>
            <w:shd w:val="clear" w:color="auto" w:fill="E6E7E8"/>
          </w:tcPr>
          <w:p>
            <w:pPr>
              <w:spacing w:after="0"/>
              <w:rPr>
                <w:sz w:val="20"/>
                <w:szCs w:val="20"/>
                <w:color w:val="auto"/>
              </w:rPr>
            </w:pPr>
          </w:p>
        </w:tc>
        <w:tc>
          <w:tcPr>
            <w:tcW w:w="300" w:type="dxa"/>
            <w:vAlign w:val="bottom"/>
            <w:shd w:val="clear" w:color="auto" w:fill="E6E7E8"/>
          </w:tcPr>
          <w:p>
            <w:pPr>
              <w:spacing w:after="0"/>
              <w:rPr>
                <w:sz w:val="20"/>
                <w:szCs w:val="20"/>
                <w:color w:val="auto"/>
              </w:rPr>
            </w:pPr>
          </w:p>
        </w:tc>
        <w:tc>
          <w:tcPr>
            <w:tcW w:w="11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17.7</w:t>
            </w:r>
          </w:p>
        </w:tc>
        <w:tc>
          <w:tcPr>
            <w:tcW w:w="260" w:type="dxa"/>
            <w:vAlign w:val="bottom"/>
            <w:shd w:val="clear" w:color="auto" w:fill="E6E7E8"/>
          </w:tcPr>
          <w:p>
            <w:pPr>
              <w:spacing w:after="0"/>
              <w:rPr>
                <w:sz w:val="20"/>
                <w:szCs w:val="20"/>
                <w:color w:val="auto"/>
              </w:rPr>
            </w:pPr>
          </w:p>
        </w:tc>
        <w:tc>
          <w:tcPr>
            <w:tcW w:w="420" w:type="dxa"/>
            <w:vAlign w:val="bottom"/>
            <w:shd w:val="clear" w:color="auto" w:fill="E6E7E8"/>
          </w:tcPr>
          <w:p>
            <w:pPr>
              <w:spacing w:after="0"/>
              <w:rPr>
                <w:sz w:val="20"/>
                <w:szCs w:val="20"/>
                <w:color w:val="auto"/>
              </w:rPr>
            </w:pPr>
          </w:p>
        </w:tc>
        <w:tc>
          <w:tcPr>
            <w:tcW w:w="9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180" w:type="dxa"/>
            <w:vAlign w:val="bottom"/>
            <w:tcBorders>
              <w:bottom w:val="single" w:sz="8" w:color="E6E7E8"/>
            </w:tcBorders>
            <w:gridSpan w:val="2"/>
          </w:tcPr>
          <w:p>
            <w:pPr>
              <w:spacing w:after="0"/>
              <w:rPr>
                <w:sz w:val="20"/>
                <w:szCs w:val="20"/>
                <w:color w:val="auto"/>
              </w:rPr>
            </w:pPr>
            <w:r>
              <w:rPr>
                <w:rFonts w:ascii="Times New Roman" w:cs="Times New Roman" w:eastAsia="Times New Roman" w:hAnsi="Times New Roman"/>
                <w:sz w:val="19"/>
                <w:szCs w:val="19"/>
                <w:color w:val="231F20"/>
              </w:rPr>
              <w:t>Retirement Benefits</w:t>
            </w:r>
          </w:p>
        </w:tc>
        <w:tc>
          <w:tcPr>
            <w:tcW w:w="1420" w:type="dxa"/>
            <w:vAlign w:val="bottom"/>
            <w:tcBorders>
              <w:bottom w:val="single" w:sz="8" w:color="E6E7E8"/>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0.9</w:t>
            </w:r>
          </w:p>
        </w:tc>
        <w:tc>
          <w:tcPr>
            <w:tcW w:w="260" w:type="dxa"/>
            <w:vAlign w:val="bottom"/>
            <w:tcBorders>
              <w:bottom w:val="single" w:sz="8" w:color="E6E7E8"/>
            </w:tcBorders>
          </w:tcPr>
          <w:p>
            <w:pPr>
              <w:spacing w:after="0"/>
              <w:rPr>
                <w:sz w:val="20"/>
                <w:szCs w:val="20"/>
                <w:color w:val="auto"/>
              </w:rPr>
            </w:pPr>
          </w:p>
        </w:tc>
        <w:tc>
          <w:tcPr>
            <w:tcW w:w="42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60" w:type="dxa"/>
            <w:vAlign w:val="bottom"/>
            <w:tcBorders>
              <w:bottom w:val="single" w:sz="8" w:color="E6E7E8"/>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18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b w:val="1"/>
                <w:bCs w:val="1"/>
                <w:color w:val="231F20"/>
              </w:rPr>
              <w:t>Total Regulatory Liabilities</w:t>
            </w:r>
          </w:p>
        </w:tc>
        <w:tc>
          <w:tcPr>
            <w:tcW w:w="1420" w:type="dxa"/>
            <w:vAlign w:val="bottom"/>
            <w:shd w:val="clear" w:color="auto" w:fill="E6E7E8"/>
          </w:tcPr>
          <w:p>
            <w:pPr>
              <w:spacing w:after="0"/>
              <w:rPr>
                <w:sz w:val="19"/>
                <w:szCs w:val="19"/>
                <w:color w:val="auto"/>
              </w:rPr>
            </w:pPr>
          </w:p>
        </w:tc>
        <w:tc>
          <w:tcPr>
            <w:tcW w:w="300" w:type="dxa"/>
            <w:vAlign w:val="bottom"/>
            <w:shd w:val="clear" w:color="auto" w:fill="E6E7E8"/>
          </w:tcPr>
          <w:p>
            <w:pPr>
              <w:spacing w:after="0"/>
              <w:rPr>
                <w:sz w:val="19"/>
                <w:szCs w:val="19"/>
                <w:color w:val="auto"/>
              </w:rPr>
            </w:pPr>
          </w:p>
        </w:tc>
        <w:tc>
          <w:tcPr>
            <w:tcW w:w="11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80.8</w:t>
            </w:r>
          </w:p>
        </w:tc>
        <w:tc>
          <w:tcPr>
            <w:tcW w:w="260" w:type="dxa"/>
            <w:vAlign w:val="bottom"/>
            <w:shd w:val="clear" w:color="auto" w:fill="E6E7E8"/>
          </w:tcPr>
          <w:p>
            <w:pPr>
              <w:spacing w:after="0"/>
              <w:rPr>
                <w:sz w:val="19"/>
                <w:szCs w:val="19"/>
                <w:color w:val="auto"/>
              </w:rPr>
            </w:pPr>
          </w:p>
        </w:tc>
        <w:tc>
          <w:tcPr>
            <w:tcW w:w="420" w:type="dxa"/>
            <w:vAlign w:val="bottom"/>
            <w:shd w:val="clear" w:color="auto" w:fill="E6E7E8"/>
          </w:tcPr>
          <w:p>
            <w:pPr>
              <w:spacing w:after="0"/>
              <w:rPr>
                <w:sz w:val="19"/>
                <w:szCs w:val="19"/>
                <w:color w:val="auto"/>
              </w:rPr>
            </w:pPr>
          </w:p>
        </w:tc>
        <w:tc>
          <w:tcPr>
            <w:tcW w:w="9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64.0</w:t>
            </w:r>
          </w:p>
        </w:tc>
        <w:tc>
          <w:tcPr>
            <w:tcW w:w="60" w:type="dxa"/>
            <w:vAlign w:val="bottom"/>
            <w:shd w:val="clear" w:color="auto" w:fill="E6E7E8"/>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180" w:type="dxa"/>
            <w:vAlign w:val="bottom"/>
            <w:tcBorders>
              <w:bottom w:val="single" w:sz="8" w:color="E6E7E8"/>
            </w:tcBorders>
            <w:gridSpan w:val="2"/>
          </w:tcPr>
          <w:p>
            <w:pPr>
              <w:spacing w:after="0"/>
              <w:rPr>
                <w:sz w:val="20"/>
                <w:szCs w:val="20"/>
                <w:color w:val="auto"/>
              </w:rPr>
            </w:pPr>
            <w:r>
              <w:rPr>
                <w:rFonts w:ascii="Times New Roman" w:cs="Times New Roman" w:eastAsia="Times New Roman" w:hAnsi="Times New Roman"/>
                <w:sz w:val="19"/>
                <w:szCs w:val="19"/>
                <w:color w:val="231F20"/>
              </w:rPr>
              <w:t>Less: Current Portion of Regulatory Liabilities</w:t>
            </w:r>
          </w:p>
        </w:tc>
        <w:tc>
          <w:tcPr>
            <w:tcW w:w="1420" w:type="dxa"/>
            <w:vAlign w:val="bottom"/>
            <w:tcBorders>
              <w:bottom w:val="single" w:sz="8" w:color="E6E7E8"/>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16.7</w:t>
            </w:r>
          </w:p>
        </w:tc>
        <w:tc>
          <w:tcPr>
            <w:tcW w:w="260" w:type="dxa"/>
            <w:vAlign w:val="bottom"/>
            <w:tcBorders>
              <w:bottom w:val="single" w:sz="8" w:color="E6E7E8"/>
            </w:tcBorders>
          </w:tcPr>
          <w:p>
            <w:pPr>
              <w:spacing w:after="0"/>
              <w:rPr>
                <w:sz w:val="20"/>
                <w:szCs w:val="20"/>
                <w:color w:val="auto"/>
              </w:rPr>
            </w:pPr>
          </w:p>
        </w:tc>
        <w:tc>
          <w:tcPr>
            <w:tcW w:w="42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17.2</w:t>
            </w:r>
          </w:p>
        </w:tc>
        <w:tc>
          <w:tcPr>
            <w:tcW w:w="60" w:type="dxa"/>
            <w:vAlign w:val="bottom"/>
            <w:tcBorders>
              <w:bottom w:val="single" w:sz="8" w:color="E6E7E8"/>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18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b w:val="1"/>
                <w:bCs w:val="1"/>
                <w:color w:val="231F20"/>
              </w:rPr>
              <w:t>Regulatory Liabilities—noncurrent</w:t>
            </w:r>
          </w:p>
        </w:tc>
        <w:tc>
          <w:tcPr>
            <w:tcW w:w="1420" w:type="dxa"/>
            <w:vAlign w:val="bottom"/>
            <w:shd w:val="clear" w:color="auto" w:fill="E6E7E8"/>
          </w:tcPr>
          <w:p>
            <w:pPr>
              <w:spacing w:after="0"/>
              <w:rPr>
                <w:sz w:val="19"/>
                <w:szCs w:val="19"/>
                <w:color w:val="auto"/>
              </w:rPr>
            </w:pPr>
          </w:p>
        </w:tc>
        <w:tc>
          <w:tcPr>
            <w:tcW w:w="300" w:type="dxa"/>
            <w:vAlign w:val="bottom"/>
            <w:tcBorders>
              <w:bottom w:val="single" w:sz="8" w:color="231F20"/>
            </w:tcBorders>
            <w:shd w:val="clear" w:color="auto" w:fill="E6E7E8"/>
          </w:tcPr>
          <w:p>
            <w:pPr>
              <w:jc w:val="right"/>
              <w:ind w:right="136"/>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110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64.1</w:t>
            </w:r>
          </w:p>
        </w:tc>
        <w:tc>
          <w:tcPr>
            <w:tcW w:w="260" w:type="dxa"/>
            <w:vAlign w:val="bottom"/>
            <w:shd w:val="clear" w:color="auto" w:fill="E6E7E8"/>
          </w:tcPr>
          <w:p>
            <w:pPr>
              <w:spacing w:after="0"/>
              <w:rPr>
                <w:sz w:val="19"/>
                <w:szCs w:val="19"/>
                <w:color w:val="auto"/>
              </w:rPr>
            </w:pPr>
          </w:p>
        </w:tc>
        <w:tc>
          <w:tcPr>
            <w:tcW w:w="420" w:type="dxa"/>
            <w:vAlign w:val="bottom"/>
            <w:tcBorders>
              <w:bottom w:val="single" w:sz="8" w:color="231F20"/>
            </w:tcBorders>
            <w:shd w:val="clear" w:color="auto" w:fill="E6E7E8"/>
          </w:tcPr>
          <w:p>
            <w:pPr>
              <w:jc w:val="right"/>
              <w:ind w:right="256"/>
              <w:spacing w:after="0"/>
              <w:rPr>
                <w:sz w:val="20"/>
                <w:szCs w:val="20"/>
                <w:color w:val="auto"/>
              </w:rPr>
            </w:pPr>
            <w:r>
              <w:rPr>
                <w:rFonts w:ascii="Times New Roman" w:cs="Times New Roman" w:eastAsia="Times New Roman" w:hAnsi="Times New Roman"/>
                <w:sz w:val="17"/>
                <w:szCs w:val="17"/>
                <w:color w:val="231F20"/>
                <w:w w:val="70"/>
              </w:rPr>
              <w:t>$</w:t>
            </w:r>
          </w:p>
        </w:tc>
        <w:tc>
          <w:tcPr>
            <w:tcW w:w="98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46.8</w:t>
            </w:r>
          </w:p>
        </w:tc>
        <w:tc>
          <w:tcPr>
            <w:tcW w:w="60" w:type="dxa"/>
            <w:vAlign w:val="bottom"/>
            <w:shd w:val="clear" w:color="auto" w:fill="E6E7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ind w:right="20" w:firstLine="612"/>
        <w:spacing w:after="0" w:line="243" w:lineRule="auto"/>
        <w:rPr>
          <w:sz w:val="20"/>
          <w:szCs w:val="20"/>
          <w:color w:val="auto"/>
        </w:rPr>
      </w:pPr>
      <w:r>
        <w:rPr>
          <w:rFonts w:ascii="Times New Roman" w:cs="Times New Roman" w:eastAsia="Times New Roman" w:hAnsi="Times New Roman"/>
          <w:sz w:val="21"/>
          <w:szCs w:val="21"/>
          <w:color w:val="231F20"/>
        </w:rPr>
        <w:t>Generally, the Company receives a return on investment on its regulated assets for which a cash outflow has been made. Included in Regulatory Assets as of December 31, 2025 are $6.5 million of environmental costs, rate case costs and other expenditures to be recovered over varying periods. Regulators have authorized recovery of these expenditures, but without a return. Regulatory commissions can reach different conclusions about the recovery of costs, which can have a material effect on the Company’s Consolidated Financial Statements. The Company believes it is probable that its regulated distribution and transmission utilities will recover their investments in long-lived assets, including regulatory assets. If the Company, or a portion of its assets or operations, were to cease meeting the criteria for application of these accounting rules, accounting standards for businesses in general would become applicable and immediate recognition of any previously deferred costs, or a portion of deferred costs, would be required in the year in which the criteria are no longer met, if such deferred costs were not recoverable in the portion of the business that continues to meet the criteria for application of the FASB Codification topic on Regulated Operations. If unable to continue to apply the FASB Codification provisions for Regulated Operations, the Company would be required to apply the provisions for the Discontinuation of Rate-Regulated Accounting included in the FASB Codification. In the Company’s opinion, its regulated operations will be subject to the FASB Codification provisions for Regulated Operations for the foreseeable future.</w:t>
      </w:r>
    </w:p>
    <w:p>
      <w:pPr>
        <w:spacing w:after="0" w:line="194" w:lineRule="exact"/>
        <w:rPr>
          <w:sz w:val="20"/>
          <w:szCs w:val="20"/>
          <w:color w:val="auto"/>
        </w:rPr>
      </w:pPr>
    </w:p>
    <w:p>
      <w:pPr>
        <w:ind w:firstLine="612"/>
        <w:spacing w:after="0" w:line="247" w:lineRule="auto"/>
        <w:rPr>
          <w:sz w:val="20"/>
          <w:szCs w:val="20"/>
          <w:color w:val="auto"/>
        </w:rPr>
      </w:pPr>
      <w:r>
        <w:rPr>
          <w:rFonts w:ascii="Times New Roman" w:cs="Times New Roman" w:eastAsia="Times New Roman" w:hAnsi="Times New Roman"/>
          <w:sz w:val="21"/>
          <w:szCs w:val="21"/>
          <w:b w:val="1"/>
          <w:bCs w:val="1"/>
          <w:color w:val="231F20"/>
        </w:rPr>
        <w:t xml:space="preserve">Leases - </w:t>
      </w:r>
      <w:r>
        <w:rPr>
          <w:rFonts w:ascii="Times New Roman" w:cs="Times New Roman" w:eastAsia="Times New Roman" w:hAnsi="Times New Roman"/>
          <w:sz w:val="21"/>
          <w:szCs w:val="21"/>
          <w:color w:val="231F20"/>
        </w:rPr>
        <w:t>The Company records assets and liabilities on the balance sheet for all leases with terms longer than 12 months.</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Leases are classified as either finance or operating, with classification affecting the pattern of expense recognition in the income statement. The Company has elected the practical expedient to not separate non-lease components from lease components and instead to account for both as a single lease component. The Company’s accounting policy election for leases with a lease term of 12 months or less is to recognize the lease payments as lease expense in the Consolidated Statements of Earnings on a straight-line basis over the lease term. See additional discussion in the “Leases” section of Note 4 (Debt and Financing Arrangements).</w:t>
      </w:r>
    </w:p>
    <w:p>
      <w:pPr>
        <w:sectPr>
          <w:pgSz w:w="12240" w:h="15840" w:orient="portrait"/>
          <w:cols w:equalWidth="0" w:num="1">
            <w:col w:w="10780"/>
          </w:cols>
          <w:pgMar w:left="720" w:top="928" w:right="74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50</w:t>
      </w:r>
    </w:p>
    <w:p>
      <w:pPr>
        <w:sectPr>
          <w:pgSz w:w="12240" w:h="15840" w:orient="portrait"/>
          <w:cols w:equalWidth="0" w:num="1">
            <w:col w:w="10780"/>
          </w:cols>
          <w:pgMar w:left="720" w:top="928" w:right="740" w:bottom="188" w:gutter="0" w:footer="0" w:header="0"/>
          <w:type w:val="continuous"/>
        </w:sectPr>
      </w:pPr>
    </w:p>
    <w:bookmarkStart w:id="70" w:name="page71"/>
    <w:bookmarkEnd w:id="70"/>
    <w:p>
      <w:pPr>
        <w:ind w:right="80" w:firstLine="612"/>
        <w:spacing w:after="0" w:line="246" w:lineRule="auto"/>
        <w:rPr>
          <w:sz w:val="20"/>
          <w:szCs w:val="20"/>
          <w:color w:val="auto"/>
        </w:rPr>
      </w:pPr>
      <w:r>
        <w:rPr>
          <w:rFonts w:ascii="Times New Roman" w:cs="Times New Roman" w:eastAsia="Times New Roman" w:hAnsi="Times New Roman"/>
          <w:sz w:val="21"/>
          <w:szCs w:val="21"/>
          <w:b w:val="1"/>
          <w:bCs w:val="1"/>
          <w:color w:val="231F20"/>
        </w:rPr>
        <w:t xml:space="preserve">Derivatives - </w:t>
      </w:r>
      <w:r>
        <w:rPr>
          <w:rFonts w:ascii="Times New Roman" w:cs="Times New Roman" w:eastAsia="Times New Roman" w:hAnsi="Times New Roman"/>
          <w:sz w:val="21"/>
          <w:szCs w:val="21"/>
          <w:color w:val="231F20"/>
        </w:rPr>
        <w:t>The Company’s regulated energy subsidiaries enter into energy supply contracts to serve their electric and</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gas customers. The Company follows a procedure for determining whether each contract qualifies as a derivative instrument under the guidance provided by the FASB Codification on Derivatives and Hedging. For each contract, the Company reviews and documents the key terms of the contract. Based on those terms and any additional relevant components of the contract, the Company determines and documents whether the contract qualifies as a derivative instrument as defined in the FASB Codification. The Company has determined that its energy supply contracts either do not qualify as a derivative instrument under the guidance set forth in the FASB Codification, have been elected as normal purchase, or have contingencies that have not yet been met in order to establish a notional amount.</w:t>
      </w:r>
    </w:p>
    <w:p>
      <w:pPr>
        <w:spacing w:after="0" w:line="196" w:lineRule="exact"/>
        <w:rPr>
          <w:sz w:val="20"/>
          <w:szCs w:val="20"/>
          <w:color w:val="auto"/>
        </w:rPr>
      </w:pPr>
    </w:p>
    <w:p>
      <w:pPr>
        <w:ind w:right="100" w:firstLine="612"/>
        <w:spacing w:after="0" w:line="244" w:lineRule="auto"/>
        <w:rPr>
          <w:sz w:val="20"/>
          <w:szCs w:val="20"/>
          <w:color w:val="auto"/>
        </w:rPr>
      </w:pPr>
      <w:r>
        <w:rPr>
          <w:rFonts w:ascii="Times New Roman" w:cs="Times New Roman" w:eastAsia="Times New Roman" w:hAnsi="Times New Roman"/>
          <w:sz w:val="21"/>
          <w:szCs w:val="21"/>
          <w:color w:val="231F20"/>
        </w:rPr>
        <w:t>The Company has contracts that meet the definition of derivatives (see Note 7 Derivatives). Derivatives are recognized on the balance sheet at fair value as either assets or liabilities. The Company considers the amount of the derivative expected to be settled within the next twelve months as current and the remainder as long-term. Derivative instruments are presented on a gross basis in the consolidated balance sheets. Cash flows related to derivative settlements are classified as operating activities in the consolidated statements of cash flows. Regulatory assets or liabilities are recorded to offset the fair value of derivatives, as contract settlement amounts are tracked and reconciled as a pass-through to customers. Costs associated with the Purchase Power Agreement (PPA) are approved by the MDPU to be passed through to customers through the Company’s Long-Term Renewable Contract Adjustment Clause tariff and accounted for per FASB Accounting Standard Codification 980, Regulated Operations. Unrealized gains or losses resulting from the change in fair value are not recognized in the income statement. Instead, they are deferred and recorded as a regulatory asset for losses or a regulatory liability for gains.</w:t>
      </w:r>
    </w:p>
    <w:p>
      <w:pPr>
        <w:spacing w:after="0" w:line="200" w:lineRule="exact"/>
        <w:rPr>
          <w:sz w:val="20"/>
          <w:szCs w:val="20"/>
          <w:color w:val="auto"/>
        </w:rPr>
      </w:pPr>
    </w:p>
    <w:p>
      <w:pPr>
        <w:ind w:right="100" w:firstLine="612"/>
        <w:spacing w:after="0" w:line="253" w:lineRule="auto"/>
        <w:rPr>
          <w:sz w:val="20"/>
          <w:szCs w:val="20"/>
          <w:color w:val="auto"/>
        </w:rPr>
      </w:pPr>
      <w:r>
        <w:rPr>
          <w:rFonts w:ascii="Times New Roman" w:cs="Times New Roman" w:eastAsia="Times New Roman" w:hAnsi="Times New Roman"/>
          <w:sz w:val="21"/>
          <w:szCs w:val="21"/>
          <w:color w:val="231F20"/>
        </w:rPr>
        <w:t>The Company recognizes an environmental attribute asset at the allocated contract cost upon receipt of the associated certificates in the applicable registry and derecognizes the asset upon retirement, at which time the related cost is recognized in Cost of Electric Sales, which are tracked and reconciled costs as pass-through to customers. Please see Note 7 (Derivatives) for additional information.</w:t>
      </w:r>
    </w:p>
    <w:p>
      <w:pPr>
        <w:spacing w:after="0" w:line="184" w:lineRule="exact"/>
        <w:rPr>
          <w:sz w:val="20"/>
          <w:szCs w:val="20"/>
          <w:color w:val="auto"/>
        </w:rPr>
      </w:pPr>
    </w:p>
    <w:p>
      <w:pPr>
        <w:jc w:val="both"/>
        <w:ind w:right="340" w:firstLine="612"/>
        <w:spacing w:after="0" w:line="261" w:lineRule="auto"/>
        <w:rPr>
          <w:sz w:val="20"/>
          <w:szCs w:val="20"/>
          <w:color w:val="auto"/>
        </w:rPr>
      </w:pPr>
      <w:r>
        <w:rPr>
          <w:rFonts w:ascii="Times New Roman" w:cs="Times New Roman" w:eastAsia="Times New Roman" w:hAnsi="Times New Roman"/>
          <w:sz w:val="21"/>
          <w:szCs w:val="21"/>
          <w:b w:val="1"/>
          <w:bCs w:val="1"/>
          <w:color w:val="231F20"/>
        </w:rPr>
        <w:t xml:space="preserve">Investments in Marketable Securities - </w:t>
      </w:r>
      <w:r>
        <w:rPr>
          <w:rFonts w:ascii="Times New Roman" w:cs="Times New Roman" w:eastAsia="Times New Roman" w:hAnsi="Times New Roman"/>
          <w:sz w:val="21"/>
          <w:szCs w:val="21"/>
          <w:color w:val="231F20"/>
        </w:rPr>
        <w:t>The Company maintains a trust through which it invests in a money market</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fund and a fixed income fund. These funds are intended to satisfy obligations under the Company’s Supplemental Executive Retirement Plan (SERP). See additional discussion of the SERP in Note 10 Retirement Benefit Plans.</w:t>
      </w:r>
    </w:p>
    <w:p>
      <w:pPr>
        <w:spacing w:after="0" w:line="181" w:lineRule="exact"/>
        <w:rPr>
          <w:sz w:val="20"/>
          <w:szCs w:val="20"/>
          <w:color w:val="auto"/>
        </w:rPr>
      </w:pPr>
    </w:p>
    <w:p>
      <w:pPr>
        <w:ind w:firstLine="612"/>
        <w:spacing w:after="0" w:line="249" w:lineRule="auto"/>
        <w:rPr>
          <w:sz w:val="20"/>
          <w:szCs w:val="20"/>
          <w:color w:val="auto"/>
        </w:rPr>
      </w:pPr>
      <w:r>
        <w:rPr>
          <w:rFonts w:ascii="Times New Roman" w:cs="Times New Roman" w:eastAsia="Times New Roman" w:hAnsi="Times New Roman"/>
          <w:sz w:val="21"/>
          <w:szCs w:val="21"/>
          <w:color w:val="231F20"/>
        </w:rPr>
        <w:t>At December 31, 2025 and 2024, the fair value of the Company’s investments in these trading securities, which are recorded on the Consolidated Balance Sheets in Other Assets, were $6.7 million and $6.3 million, respectively, as shown in the following table. These investments are valued based on quoted prices from active markets and are categorized in Level 1 as they are actively traded and no valuation adjustments have been applied. Changes in the fair value of these investments are recorded in Other (Income) Expense, Net.</w:t>
      </w:r>
    </w:p>
    <w:p>
      <w:pPr>
        <w:spacing w:after="0" w:line="233"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Fair Value of Marketable Securities (millions)</w:t>
            </w:r>
          </w:p>
        </w:tc>
        <w:tc>
          <w:tcPr>
            <w:tcW w:w="1740" w:type="dxa"/>
            <w:vAlign w:val="bottom"/>
          </w:tcPr>
          <w:p>
            <w:pPr>
              <w:spacing w:after="0"/>
              <w:rPr>
                <w:sz w:val="17"/>
                <w:szCs w:val="17"/>
                <w:color w:val="auto"/>
              </w:rPr>
            </w:pPr>
          </w:p>
        </w:tc>
        <w:tc>
          <w:tcPr>
            <w:tcW w:w="320" w:type="dxa"/>
            <w:vAlign w:val="bottom"/>
            <w:tcBorders>
              <w:bottom w:val="single" w:sz="8" w:color="231F20"/>
            </w:tcBorders>
          </w:tcPr>
          <w:p>
            <w:pPr>
              <w:spacing w:after="0"/>
              <w:rPr>
                <w:sz w:val="17"/>
                <w:szCs w:val="17"/>
                <w:color w:val="auto"/>
              </w:rPr>
            </w:pPr>
          </w:p>
        </w:tc>
        <w:tc>
          <w:tcPr>
            <w:tcW w:w="1780" w:type="dxa"/>
            <w:vAlign w:val="bottom"/>
            <w:tcBorders>
              <w:bottom w:val="single" w:sz="8" w:color="231F20"/>
            </w:tcBorders>
            <w:gridSpan w:val="3"/>
          </w:tcPr>
          <w:p>
            <w:pPr>
              <w:jc w:val="right"/>
              <w:ind w:right="16"/>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960" w:type="dxa"/>
            <w:vAlign w:val="bottom"/>
            <w:tcBorders>
              <w:bottom w:val="single" w:sz="8" w:color="231F20"/>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60" w:type="dxa"/>
            <w:vAlign w:val="bottom"/>
            <w:gridSpan w:val="2"/>
            <w:vMerge w:val="continue"/>
          </w:tcPr>
          <w:p>
            <w:pPr>
              <w:spacing w:after="0"/>
              <w:rPr>
                <w:sz w:val="16"/>
                <w:szCs w:val="16"/>
                <w:color w:val="auto"/>
              </w:rPr>
            </w:pPr>
          </w:p>
        </w:tc>
        <w:tc>
          <w:tcPr>
            <w:tcW w:w="1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51"/>
              <w:spacing w:after="0" w:line="169" w:lineRule="exact"/>
              <w:rPr>
                <w:sz w:val="20"/>
                <w:szCs w:val="20"/>
                <w:color w:val="auto"/>
              </w:rPr>
            </w:pPr>
            <w:r>
              <w:rPr>
                <w:rFonts w:ascii="Times New Roman" w:cs="Times New Roman" w:eastAsia="Times New Roman" w:hAnsi="Times New Roman"/>
                <w:sz w:val="16"/>
                <w:szCs w:val="16"/>
                <w:b w:val="1"/>
                <w:bCs w:val="1"/>
                <w:color w:val="231F20"/>
              </w:rPr>
              <w:t>2025</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449"/>
              <w:spacing w:after="0" w:line="169" w:lineRule="exact"/>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40" w:type="dxa"/>
            <w:vAlign w:val="bottom"/>
            <w:tcBorders>
              <w:top w:val="single" w:sz="8" w:color="231F20"/>
            </w:tcBorders>
            <w:shd w:val="clear" w:color="auto" w:fill="E6E7E8"/>
          </w:tcPr>
          <w:p>
            <w:pPr>
              <w:spacing w:after="0" w:line="204" w:lineRule="exact"/>
              <w:rPr>
                <w:sz w:val="20"/>
                <w:szCs w:val="20"/>
                <w:color w:val="auto"/>
              </w:rPr>
            </w:pPr>
            <w:r>
              <w:rPr>
                <w:rFonts w:ascii="Times New Roman" w:cs="Times New Roman" w:eastAsia="Times New Roman" w:hAnsi="Times New Roman"/>
                <w:sz w:val="19"/>
                <w:szCs w:val="19"/>
                <w:color w:val="231F20"/>
              </w:rPr>
              <w:t>Money Market Funds</w:t>
            </w:r>
          </w:p>
        </w:tc>
        <w:tc>
          <w:tcPr>
            <w:tcW w:w="1720" w:type="dxa"/>
            <w:vAlign w:val="bottom"/>
            <w:tcBorders>
              <w:top w:val="single" w:sz="8" w:color="E6E7E8"/>
            </w:tcBorders>
            <w:shd w:val="clear" w:color="auto" w:fill="E6E7E8"/>
          </w:tcPr>
          <w:p>
            <w:pPr>
              <w:spacing w:after="0"/>
              <w:rPr>
                <w:sz w:val="17"/>
                <w:szCs w:val="17"/>
                <w:color w:val="auto"/>
              </w:rPr>
            </w:pPr>
          </w:p>
        </w:tc>
        <w:tc>
          <w:tcPr>
            <w:tcW w:w="1740" w:type="dxa"/>
            <w:vAlign w:val="bottom"/>
            <w:tcBorders>
              <w:top w:val="single" w:sz="8" w:color="E6E7E8"/>
            </w:tcBorders>
            <w:shd w:val="clear" w:color="auto" w:fill="E6E7E8"/>
          </w:tcPr>
          <w:p>
            <w:pPr>
              <w:spacing w:after="0"/>
              <w:rPr>
                <w:sz w:val="17"/>
                <w:szCs w:val="17"/>
                <w:color w:val="auto"/>
              </w:rPr>
            </w:pPr>
          </w:p>
        </w:tc>
        <w:tc>
          <w:tcPr>
            <w:tcW w:w="320" w:type="dxa"/>
            <w:vAlign w:val="bottom"/>
            <w:tcBorders>
              <w:top w:val="single" w:sz="8" w:color="231F20"/>
            </w:tcBorders>
            <w:shd w:val="clear" w:color="auto" w:fill="E6E7E8"/>
          </w:tcPr>
          <w:p>
            <w:pPr>
              <w:jc w:val="right"/>
              <w:ind w:right="156"/>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108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b w:val="1"/>
                <w:bCs w:val="1"/>
                <w:color w:val="231F20"/>
              </w:rPr>
              <w:t>3.2</w:t>
            </w:r>
          </w:p>
        </w:tc>
        <w:tc>
          <w:tcPr>
            <w:tcW w:w="260" w:type="dxa"/>
            <w:vAlign w:val="bottom"/>
            <w:tcBorders>
              <w:top w:val="single" w:sz="8" w:color="E6E7E8"/>
            </w:tcBorders>
            <w:shd w:val="clear" w:color="auto" w:fill="E6E7E8"/>
          </w:tcPr>
          <w:p>
            <w:pPr>
              <w:spacing w:after="0"/>
              <w:rPr>
                <w:sz w:val="17"/>
                <w:szCs w:val="17"/>
                <w:color w:val="auto"/>
              </w:rPr>
            </w:pPr>
          </w:p>
        </w:tc>
        <w:tc>
          <w:tcPr>
            <w:tcW w:w="440" w:type="dxa"/>
            <w:vAlign w:val="bottom"/>
            <w:tcBorders>
              <w:top w:val="single" w:sz="8" w:color="231F20"/>
            </w:tcBorders>
            <w:shd w:val="clear" w:color="auto" w:fill="E6E7E8"/>
          </w:tcPr>
          <w:p>
            <w:pPr>
              <w:jc w:val="right"/>
              <w:ind w:right="276"/>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color w:val="231F20"/>
              </w:rPr>
              <w:t>2.5</w:t>
            </w:r>
          </w:p>
        </w:tc>
        <w:tc>
          <w:tcPr>
            <w:tcW w:w="60" w:type="dxa"/>
            <w:vAlign w:val="bottom"/>
            <w:tcBorders>
              <w:top w:val="single" w:sz="8" w:color="E6E7E8"/>
            </w:tcBorders>
            <w:shd w:val="clear" w:color="auto" w:fill="E6E7E8"/>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860" w:type="dxa"/>
            <w:vAlign w:val="bottom"/>
            <w:tcBorders>
              <w:bottom w:val="single" w:sz="8" w:color="E6E7E8"/>
            </w:tcBorders>
            <w:gridSpan w:val="2"/>
          </w:tcPr>
          <w:p>
            <w:pPr>
              <w:spacing w:after="0"/>
              <w:rPr>
                <w:sz w:val="20"/>
                <w:szCs w:val="20"/>
                <w:color w:val="auto"/>
              </w:rPr>
            </w:pPr>
            <w:r>
              <w:rPr>
                <w:rFonts w:ascii="Times New Roman" w:cs="Times New Roman" w:eastAsia="Times New Roman" w:hAnsi="Times New Roman"/>
                <w:sz w:val="19"/>
                <w:szCs w:val="19"/>
                <w:color w:val="231F20"/>
              </w:rPr>
              <w:t>Fixed Income Funds</w:t>
            </w:r>
          </w:p>
        </w:tc>
        <w:tc>
          <w:tcPr>
            <w:tcW w:w="1740" w:type="dxa"/>
            <w:vAlign w:val="bottom"/>
            <w:tcBorders>
              <w:bottom w:val="single" w:sz="8" w:color="E6E7E8"/>
            </w:tcBorders>
          </w:tcPr>
          <w:p>
            <w:pPr>
              <w:spacing w:after="0"/>
              <w:rPr>
                <w:sz w:val="19"/>
                <w:szCs w:val="19"/>
                <w:color w:val="auto"/>
              </w:rPr>
            </w:pPr>
          </w:p>
        </w:tc>
        <w:tc>
          <w:tcPr>
            <w:tcW w:w="320" w:type="dxa"/>
            <w:vAlign w:val="bottom"/>
            <w:tcBorders>
              <w:bottom w:val="single" w:sz="8" w:color="231F20"/>
            </w:tcBorders>
          </w:tcPr>
          <w:p>
            <w:pPr>
              <w:spacing w:after="0"/>
              <w:rPr>
                <w:sz w:val="19"/>
                <w:szCs w:val="19"/>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3.5</w:t>
            </w:r>
          </w:p>
        </w:tc>
        <w:tc>
          <w:tcPr>
            <w:tcW w:w="260" w:type="dxa"/>
            <w:vAlign w:val="bottom"/>
            <w:tcBorders>
              <w:bottom w:val="single" w:sz="8" w:color="E6E7E8"/>
            </w:tcBorders>
          </w:tcPr>
          <w:p>
            <w:pPr>
              <w:spacing w:after="0"/>
              <w:rPr>
                <w:sz w:val="19"/>
                <w:szCs w:val="19"/>
                <w:color w:val="auto"/>
              </w:rPr>
            </w:pPr>
          </w:p>
        </w:tc>
        <w:tc>
          <w:tcPr>
            <w:tcW w:w="440" w:type="dxa"/>
            <w:vAlign w:val="bottom"/>
            <w:tcBorders>
              <w:bottom w:val="single" w:sz="8" w:color="231F20"/>
            </w:tcBorders>
          </w:tcPr>
          <w:p>
            <w:pPr>
              <w:spacing w:after="0"/>
              <w:rPr>
                <w:sz w:val="19"/>
                <w:szCs w:val="19"/>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3.8</w:t>
            </w:r>
          </w:p>
        </w:tc>
        <w:tc>
          <w:tcPr>
            <w:tcW w:w="60" w:type="dxa"/>
            <w:vAlign w:val="bottom"/>
            <w:tcBorders>
              <w:bottom w:val="single" w:sz="8" w:color="E6E7E8"/>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860" w:type="dxa"/>
            <w:vAlign w:val="bottom"/>
            <w:gridSpan w:val="2"/>
            <w:shd w:val="clear" w:color="auto" w:fill="E6E7E8"/>
          </w:tcPr>
          <w:p>
            <w:pPr>
              <w:ind w:left="200"/>
              <w:spacing w:after="0" w:line="214" w:lineRule="exact"/>
              <w:rPr>
                <w:sz w:val="20"/>
                <w:szCs w:val="20"/>
                <w:color w:val="auto"/>
              </w:rPr>
            </w:pPr>
            <w:r>
              <w:rPr>
                <w:rFonts w:ascii="Times New Roman" w:cs="Times New Roman" w:eastAsia="Times New Roman" w:hAnsi="Times New Roman"/>
                <w:sz w:val="19"/>
                <w:szCs w:val="19"/>
                <w:b w:val="1"/>
                <w:bCs w:val="1"/>
                <w:color w:val="231F20"/>
              </w:rPr>
              <w:t>Total Marketable Securities</w:t>
            </w:r>
          </w:p>
        </w:tc>
        <w:tc>
          <w:tcPr>
            <w:tcW w:w="1740" w:type="dxa"/>
            <w:vAlign w:val="bottom"/>
            <w:shd w:val="clear" w:color="auto" w:fill="E6E7E8"/>
          </w:tcPr>
          <w:p>
            <w:pPr>
              <w:spacing w:after="0"/>
              <w:rPr>
                <w:sz w:val="18"/>
                <w:szCs w:val="18"/>
                <w:color w:val="auto"/>
              </w:rPr>
            </w:pPr>
          </w:p>
        </w:tc>
        <w:tc>
          <w:tcPr>
            <w:tcW w:w="320" w:type="dxa"/>
            <w:vAlign w:val="bottom"/>
            <w:tcBorders>
              <w:bottom w:val="single" w:sz="8" w:color="231F20"/>
            </w:tcBorders>
            <w:shd w:val="clear" w:color="auto" w:fill="E6E7E8"/>
          </w:tcPr>
          <w:p>
            <w:pPr>
              <w:jc w:val="right"/>
              <w:ind w:right="156"/>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1080" w:type="dxa"/>
            <w:vAlign w:val="bottom"/>
            <w:tcBorders>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6.7</w:t>
            </w:r>
          </w:p>
        </w:tc>
        <w:tc>
          <w:tcPr>
            <w:tcW w:w="260" w:type="dxa"/>
            <w:vAlign w:val="bottom"/>
            <w:shd w:val="clear" w:color="auto" w:fill="E6E7E8"/>
          </w:tcPr>
          <w:p>
            <w:pPr>
              <w:spacing w:after="0"/>
              <w:rPr>
                <w:sz w:val="18"/>
                <w:szCs w:val="18"/>
                <w:color w:val="auto"/>
              </w:rPr>
            </w:pPr>
          </w:p>
        </w:tc>
        <w:tc>
          <w:tcPr>
            <w:tcW w:w="440" w:type="dxa"/>
            <w:vAlign w:val="bottom"/>
            <w:tcBorders>
              <w:bottom w:val="single" w:sz="8" w:color="231F20"/>
            </w:tcBorders>
            <w:shd w:val="clear" w:color="auto" w:fill="E6E7E8"/>
          </w:tcPr>
          <w:p>
            <w:pPr>
              <w:jc w:val="right"/>
              <w:ind w:right="276"/>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Borders>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6.3</w:t>
            </w:r>
          </w:p>
        </w:tc>
        <w:tc>
          <w:tcPr>
            <w:tcW w:w="60" w:type="dxa"/>
            <w:vAlign w:val="bottom"/>
            <w:shd w:val="clear" w:color="auto" w:fill="E6E7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ind w:right="120" w:firstLine="612"/>
        <w:spacing w:after="0" w:line="244" w:lineRule="auto"/>
        <w:rPr>
          <w:sz w:val="20"/>
          <w:szCs w:val="20"/>
          <w:color w:val="auto"/>
        </w:rPr>
      </w:pPr>
      <w:r>
        <w:rPr>
          <w:rFonts w:ascii="Times New Roman" w:cs="Times New Roman" w:eastAsia="Times New Roman" w:hAnsi="Times New Roman"/>
          <w:sz w:val="21"/>
          <w:szCs w:val="21"/>
          <w:color w:val="231F20"/>
        </w:rPr>
        <w:t>The Company also sponsors the Unitil Corporation Deferred Compensation Plan (the DC Plan). The DC Plan is a non-qualified deferred compensation plan that provides a vehicle for participants to accumulate tax-deferred savings to supplement retirement income. The DC Plan, which was effective January 1, 2019, is open to senior management or other highly compensated employees as determined by the Company’s Board of Directors, and may also be used for recruitment and retention purposes for newly hired senior executives. The DC Plan design mirrors the Company’s Tax Deferred Savings and Investment Plan formula, but provides for contributions on compensation above the IRS limit, which will allow participants to defer up to 85% of base salary, and up to 85% of any cash incentive for retirement. The Company may also elect to make discretionary contributions on behalf of any participant in an amount determined by the Company’s Board of Directors. A trust has been established to invest the funds associated with the DC Plan.</w:t>
      </w:r>
    </w:p>
    <w:p>
      <w:pPr>
        <w:sectPr>
          <w:pgSz w:w="12240" w:h="15840" w:orient="portrait"/>
          <w:cols w:equalWidth="0" w:num="1">
            <w:col w:w="10800"/>
          </w:cols>
          <w:pgMar w:left="720" w:top="924" w:right="72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51</w:t>
      </w:r>
    </w:p>
    <w:p>
      <w:pPr>
        <w:sectPr>
          <w:pgSz w:w="12240" w:h="15840" w:orient="portrait"/>
          <w:cols w:equalWidth="0" w:num="1">
            <w:col w:w="10800"/>
          </w:cols>
          <w:pgMar w:left="720" w:top="924" w:right="720" w:bottom="188" w:gutter="0" w:footer="0" w:header="0"/>
          <w:type w:val="continuous"/>
        </w:sectPr>
      </w:pPr>
    </w:p>
    <w:bookmarkStart w:id="71" w:name="page72"/>
    <w:bookmarkEnd w:id="71"/>
    <w:p>
      <w:pPr>
        <w:ind w:right="80" w:firstLine="612"/>
        <w:spacing w:after="0" w:line="249" w:lineRule="auto"/>
        <w:rPr>
          <w:sz w:val="20"/>
          <w:szCs w:val="20"/>
          <w:color w:val="auto"/>
        </w:rPr>
      </w:pPr>
      <w:r>
        <w:rPr>
          <w:rFonts w:ascii="Times New Roman" w:cs="Times New Roman" w:eastAsia="Times New Roman" w:hAnsi="Times New Roman"/>
          <w:sz w:val="21"/>
          <w:szCs w:val="21"/>
          <w:color w:val="231F20"/>
        </w:rPr>
        <w:t>At December 31, 2025 and 2024, the fair value of the Company’s investments in these trading securities related to the DC Plan, which are recorded on the Consolidated Balance Sheets in Other Assets, were $3.5 million and $2.2 million, respectively. These investments are valued based on quoted prices from active markets and are categorized in Level 1 as they are actively traded and no valuation adjustments have been applied. Changes in the fair value of these investments are recorded in Other (Income) Expense, Net.</w:t>
      </w:r>
    </w:p>
    <w:p>
      <w:pPr>
        <w:spacing w:after="0" w:line="233"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Fair Value of Marketable Securities (millions)</w:t>
            </w:r>
          </w:p>
        </w:tc>
        <w:tc>
          <w:tcPr>
            <w:tcW w:w="2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1780" w:type="dxa"/>
            <w:vAlign w:val="bottom"/>
            <w:tcBorders>
              <w:bottom w:val="single" w:sz="8" w:color="231F20"/>
            </w:tcBorders>
            <w:gridSpan w:val="4"/>
          </w:tcPr>
          <w:p>
            <w:pPr>
              <w:jc w:val="right"/>
              <w:ind w:right="16"/>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960" w:type="dxa"/>
            <w:vAlign w:val="bottom"/>
            <w:tcBorders>
              <w:bottom w:val="single" w:sz="8" w:color="231F20"/>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50"/>
              <w:spacing w:after="0" w:line="169" w:lineRule="exact"/>
              <w:rPr>
                <w:sz w:val="20"/>
                <w:szCs w:val="20"/>
                <w:color w:val="auto"/>
              </w:rPr>
            </w:pPr>
            <w:r>
              <w:rPr>
                <w:rFonts w:ascii="Times New Roman" w:cs="Times New Roman" w:eastAsia="Times New Roman" w:hAnsi="Times New Roman"/>
                <w:sz w:val="16"/>
                <w:szCs w:val="16"/>
                <w:b w:val="1"/>
                <w:bCs w:val="1"/>
                <w:color w:val="231F20"/>
              </w:rPr>
              <w:t>2025</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448"/>
              <w:spacing w:after="0" w:line="169" w:lineRule="exact"/>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40" w:type="dxa"/>
            <w:vAlign w:val="bottom"/>
            <w:tcBorders>
              <w:top w:val="single" w:sz="8" w:color="231F20"/>
            </w:tcBorders>
            <w:shd w:val="clear" w:color="auto" w:fill="E6E7E8"/>
          </w:tcPr>
          <w:p>
            <w:pPr>
              <w:spacing w:after="0" w:line="204" w:lineRule="exact"/>
              <w:rPr>
                <w:sz w:val="20"/>
                <w:szCs w:val="20"/>
                <w:color w:val="auto"/>
              </w:rPr>
            </w:pPr>
            <w:r>
              <w:rPr>
                <w:rFonts w:ascii="Times New Roman" w:cs="Times New Roman" w:eastAsia="Times New Roman" w:hAnsi="Times New Roman"/>
                <w:sz w:val="19"/>
                <w:szCs w:val="19"/>
                <w:color w:val="231F20"/>
              </w:rPr>
              <w:t>Equity Funds</w:t>
            </w:r>
          </w:p>
        </w:tc>
        <w:tc>
          <w:tcPr>
            <w:tcW w:w="3460" w:type="dxa"/>
            <w:vAlign w:val="bottom"/>
            <w:tcBorders>
              <w:top w:val="single" w:sz="8" w:color="E6E7E8"/>
            </w:tcBorders>
            <w:shd w:val="clear" w:color="auto" w:fill="E6E7E8"/>
          </w:tcPr>
          <w:p>
            <w:pPr>
              <w:spacing w:after="0"/>
              <w:rPr>
                <w:sz w:val="17"/>
                <w:szCs w:val="17"/>
                <w:color w:val="auto"/>
              </w:rPr>
            </w:pPr>
          </w:p>
        </w:tc>
        <w:tc>
          <w:tcPr>
            <w:tcW w:w="20" w:type="dxa"/>
            <w:vAlign w:val="bottom"/>
            <w:tcBorders>
              <w:top w:val="single" w:sz="8" w:color="E6E7E8"/>
            </w:tcBorders>
            <w:shd w:val="clear" w:color="auto" w:fill="E6E7E8"/>
          </w:tcPr>
          <w:p>
            <w:pPr>
              <w:spacing w:after="0"/>
              <w:rPr>
                <w:sz w:val="17"/>
                <w:szCs w:val="17"/>
                <w:color w:val="auto"/>
              </w:rPr>
            </w:pPr>
          </w:p>
        </w:tc>
        <w:tc>
          <w:tcPr>
            <w:tcW w:w="300" w:type="dxa"/>
            <w:vAlign w:val="bottom"/>
            <w:tcBorders>
              <w:top w:val="single" w:sz="8" w:color="231F20"/>
            </w:tcBorders>
            <w:shd w:val="clear" w:color="auto" w:fill="E6E7E8"/>
          </w:tcPr>
          <w:p>
            <w:pPr>
              <w:jc w:val="right"/>
              <w:ind w:right="187"/>
              <w:spacing w:after="0"/>
              <w:rPr>
                <w:sz w:val="20"/>
                <w:szCs w:val="20"/>
                <w:color w:val="auto"/>
              </w:rPr>
            </w:pPr>
            <w:r>
              <w:rPr>
                <w:rFonts w:ascii="Times New Roman" w:cs="Times New Roman" w:eastAsia="Times New Roman" w:hAnsi="Times New Roman"/>
                <w:sz w:val="11"/>
                <w:szCs w:val="11"/>
                <w:b w:val="1"/>
                <w:bCs w:val="1"/>
                <w:color w:val="231F20"/>
                <w:w w:val="71"/>
              </w:rPr>
              <w:t>$</w:t>
            </w:r>
          </w:p>
        </w:tc>
        <w:tc>
          <w:tcPr>
            <w:tcW w:w="108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b w:val="1"/>
                <w:bCs w:val="1"/>
                <w:color w:val="231F20"/>
              </w:rPr>
              <w:t>3.1</w:t>
            </w:r>
          </w:p>
        </w:tc>
        <w:tc>
          <w:tcPr>
            <w:tcW w:w="20" w:type="dxa"/>
            <w:vAlign w:val="bottom"/>
            <w:tcBorders>
              <w:top w:val="single" w:sz="8" w:color="E6E7E8"/>
            </w:tcBorders>
            <w:shd w:val="clear" w:color="auto" w:fill="E6E7E8"/>
          </w:tcPr>
          <w:p>
            <w:pPr>
              <w:spacing w:after="0"/>
              <w:rPr>
                <w:sz w:val="17"/>
                <w:szCs w:val="17"/>
                <w:color w:val="auto"/>
              </w:rPr>
            </w:pPr>
          </w:p>
        </w:tc>
        <w:tc>
          <w:tcPr>
            <w:tcW w:w="240" w:type="dxa"/>
            <w:vAlign w:val="bottom"/>
            <w:tcBorders>
              <w:top w:val="single" w:sz="8" w:color="E6E7E8"/>
            </w:tcBorders>
            <w:shd w:val="clear" w:color="auto" w:fill="E6E7E8"/>
          </w:tcPr>
          <w:p>
            <w:pPr>
              <w:spacing w:after="0"/>
              <w:rPr>
                <w:sz w:val="17"/>
                <w:szCs w:val="17"/>
                <w:color w:val="auto"/>
              </w:rPr>
            </w:pPr>
          </w:p>
        </w:tc>
        <w:tc>
          <w:tcPr>
            <w:tcW w:w="440" w:type="dxa"/>
            <w:vAlign w:val="bottom"/>
            <w:tcBorders>
              <w:top w:val="single" w:sz="8" w:color="231F20"/>
            </w:tcBorders>
            <w:shd w:val="clear" w:color="auto" w:fill="E6E7E8"/>
          </w:tcPr>
          <w:p>
            <w:pPr>
              <w:jc w:val="right"/>
              <w:ind w:right="276"/>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color w:val="231F20"/>
              </w:rPr>
              <w:t>2.0</w:t>
            </w:r>
          </w:p>
        </w:tc>
        <w:tc>
          <w:tcPr>
            <w:tcW w:w="60" w:type="dxa"/>
            <w:vAlign w:val="bottom"/>
            <w:tcBorders>
              <w:top w:val="single" w:sz="8" w:color="E6E7E8"/>
            </w:tcBorders>
            <w:shd w:val="clear" w:color="auto" w:fill="E6E7E8"/>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6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Fixed Income Funds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0.3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0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19"/>
                <w:szCs w:val="19"/>
                <w:color w:val="231F20"/>
              </w:rPr>
              <w:t>Money Market Funds</w:t>
            </w:r>
          </w:p>
        </w:tc>
        <w:tc>
          <w:tcPr>
            <w:tcW w:w="20" w:type="dxa"/>
            <w:vAlign w:val="bottom"/>
            <w:shd w:val="clear" w:color="auto" w:fill="E6E7E8"/>
          </w:tcPr>
          <w:p>
            <w:pPr>
              <w:spacing w:after="0"/>
              <w:rPr>
                <w:sz w:val="19"/>
                <w:szCs w:val="19"/>
                <w:color w:val="auto"/>
              </w:rPr>
            </w:pPr>
          </w:p>
        </w:tc>
        <w:tc>
          <w:tcPr>
            <w:tcW w:w="300" w:type="dxa"/>
            <w:vAlign w:val="bottom"/>
            <w:shd w:val="clear" w:color="auto" w:fill="E6E7E8"/>
          </w:tcPr>
          <w:p>
            <w:pPr>
              <w:spacing w:after="0"/>
              <w:rPr>
                <w:sz w:val="19"/>
                <w:szCs w:val="19"/>
                <w:color w:val="auto"/>
              </w:rPr>
            </w:pPr>
          </w:p>
        </w:tc>
        <w:tc>
          <w:tcPr>
            <w:tcW w:w="110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19"/>
                <w:szCs w:val="19"/>
                <w:b w:val="1"/>
                <w:bCs w:val="1"/>
                <w:color w:val="231F20"/>
              </w:rPr>
              <w:t>0.1</w:t>
            </w:r>
          </w:p>
        </w:tc>
        <w:tc>
          <w:tcPr>
            <w:tcW w:w="240" w:type="dxa"/>
            <w:vAlign w:val="bottom"/>
            <w:shd w:val="clear" w:color="auto" w:fill="E6E7E8"/>
          </w:tcPr>
          <w:p>
            <w:pPr>
              <w:spacing w:after="0"/>
              <w:rPr>
                <w:sz w:val="19"/>
                <w:szCs w:val="19"/>
                <w:color w:val="auto"/>
              </w:rPr>
            </w:pPr>
          </w:p>
        </w:tc>
        <w:tc>
          <w:tcPr>
            <w:tcW w:w="440" w:type="dxa"/>
            <w:vAlign w:val="bottom"/>
            <w:shd w:val="clear" w:color="auto" w:fill="E6E7E8"/>
          </w:tcPr>
          <w:p>
            <w:pPr>
              <w:spacing w:after="0"/>
              <w:rPr>
                <w:sz w:val="19"/>
                <w:szCs w:val="19"/>
                <w:color w:val="auto"/>
              </w:rPr>
            </w:pPr>
          </w:p>
        </w:tc>
        <w:tc>
          <w:tcPr>
            <w:tcW w:w="9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0.1</w:t>
            </w:r>
          </w:p>
        </w:tc>
        <w:tc>
          <w:tcPr>
            <w:tcW w:w="60" w:type="dxa"/>
            <w:vAlign w:val="bottom"/>
            <w:shd w:val="clear" w:color="auto" w:fill="E6E7E8"/>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600" w:type="dxa"/>
            <w:vAlign w:val="bottom"/>
            <w:gridSpan w:val="2"/>
          </w:tcPr>
          <w:p>
            <w:pPr>
              <w:ind w:left="200"/>
              <w:spacing w:after="0" w:line="214" w:lineRule="exact"/>
              <w:rPr>
                <w:sz w:val="20"/>
                <w:szCs w:val="20"/>
                <w:color w:val="auto"/>
              </w:rPr>
            </w:pPr>
            <w:r>
              <w:rPr>
                <w:rFonts w:ascii="Times New Roman" w:cs="Times New Roman" w:eastAsia="Times New Roman" w:hAnsi="Times New Roman"/>
                <w:sz w:val="19"/>
                <w:szCs w:val="19"/>
                <w:b w:val="1"/>
                <w:bCs w:val="1"/>
                <w:color w:val="231F20"/>
              </w:rPr>
              <w:t>Total Marketable Securities</w:t>
            </w:r>
          </w:p>
        </w:tc>
        <w:tc>
          <w:tcPr>
            <w:tcW w:w="20" w:type="dxa"/>
            <w:vAlign w:val="bottom"/>
          </w:tcPr>
          <w:p>
            <w:pPr>
              <w:spacing w:after="0"/>
              <w:rPr>
                <w:sz w:val="18"/>
                <w:szCs w:val="18"/>
                <w:color w:val="auto"/>
              </w:rPr>
            </w:pPr>
          </w:p>
        </w:tc>
        <w:tc>
          <w:tcPr>
            <w:tcW w:w="300" w:type="dxa"/>
            <w:vAlign w:val="bottom"/>
            <w:tcBorders>
              <w:top w:val="single" w:sz="8" w:color="231F20"/>
              <w:bottom w:val="single" w:sz="8" w:color="231F20"/>
            </w:tcBorders>
          </w:tcPr>
          <w:p>
            <w:pPr>
              <w:jc w:val="right"/>
              <w:ind w:right="187"/>
              <w:spacing w:after="0"/>
              <w:rPr>
                <w:sz w:val="20"/>
                <w:szCs w:val="20"/>
                <w:color w:val="auto"/>
              </w:rPr>
            </w:pPr>
            <w:r>
              <w:rPr>
                <w:rFonts w:ascii="Times New Roman" w:cs="Times New Roman" w:eastAsia="Times New Roman" w:hAnsi="Times New Roman"/>
                <w:sz w:val="11"/>
                <w:szCs w:val="11"/>
                <w:b w:val="1"/>
                <w:bCs w:val="1"/>
                <w:color w:val="231F20"/>
                <w:w w:val="71"/>
              </w:rPr>
              <w:t>$</w:t>
            </w:r>
          </w:p>
        </w:tc>
        <w:tc>
          <w:tcPr>
            <w:tcW w:w="1080" w:type="dxa"/>
            <w:vAlign w:val="bottom"/>
            <w:tcBorders>
              <w:top w:val="single" w:sz="8" w:color="231F20"/>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3.5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Borders>
              <w:top w:val="single" w:sz="8" w:color="231F20"/>
              <w:bottom w:val="single" w:sz="8" w:color="231F20"/>
            </w:tcBorders>
          </w:tcPr>
          <w:p>
            <w:pPr>
              <w:jc w:val="right"/>
              <w:ind w:right="276"/>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Borders>
              <w:top w:val="single" w:sz="8" w:color="231F20"/>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21"/>
          <w:szCs w:val="21"/>
          <w:b w:val="1"/>
          <w:bCs w:val="1"/>
          <w:color w:val="231F20"/>
        </w:rPr>
        <w:t xml:space="preserve">Goodwill - </w:t>
      </w:r>
      <w:r>
        <w:rPr>
          <w:rFonts w:ascii="Times New Roman" w:cs="Times New Roman" w:eastAsia="Times New Roman" w:hAnsi="Times New Roman"/>
          <w:sz w:val="21"/>
          <w:szCs w:val="21"/>
          <w:color w:val="231F20"/>
        </w:rPr>
        <w:t>In January, the Company completed the acquisition of Bangor Natural Gas Company resulting in the</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recognition of $1.6 million of goodwill. In October, the Company completed the acquisition of Maine Natural Gas Corporation resulting in the recognition of $2.7 million of goodwill. Goodwill is not amortized but is tested for impairment at least annually, or more frequently if an event occurs or circumstances change that would more likely than not reduce the fair value of a reporting unit below its carrying value. The Company performed the annual impairment assessment of goodwill at November 1, 2025 for the gas reporting unit. The Company generally uses a qualitative analysis assessment to determine if it was more likely than not that the fair value of the reporting unit exceeded its carrying value, including goodwill. The qualitative assessment did not identify any triggering events that would indicate potential impairment of the reporting unit. Therefore, it was determined that the fair value of the reporting unit exceeded its carrying value and no goodwill impairments were recognized during the year ended December 31, 2025.</w:t>
      </w:r>
    </w:p>
    <w:p>
      <w:pPr>
        <w:spacing w:after="0" w:line="200" w:lineRule="exact"/>
        <w:rPr>
          <w:sz w:val="20"/>
          <w:szCs w:val="20"/>
          <w:color w:val="auto"/>
        </w:rPr>
      </w:pPr>
    </w:p>
    <w:p>
      <w:pPr>
        <w:ind w:right="600" w:firstLine="619"/>
        <w:spacing w:after="0" w:line="283" w:lineRule="auto"/>
        <w:rPr>
          <w:sz w:val="20"/>
          <w:szCs w:val="20"/>
          <w:color w:val="auto"/>
        </w:rPr>
      </w:pPr>
      <w:r>
        <w:rPr>
          <w:rFonts w:ascii="Times New Roman" w:cs="Times New Roman" w:eastAsia="Times New Roman" w:hAnsi="Times New Roman"/>
          <w:sz w:val="21"/>
          <w:szCs w:val="21"/>
          <w:b w:val="1"/>
          <w:bCs w:val="1"/>
          <w:color w:val="231F20"/>
        </w:rPr>
        <w:t xml:space="preserve">Energy Supply Obligations - </w:t>
      </w:r>
      <w:r>
        <w:rPr>
          <w:rFonts w:ascii="Times New Roman" w:cs="Times New Roman" w:eastAsia="Times New Roman" w:hAnsi="Times New Roman"/>
          <w:sz w:val="21"/>
          <w:szCs w:val="21"/>
          <w:color w:val="231F20"/>
        </w:rPr>
        <w:t>The following discussion and table summarize the nature and amounts of the items</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recorded as Energy Supply Obligations on the Company’s Consolidated Balance Sheets.</w:t>
      </w:r>
    </w:p>
    <w:p>
      <w:pPr>
        <w:spacing w:after="0" w:line="195"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41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w w:val="99"/>
              </w:rPr>
              <w:t>Energy Supply Obligations consist of the following (millions)</w:t>
            </w:r>
          </w:p>
        </w:tc>
        <w:tc>
          <w:tcPr>
            <w:tcW w:w="2460" w:type="dxa"/>
            <w:vAlign w:val="bottom"/>
          </w:tcPr>
          <w:p>
            <w:pPr>
              <w:spacing w:after="0"/>
              <w:rPr>
                <w:sz w:val="17"/>
                <w:szCs w:val="17"/>
                <w:color w:val="auto"/>
              </w:rPr>
            </w:pPr>
          </w:p>
        </w:tc>
        <w:tc>
          <w:tcPr>
            <w:tcW w:w="320" w:type="dxa"/>
            <w:vAlign w:val="bottom"/>
            <w:tcBorders>
              <w:bottom w:val="single" w:sz="8" w:color="231F20"/>
            </w:tcBorders>
          </w:tcPr>
          <w:p>
            <w:pPr>
              <w:spacing w:after="0"/>
              <w:rPr>
                <w:sz w:val="17"/>
                <w:szCs w:val="17"/>
                <w:color w:val="auto"/>
              </w:rPr>
            </w:pPr>
          </w:p>
        </w:tc>
        <w:tc>
          <w:tcPr>
            <w:tcW w:w="1780" w:type="dxa"/>
            <w:vAlign w:val="bottom"/>
            <w:tcBorders>
              <w:bottom w:val="single" w:sz="8" w:color="231F20"/>
            </w:tcBorders>
            <w:gridSpan w:val="3"/>
          </w:tcPr>
          <w:p>
            <w:pPr>
              <w:jc w:val="right"/>
              <w:ind w:right="16"/>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960" w:type="dxa"/>
            <w:vAlign w:val="bottom"/>
            <w:tcBorders>
              <w:bottom w:val="single" w:sz="8" w:color="231F20"/>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40" w:type="dxa"/>
            <w:vAlign w:val="bottom"/>
            <w:tcBorders>
              <w:bottom w:val="single" w:sz="8" w:color="231F20"/>
            </w:tcBorders>
            <w:vMerge w:val="continue"/>
          </w:tcPr>
          <w:p>
            <w:pPr>
              <w:spacing w:after="0"/>
              <w:rPr>
                <w:sz w:val="16"/>
                <w:szCs w:val="16"/>
                <w:color w:val="auto"/>
              </w:rPr>
            </w:pPr>
          </w:p>
        </w:tc>
        <w:tc>
          <w:tcPr>
            <w:tcW w:w="2460" w:type="dxa"/>
            <w:vAlign w:val="bottom"/>
            <w:tcBorders>
              <w:bottom w:val="single" w:sz="8" w:color="E6E7E8"/>
            </w:tcBorders>
          </w:tcPr>
          <w:p>
            <w:pPr>
              <w:spacing w:after="0"/>
              <w:rPr>
                <w:sz w:val="16"/>
                <w:szCs w:val="16"/>
                <w:color w:val="auto"/>
              </w:rPr>
            </w:pPr>
          </w:p>
        </w:tc>
        <w:tc>
          <w:tcPr>
            <w:tcW w:w="320" w:type="dxa"/>
            <w:vAlign w:val="bottom"/>
            <w:tcBorders>
              <w:bottom w:val="single" w:sz="8" w:color="231F20"/>
            </w:tcBorders>
          </w:tcPr>
          <w:p>
            <w:pPr>
              <w:spacing w:after="0"/>
              <w:rPr>
                <w:sz w:val="16"/>
                <w:szCs w:val="16"/>
                <w:color w:val="auto"/>
              </w:rPr>
            </w:pPr>
          </w:p>
        </w:tc>
        <w:tc>
          <w:tcPr>
            <w:tcW w:w="1080" w:type="dxa"/>
            <w:vAlign w:val="bottom"/>
            <w:tcBorders>
              <w:bottom w:val="single" w:sz="8" w:color="231F20"/>
            </w:tcBorders>
          </w:tcPr>
          <w:p>
            <w:pPr>
              <w:jc w:val="right"/>
              <w:ind w:right="451"/>
              <w:spacing w:after="0" w:line="170" w:lineRule="exact"/>
              <w:rPr>
                <w:sz w:val="20"/>
                <w:szCs w:val="20"/>
                <w:color w:val="auto"/>
              </w:rPr>
            </w:pPr>
            <w:r>
              <w:rPr>
                <w:rFonts w:ascii="Times New Roman" w:cs="Times New Roman" w:eastAsia="Times New Roman" w:hAnsi="Times New Roman"/>
                <w:sz w:val="16"/>
                <w:szCs w:val="16"/>
                <w:b w:val="1"/>
                <w:bCs w:val="1"/>
                <w:color w:val="231F20"/>
              </w:rPr>
              <w:t>2025</w:t>
            </w:r>
          </w:p>
        </w:tc>
        <w:tc>
          <w:tcPr>
            <w:tcW w:w="260" w:type="dxa"/>
            <w:vAlign w:val="bottom"/>
            <w:tcBorders>
              <w:bottom w:val="single" w:sz="8" w:color="E6E7E8"/>
            </w:tcBorders>
          </w:tcPr>
          <w:p>
            <w:pPr>
              <w:spacing w:after="0"/>
              <w:rPr>
                <w:sz w:val="16"/>
                <w:szCs w:val="16"/>
                <w:color w:val="auto"/>
              </w:rPr>
            </w:pPr>
          </w:p>
        </w:tc>
        <w:tc>
          <w:tcPr>
            <w:tcW w:w="440" w:type="dxa"/>
            <w:vAlign w:val="bottom"/>
            <w:tcBorders>
              <w:bottom w:val="single" w:sz="8" w:color="231F20"/>
            </w:tcBorders>
          </w:tcPr>
          <w:p>
            <w:pPr>
              <w:spacing w:after="0"/>
              <w:rPr>
                <w:sz w:val="16"/>
                <w:szCs w:val="16"/>
                <w:color w:val="auto"/>
              </w:rPr>
            </w:pPr>
          </w:p>
        </w:tc>
        <w:tc>
          <w:tcPr>
            <w:tcW w:w="960" w:type="dxa"/>
            <w:vAlign w:val="bottom"/>
            <w:tcBorders>
              <w:bottom w:val="single" w:sz="8" w:color="231F20"/>
            </w:tcBorders>
          </w:tcPr>
          <w:p>
            <w:pPr>
              <w:jc w:val="right"/>
              <w:ind w:right="449"/>
              <w:spacing w:after="0" w:line="170" w:lineRule="exact"/>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Borders>
              <w:bottom w:val="single" w:sz="8" w:color="E6E7E8"/>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40" w:type="dxa"/>
            <w:vAlign w:val="bottom"/>
            <w:tcBorders>
              <w:top w:val="single" w:sz="8" w:color="E6E7E8"/>
            </w:tcBorders>
            <w:shd w:val="clear" w:color="auto" w:fill="E6E7E8"/>
          </w:tcPr>
          <w:p>
            <w:pPr>
              <w:spacing w:after="0" w:line="204" w:lineRule="exact"/>
              <w:rPr>
                <w:sz w:val="20"/>
                <w:szCs w:val="20"/>
                <w:color w:val="auto"/>
              </w:rPr>
            </w:pPr>
            <w:r>
              <w:rPr>
                <w:rFonts w:ascii="Times New Roman" w:cs="Times New Roman" w:eastAsia="Times New Roman" w:hAnsi="Times New Roman"/>
                <w:sz w:val="19"/>
                <w:szCs w:val="19"/>
                <w:color w:val="231F20"/>
              </w:rPr>
              <w:t>Renewable Energy Portfolio Standards</w:t>
            </w:r>
          </w:p>
        </w:tc>
        <w:tc>
          <w:tcPr>
            <w:tcW w:w="2460" w:type="dxa"/>
            <w:vAlign w:val="bottom"/>
            <w:tcBorders>
              <w:top w:val="single" w:sz="8" w:color="E6E7E8"/>
            </w:tcBorders>
            <w:shd w:val="clear" w:color="auto" w:fill="E6E7E8"/>
          </w:tcPr>
          <w:p>
            <w:pPr>
              <w:spacing w:after="0"/>
              <w:rPr>
                <w:sz w:val="17"/>
                <w:szCs w:val="17"/>
                <w:color w:val="auto"/>
              </w:rPr>
            </w:pPr>
          </w:p>
        </w:tc>
        <w:tc>
          <w:tcPr>
            <w:tcW w:w="320" w:type="dxa"/>
            <w:vAlign w:val="bottom"/>
            <w:tcBorders>
              <w:top w:val="single" w:sz="8" w:color="231F20"/>
            </w:tcBorders>
            <w:shd w:val="clear" w:color="auto" w:fill="E6E7E8"/>
          </w:tcPr>
          <w:p>
            <w:pPr>
              <w:jc w:val="right"/>
              <w:ind w:right="156"/>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108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b w:val="1"/>
                <w:bCs w:val="1"/>
                <w:color w:val="231F20"/>
              </w:rPr>
              <w:t>2.3</w:t>
            </w:r>
          </w:p>
        </w:tc>
        <w:tc>
          <w:tcPr>
            <w:tcW w:w="260" w:type="dxa"/>
            <w:vAlign w:val="bottom"/>
            <w:tcBorders>
              <w:top w:val="single" w:sz="8" w:color="E6E7E8"/>
            </w:tcBorders>
            <w:shd w:val="clear" w:color="auto" w:fill="E6E7E8"/>
          </w:tcPr>
          <w:p>
            <w:pPr>
              <w:spacing w:after="0"/>
              <w:rPr>
                <w:sz w:val="17"/>
                <w:szCs w:val="17"/>
                <w:color w:val="auto"/>
              </w:rPr>
            </w:pPr>
          </w:p>
        </w:tc>
        <w:tc>
          <w:tcPr>
            <w:tcW w:w="440" w:type="dxa"/>
            <w:vAlign w:val="bottom"/>
            <w:tcBorders>
              <w:top w:val="single" w:sz="8" w:color="231F20"/>
            </w:tcBorders>
            <w:shd w:val="clear" w:color="auto" w:fill="E6E7E8"/>
          </w:tcPr>
          <w:p>
            <w:pPr>
              <w:jc w:val="right"/>
              <w:ind w:right="276"/>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color w:val="231F20"/>
              </w:rPr>
              <w:t>4.0</w:t>
            </w:r>
          </w:p>
        </w:tc>
        <w:tc>
          <w:tcPr>
            <w:tcW w:w="60" w:type="dxa"/>
            <w:vAlign w:val="bottom"/>
            <w:tcBorders>
              <w:top w:val="single" w:sz="8" w:color="E6E7E8"/>
            </w:tcBorders>
            <w:shd w:val="clear" w:color="auto" w:fill="E6E7E8"/>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140" w:type="dxa"/>
            <w:vAlign w:val="bottom"/>
            <w:tcBorders>
              <w:bottom w:val="single" w:sz="8" w:color="E6E7E8"/>
            </w:tcBorders>
          </w:tcPr>
          <w:p>
            <w:pPr>
              <w:spacing w:after="0"/>
              <w:rPr>
                <w:sz w:val="20"/>
                <w:szCs w:val="20"/>
                <w:color w:val="auto"/>
              </w:rPr>
            </w:pPr>
            <w:r>
              <w:rPr>
                <w:rFonts w:ascii="Times New Roman" w:cs="Times New Roman" w:eastAsia="Times New Roman" w:hAnsi="Times New Roman"/>
                <w:sz w:val="19"/>
                <w:szCs w:val="19"/>
                <w:color w:val="231F20"/>
              </w:rPr>
              <w:t>Exchange Gas Obligation</w:t>
            </w:r>
          </w:p>
        </w:tc>
        <w:tc>
          <w:tcPr>
            <w:tcW w:w="2460" w:type="dxa"/>
            <w:vAlign w:val="bottom"/>
            <w:tcBorders>
              <w:bottom w:val="single" w:sz="8" w:color="E6E7E8"/>
            </w:tcBorders>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9.3</w:t>
            </w:r>
          </w:p>
        </w:tc>
        <w:tc>
          <w:tcPr>
            <w:tcW w:w="260" w:type="dxa"/>
            <w:vAlign w:val="bottom"/>
            <w:tcBorders>
              <w:bottom w:val="single" w:sz="8" w:color="E6E7E8"/>
            </w:tcBorders>
          </w:tcPr>
          <w:p>
            <w:pPr>
              <w:spacing w:after="0"/>
              <w:rPr>
                <w:sz w:val="18"/>
                <w:szCs w:val="18"/>
                <w:color w:val="auto"/>
              </w:rPr>
            </w:pPr>
          </w:p>
        </w:tc>
        <w:tc>
          <w:tcPr>
            <w:tcW w:w="440" w:type="dxa"/>
            <w:vAlign w:val="bottom"/>
            <w:tcBorders>
              <w:bottom w:val="single" w:sz="8" w:color="231F20"/>
            </w:tcBorders>
          </w:tcPr>
          <w:p>
            <w:pPr>
              <w:spacing w:after="0"/>
              <w:rPr>
                <w:sz w:val="18"/>
                <w:szCs w:val="18"/>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6.0</w:t>
            </w:r>
          </w:p>
        </w:tc>
        <w:tc>
          <w:tcPr>
            <w:tcW w:w="60" w:type="dxa"/>
            <w:vAlign w:val="bottom"/>
            <w:tcBorders>
              <w:bottom w:val="single" w:sz="8" w:color="E6E7E8"/>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140" w:type="dxa"/>
            <w:vAlign w:val="bottom"/>
            <w:tcBorders>
              <w:bottom w:val="single" w:sz="8" w:color="E6E7E8"/>
            </w:tcBorders>
            <w:shd w:val="clear" w:color="auto" w:fill="E6E7E8"/>
          </w:tcPr>
          <w:p>
            <w:pPr>
              <w:ind w:left="200"/>
              <w:spacing w:after="0" w:line="214" w:lineRule="exact"/>
              <w:rPr>
                <w:sz w:val="20"/>
                <w:szCs w:val="20"/>
                <w:color w:val="auto"/>
              </w:rPr>
            </w:pPr>
            <w:r>
              <w:rPr>
                <w:rFonts w:ascii="Times New Roman" w:cs="Times New Roman" w:eastAsia="Times New Roman" w:hAnsi="Times New Roman"/>
                <w:sz w:val="19"/>
                <w:szCs w:val="19"/>
                <w:b w:val="1"/>
                <w:bCs w:val="1"/>
                <w:color w:val="231F20"/>
              </w:rPr>
              <w:t>Total Energy Supply Obligations</w:t>
            </w:r>
          </w:p>
        </w:tc>
        <w:tc>
          <w:tcPr>
            <w:tcW w:w="2460" w:type="dxa"/>
            <w:vAlign w:val="bottom"/>
            <w:tcBorders>
              <w:bottom w:val="single" w:sz="8" w:color="E6E7E8"/>
            </w:tcBorders>
            <w:shd w:val="clear" w:color="auto" w:fill="E6E7E8"/>
          </w:tcPr>
          <w:p>
            <w:pPr>
              <w:spacing w:after="0"/>
              <w:rPr>
                <w:sz w:val="20"/>
                <w:szCs w:val="20"/>
                <w:color w:val="auto"/>
              </w:rPr>
            </w:pPr>
          </w:p>
        </w:tc>
        <w:tc>
          <w:tcPr>
            <w:tcW w:w="320" w:type="dxa"/>
            <w:vAlign w:val="bottom"/>
            <w:tcBorders>
              <w:bottom w:val="single" w:sz="8" w:color="231F20"/>
            </w:tcBorders>
            <w:shd w:val="clear" w:color="auto" w:fill="E6E7E8"/>
          </w:tcPr>
          <w:p>
            <w:pPr>
              <w:jc w:val="right"/>
              <w:ind w:right="156"/>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1080" w:type="dxa"/>
            <w:vAlign w:val="bottom"/>
            <w:tcBorders>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11.6</w:t>
            </w:r>
          </w:p>
        </w:tc>
        <w:tc>
          <w:tcPr>
            <w:tcW w:w="260" w:type="dxa"/>
            <w:vAlign w:val="bottom"/>
            <w:tcBorders>
              <w:bottom w:val="single" w:sz="8" w:color="E6E7E8"/>
            </w:tcBorders>
            <w:shd w:val="clear" w:color="auto" w:fill="E6E7E8"/>
          </w:tcPr>
          <w:p>
            <w:pPr>
              <w:spacing w:after="0"/>
              <w:rPr>
                <w:sz w:val="20"/>
                <w:szCs w:val="20"/>
                <w:color w:val="auto"/>
              </w:rPr>
            </w:pPr>
          </w:p>
        </w:tc>
        <w:tc>
          <w:tcPr>
            <w:tcW w:w="440" w:type="dxa"/>
            <w:vAlign w:val="bottom"/>
            <w:tcBorders>
              <w:bottom w:val="single" w:sz="8" w:color="231F20"/>
            </w:tcBorders>
            <w:shd w:val="clear" w:color="auto" w:fill="E6E7E8"/>
          </w:tcPr>
          <w:p>
            <w:pPr>
              <w:jc w:val="right"/>
              <w:ind w:right="276"/>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Borders>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10.0</w:t>
            </w:r>
          </w:p>
        </w:tc>
        <w:tc>
          <w:tcPr>
            <w:tcW w:w="60" w:type="dxa"/>
            <w:vAlign w:val="bottom"/>
            <w:tcBorders>
              <w:bottom w:val="single" w:sz="8" w:color="E6E7E8"/>
            </w:tcBorders>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firstLine="612"/>
        <w:spacing w:after="0" w:line="244" w:lineRule="auto"/>
        <w:rPr>
          <w:sz w:val="20"/>
          <w:szCs w:val="20"/>
          <w:color w:val="auto"/>
        </w:rPr>
      </w:pPr>
      <w:r>
        <w:rPr>
          <w:rFonts w:ascii="Times New Roman" w:cs="Times New Roman" w:eastAsia="Times New Roman" w:hAnsi="Times New Roman"/>
          <w:sz w:val="21"/>
          <w:szCs w:val="21"/>
          <w:b w:val="1"/>
          <w:bCs w:val="1"/>
          <w:color w:val="231F20"/>
        </w:rPr>
        <w:t xml:space="preserve">Renewable Energy Portfolio Standards - </w:t>
      </w:r>
      <w:r>
        <w:rPr>
          <w:rFonts w:ascii="Times New Roman" w:cs="Times New Roman" w:eastAsia="Times New Roman" w:hAnsi="Times New Roman"/>
          <w:sz w:val="21"/>
          <w:szCs w:val="21"/>
          <w:color w:val="231F20"/>
        </w:rPr>
        <w:t>Renewable Energy Portfolio Standards (RPS) require retail electricity</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suppliers, including public utilities, to demonstrate that required percentages of their sales are met with power generated from certain types of resources or technologies. Compliance is demonstrated by purchasing and retiring Renewable Energy Certificates (REC) generated by facilities approved by the state as qualifying for REC treatment. Unitil Energy and Fitchburg purchase RECs in compliance with RPS legislation in New Hampshire and Massachusetts for supply provided to default service customers. RPS compliance costs are a supply cost that is recovered in customer default service rates. Unitil Energy and Fitchburg collect RPS compliance costs from customers throughout the year and demonstrate compliance for each calendar year on the following July 1. Due to timing differences between collection of revenue from customers and payment of REC costs to suppliers, Unitil Energy and Fitchburg typically defer costs for RPS compliance which are recorded within Accrued Revenue with a corresponding liability in Energy Supply Obligations on the Company’s Consolidated Balance Sheets.</w:t>
      </w:r>
    </w:p>
    <w:p>
      <w:pPr>
        <w:spacing w:after="0" w:line="204" w:lineRule="exact"/>
        <w:rPr>
          <w:sz w:val="20"/>
          <w:szCs w:val="20"/>
          <w:color w:val="auto"/>
        </w:rPr>
      </w:pPr>
    </w:p>
    <w:p>
      <w:pPr>
        <w:ind w:right="260" w:firstLine="619"/>
        <w:spacing w:after="0" w:line="253" w:lineRule="auto"/>
        <w:rPr>
          <w:sz w:val="20"/>
          <w:szCs w:val="20"/>
          <w:color w:val="auto"/>
        </w:rPr>
      </w:pPr>
      <w:r>
        <w:rPr>
          <w:rFonts w:ascii="Times New Roman" w:cs="Times New Roman" w:eastAsia="Times New Roman" w:hAnsi="Times New Roman"/>
          <w:sz w:val="21"/>
          <w:szCs w:val="21"/>
          <w:color w:val="231F20"/>
        </w:rPr>
        <w:t>Fitchburg has entered into long-term renewable contracts for the purchase of its pro rata share of clean energy and/or RECs under statewide procurement processes pursuant to Massachusetts legislation. The generating facilities associated with some of these contracts have been constructed and are now operating. Please see Note 8 (Commitments and Contingencies) discussion in Regulatory Matters for additional detail.</w:t>
      </w:r>
    </w:p>
    <w:p>
      <w:pPr>
        <w:spacing w:after="0" w:line="207" w:lineRule="exact"/>
        <w:rPr>
          <w:sz w:val="20"/>
          <w:szCs w:val="20"/>
          <w:color w:val="auto"/>
        </w:rPr>
      </w:pPr>
    </w:p>
    <w:p>
      <w:pPr>
        <w:ind w:right="60" w:firstLine="612"/>
        <w:spacing w:after="0" w:line="248" w:lineRule="auto"/>
        <w:rPr>
          <w:sz w:val="20"/>
          <w:szCs w:val="20"/>
          <w:color w:val="auto"/>
        </w:rPr>
      </w:pPr>
      <w:r>
        <w:rPr>
          <w:rFonts w:ascii="Times New Roman" w:cs="Times New Roman" w:eastAsia="Times New Roman" w:hAnsi="Times New Roman"/>
          <w:sz w:val="21"/>
          <w:szCs w:val="21"/>
          <w:b w:val="1"/>
          <w:bCs w:val="1"/>
          <w:color w:val="231F20"/>
        </w:rPr>
        <w:t xml:space="preserve">Exchange Gas Obligation - </w:t>
      </w:r>
      <w:r>
        <w:rPr>
          <w:rFonts w:ascii="Times New Roman" w:cs="Times New Roman" w:eastAsia="Times New Roman" w:hAnsi="Times New Roman"/>
          <w:sz w:val="21"/>
          <w:szCs w:val="21"/>
          <w:color w:val="231F20"/>
        </w:rPr>
        <w:t>Northern Utilities and Bangor enter into gas exchange agreements under which Northern</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Utilities and Bangor release certain natural gas pipeline and storage assets, resell the natural gas storage inventory to an asset manager and subsequently repurchase the inventory over the course of the natural gas heating season at the same price at which it sold the natural gas inventory to the asset manager. The gas inventory related to these agreements is recorded in Exchange Gas Receivable on the Company’s Consolidated Balance Sheets while the corresponding obligations are recorded in Energy Supply Obligations.</w:t>
      </w:r>
    </w:p>
    <w:p>
      <w:pPr>
        <w:sectPr>
          <w:pgSz w:w="12240" w:h="15840" w:orient="portrait"/>
          <w:cols w:equalWidth="0" w:num="1">
            <w:col w:w="10780"/>
          </w:cols>
          <w:pgMar w:left="720" w:top="928" w:right="74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52</w:t>
      </w:r>
    </w:p>
    <w:p>
      <w:pPr>
        <w:sectPr>
          <w:pgSz w:w="12240" w:h="15840" w:orient="portrait"/>
          <w:cols w:equalWidth="0" w:num="1">
            <w:col w:w="10780"/>
          </w:cols>
          <w:pgMar w:left="720" w:top="928" w:right="740" w:bottom="188" w:gutter="0" w:footer="0" w:header="0"/>
          <w:type w:val="continuous"/>
        </w:sectPr>
      </w:pPr>
    </w:p>
    <w:bookmarkStart w:id="72" w:name="page73"/>
    <w:bookmarkEnd w:id="72"/>
    <w:p>
      <w:pPr>
        <w:ind w:right="100" w:firstLine="612"/>
        <w:spacing w:after="0" w:line="248" w:lineRule="auto"/>
        <w:rPr>
          <w:sz w:val="20"/>
          <w:szCs w:val="20"/>
          <w:color w:val="auto"/>
        </w:rPr>
      </w:pPr>
      <w:r>
        <w:rPr>
          <w:rFonts w:ascii="Times New Roman" w:cs="Times New Roman" w:eastAsia="Times New Roman" w:hAnsi="Times New Roman"/>
          <w:sz w:val="21"/>
          <w:szCs w:val="21"/>
          <w:b w:val="1"/>
          <w:bCs w:val="1"/>
          <w:color w:val="231F20"/>
        </w:rPr>
        <w:t xml:space="preserve">Retirement Benefit Obligations - </w:t>
      </w:r>
      <w:r>
        <w:rPr>
          <w:rFonts w:ascii="Times New Roman" w:cs="Times New Roman" w:eastAsia="Times New Roman" w:hAnsi="Times New Roman"/>
          <w:sz w:val="21"/>
          <w:szCs w:val="21"/>
          <w:color w:val="231F20"/>
        </w:rPr>
        <w:t>The Company sponsors the Pension Plan, which is a defined benefit pension plan.</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Effective January 1, 2010, the Pension Plan was closed to new non-union employees. For union employees, the Pension Plan was closed on various dates between December 31, 2010 and June 1, 2013, depending on the various Collective Bargaining Agreements of each union. The Company also sponsors a non-qualified retirement plan, the SERP, covering certain executives of the Company, and an employee 401(k) savings plan. Additionally, the Company sponsors the PBOP Plan, primarily to provide health care and life insurance benefits to retired employees.</w:t>
      </w:r>
    </w:p>
    <w:p>
      <w:pPr>
        <w:spacing w:after="0" w:line="196" w:lineRule="exact"/>
        <w:rPr>
          <w:sz w:val="20"/>
          <w:szCs w:val="20"/>
          <w:color w:val="auto"/>
        </w:rPr>
      </w:pPr>
    </w:p>
    <w:p>
      <w:pPr>
        <w:ind w:right="60" w:firstLine="612"/>
        <w:spacing w:after="0" w:line="247" w:lineRule="auto"/>
        <w:rPr>
          <w:sz w:val="20"/>
          <w:szCs w:val="20"/>
          <w:color w:val="auto"/>
        </w:rPr>
      </w:pPr>
      <w:r>
        <w:rPr>
          <w:rFonts w:ascii="Times New Roman" w:cs="Times New Roman" w:eastAsia="Times New Roman" w:hAnsi="Times New Roman"/>
          <w:sz w:val="21"/>
          <w:szCs w:val="21"/>
          <w:color w:val="231F20"/>
        </w:rPr>
        <w:t>The Company records on its balance sheets as an asset or liability for the overfunded or underfunded status of its retirement benefit obligations (RBO) based on the projected benefit obligations. The Company has recognized a corresponding Regulatory Asset or Regulatory Liability, reflecting ultimate recovery from or refunded to customers through rates. The regulatory asset (or regulatory liability) is amortized as the actuarial gains and losses and prior service cost are amortized to net periodic benefit cost for the Pension and PBOP plans. All amounts are remeasured annually. (See Note 10 Retirement Benefit Plans.)</w:t>
      </w:r>
    </w:p>
    <w:p>
      <w:pPr>
        <w:spacing w:after="0" w:line="194" w:lineRule="exact"/>
        <w:rPr>
          <w:sz w:val="20"/>
          <w:szCs w:val="20"/>
          <w:color w:val="auto"/>
        </w:rPr>
      </w:pPr>
    </w:p>
    <w:p>
      <w:pPr>
        <w:ind w:right="40" w:firstLine="612"/>
        <w:spacing w:after="0" w:line="250" w:lineRule="auto"/>
        <w:rPr>
          <w:sz w:val="20"/>
          <w:szCs w:val="20"/>
          <w:color w:val="auto"/>
        </w:rPr>
      </w:pPr>
      <w:r>
        <w:rPr>
          <w:rFonts w:ascii="Times New Roman" w:cs="Times New Roman" w:eastAsia="Times New Roman" w:hAnsi="Times New Roman"/>
          <w:sz w:val="21"/>
          <w:szCs w:val="21"/>
          <w:b w:val="1"/>
          <w:bCs w:val="1"/>
          <w:color w:val="231F20"/>
        </w:rPr>
        <w:t xml:space="preserve">Commitments and Contingencies - </w:t>
      </w:r>
      <w:r>
        <w:rPr>
          <w:rFonts w:ascii="Times New Roman" w:cs="Times New Roman" w:eastAsia="Times New Roman" w:hAnsi="Times New Roman"/>
          <w:sz w:val="21"/>
          <w:szCs w:val="21"/>
          <w:color w:val="231F20"/>
        </w:rPr>
        <w:t>The Company’s accounting policy is to record and/or disclose commitments and</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contingencies in accordance with the FASB Codification as it applies to an existing condition, situation, or set of circumstances involving uncertainty as to possible loss that will ultimately be resolved when one or more future events occur or fail to occur. As of December 31, 2025, the Company is not aware of any material commitments or contingencies other than those disclosed in Note 8 (Commitments and Contingencies).</w:t>
      </w:r>
    </w:p>
    <w:p>
      <w:pPr>
        <w:spacing w:after="0" w:line="190" w:lineRule="exact"/>
        <w:rPr>
          <w:sz w:val="20"/>
          <w:szCs w:val="20"/>
          <w:color w:val="auto"/>
        </w:rPr>
      </w:pPr>
    </w:p>
    <w:p>
      <w:pPr>
        <w:ind w:firstLine="612"/>
        <w:spacing w:after="0" w:line="246" w:lineRule="auto"/>
        <w:rPr>
          <w:sz w:val="20"/>
          <w:szCs w:val="20"/>
          <w:color w:val="auto"/>
        </w:rPr>
      </w:pPr>
      <w:r>
        <w:rPr>
          <w:rFonts w:ascii="Times New Roman" w:cs="Times New Roman" w:eastAsia="Times New Roman" w:hAnsi="Times New Roman"/>
          <w:sz w:val="21"/>
          <w:szCs w:val="21"/>
          <w:b w:val="1"/>
          <w:bCs w:val="1"/>
          <w:color w:val="231F20"/>
        </w:rPr>
        <w:t xml:space="preserve">Environmental Matters - </w:t>
      </w:r>
      <w:r>
        <w:rPr>
          <w:rFonts w:ascii="Times New Roman" w:cs="Times New Roman" w:eastAsia="Times New Roman" w:hAnsi="Times New Roman"/>
          <w:sz w:val="21"/>
          <w:szCs w:val="21"/>
          <w:color w:val="231F20"/>
        </w:rPr>
        <w:t>The Company’s past and present operations include activities that are generally subject to</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extensive federal and state environmental laws and regulations. The Company has recovered or will recover substantially all the costs of the environmental remediation work performed to date from customers or from its insurance carriers. The Company believes it is in compliance with all applicable environmental and safety laws and regulations, and the Company believes that as of December 31, 2025, there are no material losses that would require additional liability reserves to be recorded other than those disclosed in Note 8 (Commitments and Contingencies). Changes in future environmental compliance regulations or in future cost estimates of environmental remediation costs could have a material effect on the Company’s financial position if those amounts are not recoverable in regulatory rate mechanisms.</w:t>
      </w:r>
    </w:p>
    <w:p>
      <w:pPr>
        <w:spacing w:after="0" w:line="192" w:lineRule="exact"/>
        <w:rPr>
          <w:sz w:val="20"/>
          <w:szCs w:val="20"/>
          <w:color w:val="auto"/>
        </w:rPr>
      </w:pPr>
    </w:p>
    <w:p>
      <w:pPr>
        <w:ind w:right="120" w:firstLine="612"/>
        <w:spacing w:after="0" w:line="247" w:lineRule="auto"/>
        <w:rPr>
          <w:sz w:val="20"/>
          <w:szCs w:val="20"/>
          <w:color w:val="auto"/>
        </w:rPr>
      </w:pPr>
      <w:r>
        <w:rPr>
          <w:rFonts w:ascii="Times New Roman" w:cs="Times New Roman" w:eastAsia="Times New Roman" w:hAnsi="Times New Roman"/>
          <w:sz w:val="21"/>
          <w:szCs w:val="21"/>
          <w:b w:val="1"/>
          <w:bCs w:val="1"/>
          <w:color w:val="231F20"/>
        </w:rPr>
        <w:t xml:space="preserve">Recently Issued Pronouncements </w:t>
      </w:r>
      <w:r>
        <w:rPr>
          <w:rFonts w:ascii="Times New Roman" w:cs="Times New Roman" w:eastAsia="Times New Roman" w:hAnsi="Times New Roman"/>
          <w:sz w:val="21"/>
          <w:szCs w:val="21"/>
          <w:color w:val="231F20"/>
        </w:rPr>
        <w:t>-</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333133"/>
        </w:rPr>
        <w:t>In</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2024, the FASB issued ASU 2024-03, Income Statement - Reporting</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Comprehensive Income - Expense Disaggregation Disclosures (DISE), requiring public business entities to provide enhanced disclosures about the nature of expenses. The standard mandates a tabular footnote disclosure detailing relevant expense captions into natural expense categories such as purchases of inventory, employee compensation, and depreciation. It also requires disclosure of total selling expenses and, annually, the definition of selling expenses. ASU 2024-03 is effective for annual periods beginning after December 15, 2026, and interim periods within those periods starting after December 15, 2027; early adoption is permitted. The Company is evaluating the standard's impact on its Consolidated Financial Statements.</w:t>
      </w:r>
    </w:p>
    <w:p>
      <w:pPr>
        <w:spacing w:after="0" w:line="195" w:lineRule="exact"/>
        <w:rPr>
          <w:sz w:val="20"/>
          <w:szCs w:val="20"/>
          <w:color w:val="auto"/>
        </w:rPr>
      </w:pPr>
    </w:p>
    <w:p>
      <w:pPr>
        <w:jc w:val="both"/>
        <w:ind w:right="180" w:firstLine="619"/>
        <w:spacing w:after="0" w:line="249" w:lineRule="auto"/>
        <w:rPr>
          <w:sz w:val="20"/>
          <w:szCs w:val="20"/>
          <w:color w:val="auto"/>
        </w:rPr>
      </w:pPr>
      <w:r>
        <w:rPr>
          <w:rFonts w:ascii="Times New Roman" w:cs="Times New Roman" w:eastAsia="Times New Roman" w:hAnsi="Times New Roman"/>
          <w:sz w:val="21"/>
          <w:szCs w:val="21"/>
          <w:color w:val="231F20"/>
        </w:rPr>
        <w:t>In December 2023, the FASB issued ASU 2023-09, Income Taxes - Improvements to Income Tax Disclosures (ASU 2023-09). ASU 2023-09 establishes new income tax disclosure requirements in addition to modifying and eliminating certain existing requirements. The amendments in ASU 2023-09 are effective for annual periods beginning after December 15, 2024, with early adoption permitted. The Company adopted this new guidance for the year ended December 31, 2025, and it did not have a material effect on the Company’s Consolidated Financial Statements (See Note 9 Income Taxes.)</w:t>
      </w:r>
    </w:p>
    <w:p>
      <w:pPr>
        <w:spacing w:after="0" w:line="191" w:lineRule="exact"/>
        <w:rPr>
          <w:sz w:val="20"/>
          <w:szCs w:val="20"/>
          <w:color w:val="auto"/>
        </w:rPr>
      </w:pPr>
    </w:p>
    <w:p>
      <w:pPr>
        <w:ind w:right="20" w:firstLine="619"/>
        <w:spacing w:after="0" w:line="254" w:lineRule="auto"/>
        <w:rPr>
          <w:sz w:val="20"/>
          <w:szCs w:val="20"/>
          <w:color w:val="auto"/>
        </w:rPr>
      </w:pPr>
      <w:r>
        <w:rPr>
          <w:rFonts w:ascii="Times New Roman" w:cs="Times New Roman" w:eastAsia="Times New Roman" w:hAnsi="Times New Roman"/>
          <w:sz w:val="21"/>
          <w:szCs w:val="21"/>
          <w:b w:val="1"/>
          <w:bCs w:val="1"/>
          <w:color w:val="231F20"/>
        </w:rPr>
        <w:t xml:space="preserve">Acquisition of Bangor Natural Gas Company </w:t>
      </w:r>
      <w:r>
        <w:rPr>
          <w:rFonts w:ascii="Times New Roman" w:cs="Times New Roman" w:eastAsia="Times New Roman" w:hAnsi="Times New Roman"/>
          <w:sz w:val="21"/>
          <w:szCs w:val="21"/>
          <w:color w:val="231F20"/>
        </w:rPr>
        <w:t>- On January 31, 2025, the Company acquired all issued and</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outstanding shares of Bangor Natural Gas Company for $71.4 million, which includes an estimated working capital adjustment. Through this acquisition, the Company expanded its service territory to include approximately 8,500 customers in the greater Bangor area of central Maine.</w:t>
      </w:r>
    </w:p>
    <w:p>
      <w:pPr>
        <w:spacing w:after="0" w:line="188" w:lineRule="exact"/>
        <w:rPr>
          <w:sz w:val="20"/>
          <w:szCs w:val="20"/>
          <w:color w:val="auto"/>
        </w:rPr>
      </w:pPr>
    </w:p>
    <w:p>
      <w:pPr>
        <w:ind w:right="180" w:firstLine="619"/>
        <w:spacing w:after="0" w:line="253" w:lineRule="auto"/>
        <w:rPr>
          <w:sz w:val="20"/>
          <w:szCs w:val="20"/>
          <w:color w:val="auto"/>
        </w:rPr>
      </w:pPr>
      <w:r>
        <w:rPr>
          <w:rFonts w:ascii="Times New Roman" w:cs="Times New Roman" w:eastAsia="Times New Roman" w:hAnsi="Times New Roman"/>
          <w:sz w:val="21"/>
          <w:szCs w:val="21"/>
          <w:color w:val="231F20"/>
        </w:rPr>
        <w:t>In connection with this acquisition, the Company recorded $66.7 million of net utility plant, $3.8 million working capital, $1.6 million goodwill, $0.2 million noncurrent assets and $0.9 million noncurrent regulatory liabilities. The financial results associated with this acquisition are included within the gas segment. Bangor’s operating revenues of $27.9 million and net income of $2.2 million were included in the consolidated results for the year ended December 31, 2025.</w:t>
      </w:r>
    </w:p>
    <w:p>
      <w:pPr>
        <w:spacing w:after="0" w:line="188" w:lineRule="exact"/>
        <w:rPr>
          <w:sz w:val="20"/>
          <w:szCs w:val="20"/>
          <w:color w:val="auto"/>
        </w:rPr>
      </w:pPr>
    </w:p>
    <w:p>
      <w:pPr>
        <w:ind w:right="100" w:firstLine="619"/>
        <w:spacing w:after="0" w:line="259" w:lineRule="auto"/>
        <w:rPr>
          <w:sz w:val="20"/>
          <w:szCs w:val="20"/>
          <w:color w:val="auto"/>
        </w:rPr>
      </w:pPr>
      <w:r>
        <w:rPr>
          <w:rFonts w:ascii="Times New Roman" w:cs="Times New Roman" w:eastAsia="Times New Roman" w:hAnsi="Times New Roman"/>
          <w:sz w:val="21"/>
          <w:szCs w:val="21"/>
          <w:color w:val="231F20"/>
        </w:rPr>
        <w:t>Goodwill represents the amount by which the purchase price exceeds the estimated fair value of the net assets acquired. The goodwill related to Bangor is partially tax deductible. The tax deductible portion of goodwill is $0.4 million and will be amortized over 15 years.</w:t>
      </w:r>
    </w:p>
    <w:p>
      <w:pPr>
        <w:sectPr>
          <w:pgSz w:w="12240" w:h="15840" w:orient="portrait"/>
          <w:cols w:equalWidth="0" w:num="1">
            <w:col w:w="10760"/>
          </w:cols>
          <w:pgMar w:left="720" w:top="925" w:right="760" w:bottom="188" w:gutter="0" w:footer="0" w:header="0"/>
        </w:sect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53</w:t>
      </w:r>
    </w:p>
    <w:p>
      <w:pPr>
        <w:sectPr>
          <w:pgSz w:w="12240" w:h="15840" w:orient="portrait"/>
          <w:cols w:equalWidth="0" w:num="1">
            <w:col w:w="10760"/>
          </w:cols>
          <w:pgMar w:left="720" w:top="925" w:right="760" w:bottom="188" w:gutter="0" w:footer="0" w:header="0"/>
          <w:type w:val="continuous"/>
        </w:sectPr>
      </w:pPr>
    </w:p>
    <w:bookmarkStart w:id="73" w:name="page74"/>
    <w:bookmarkEnd w:id="73"/>
    <w:p>
      <w:pPr>
        <w:ind w:right="120" w:firstLine="619"/>
        <w:spacing w:after="0" w:line="249" w:lineRule="auto"/>
        <w:rPr>
          <w:sz w:val="20"/>
          <w:szCs w:val="20"/>
          <w:color w:val="auto"/>
        </w:rPr>
      </w:pPr>
      <w:r>
        <w:rPr>
          <w:rFonts w:ascii="Times New Roman" w:cs="Times New Roman" w:eastAsia="Times New Roman" w:hAnsi="Times New Roman"/>
          <w:sz w:val="21"/>
          <w:szCs w:val="21"/>
          <w:color w:val="231F20"/>
        </w:rPr>
        <w:t>In connection with Unitil’s acquisition of Bangor, the Company entered into a Transition Services Agreement (TSA) dated January 31, 2025 between Bangor and Hope Utilities, Inc. (Hope Utilities). Pursuant to the TSA, Hope Utilities provided Bangor with certain services at cost, for up to 12 months, in order to continue the operation and maintenance of Bangor substantially consistent with past practices until Unitil has completed the successful transition. The TSA was completed in November 2025.</w:t>
      </w:r>
    </w:p>
    <w:p>
      <w:pPr>
        <w:spacing w:after="0" w:line="191" w:lineRule="exact"/>
        <w:rPr>
          <w:sz w:val="20"/>
          <w:szCs w:val="20"/>
          <w:color w:val="auto"/>
        </w:rPr>
      </w:pPr>
    </w:p>
    <w:p>
      <w:pPr>
        <w:ind w:right="320" w:firstLine="619"/>
        <w:spacing w:after="0" w:line="254" w:lineRule="auto"/>
        <w:rPr>
          <w:sz w:val="20"/>
          <w:szCs w:val="20"/>
          <w:color w:val="auto"/>
        </w:rPr>
      </w:pPr>
      <w:r>
        <w:rPr>
          <w:rFonts w:ascii="Times New Roman" w:cs="Times New Roman" w:eastAsia="Times New Roman" w:hAnsi="Times New Roman"/>
          <w:sz w:val="21"/>
          <w:szCs w:val="21"/>
          <w:b w:val="1"/>
          <w:bCs w:val="1"/>
          <w:color w:val="231F20"/>
        </w:rPr>
        <w:t xml:space="preserve">Acquisition of Maine Natural Gas Corporation </w:t>
      </w:r>
      <w:r>
        <w:rPr>
          <w:rFonts w:ascii="Times New Roman" w:cs="Times New Roman" w:eastAsia="Times New Roman" w:hAnsi="Times New Roman"/>
          <w:sz w:val="21"/>
          <w:szCs w:val="21"/>
          <w:color w:val="231F20"/>
        </w:rPr>
        <w:t>- On October 31, 2025, the Company acquired all issued and</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outstanding shares of Maine Natural for $86.0 million in cash, plus $7.1 million in working capital, subject to certain adjustments as provided in the Purchase Agreement. Through this acquisition, the Company expanded its service territory to include approximately 6,300 customers in the Portland area of central Maine, as well as the capital city of Augusta.</w:t>
      </w:r>
    </w:p>
    <w:p>
      <w:pPr>
        <w:spacing w:after="0" w:line="188"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21"/>
          <w:szCs w:val="21"/>
          <w:color w:val="231F20"/>
        </w:rPr>
        <w:t>In connection with this acquisition, the Company recorded $82.0 million of net utility plant, $10.4 million working capital, $ 2.7 million goodwill, $1.4 million noncurrent assets and $3.4 million noncurrent regulatory liabilities. The amounts recorded in conjunction with the acquisition are preliminary, and subject to adjustment based on contractual provisions and purchase accounting adjustments. The financial results associated with this acquisition are included within the gas segment. Maine Natural’s operating revenues of $8.3 million and net income of $2.8 million were included in the consolidated results for the year ended December 31, 2025.</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231F20"/>
        </w:rPr>
        <w:t>Goodwill represents the amount by which the purchase price exceeds the estimated fair value of the net assets acquired.</w:t>
      </w:r>
    </w:p>
    <w:p>
      <w:pPr>
        <w:spacing w:after="0" w:line="240"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21"/>
          <w:szCs w:val="21"/>
          <w:color w:val="231F20"/>
        </w:rPr>
        <w:t>In connection with Unitil’s acquisition of Maine Natural, the Company entered into a TSA dated October 31, 2025 between Maine Natural and Avangrid Service Company (Avangrid). Pursuant to the TSA, Avangrid will provide Maine Natural with certain services at cost, for up to 12 months, in order to continue the operation and maintenance of Maine Natural substantially consistent with past practices until Unitil has completed the successful transition. The Company has recorded $0.2 million of TSA costs as of December 31, 2025.</w:t>
      </w:r>
    </w:p>
    <w:p>
      <w:pPr>
        <w:spacing w:after="0" w:line="191"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21"/>
          <w:szCs w:val="21"/>
          <w:b w:val="1"/>
          <w:bCs w:val="1"/>
          <w:color w:val="231F20"/>
        </w:rPr>
        <w:t xml:space="preserve">Acquisition of Aquarion Water Companies </w:t>
      </w:r>
      <w:r>
        <w:rPr>
          <w:rFonts w:ascii="Times New Roman" w:cs="Times New Roman" w:eastAsia="Times New Roman" w:hAnsi="Times New Roman"/>
          <w:sz w:val="21"/>
          <w:szCs w:val="21"/>
          <w:color w:val="231F20"/>
        </w:rPr>
        <w:t>- On May 6, 2025, Unitil entered into a definitive agreement to acquire</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Aquarion Water Company of Massachusetts, Inc., Aquarion Water Company of New Hampshire, Inc., and Abenaki Water Co., Inc. (the Aquarion Companies) from the Aquarion Water Authority, a quasi-public corporation and political subdivision of the State of Connecticut and a standalone, newly created water authority alongside the South Central Connecticut Regional Water Authority subject to certain closing adjustments. The aggregate enterprise value of the sale is approximately $100.0 million, which includes approximately $70.0 million in cash and the assumption of approximately $30.0 million of debt. The transaction is subject to approval by the MDPU, the NHPUC and the MPUC.</w:t>
      </w:r>
    </w:p>
    <w:p>
      <w:pPr>
        <w:spacing w:after="0" w:line="191" w:lineRule="exact"/>
        <w:rPr>
          <w:sz w:val="20"/>
          <w:szCs w:val="20"/>
          <w:color w:val="auto"/>
        </w:rPr>
      </w:pPr>
    </w:p>
    <w:p>
      <w:pPr>
        <w:jc w:val="both"/>
        <w:ind w:right="40" w:firstLine="612"/>
        <w:spacing w:after="0" w:line="261" w:lineRule="auto"/>
        <w:rPr>
          <w:sz w:val="20"/>
          <w:szCs w:val="20"/>
          <w:color w:val="auto"/>
        </w:rPr>
      </w:pPr>
      <w:r>
        <w:rPr>
          <w:rFonts w:ascii="Times New Roman" w:cs="Times New Roman" w:eastAsia="Times New Roman" w:hAnsi="Times New Roman"/>
          <w:sz w:val="21"/>
          <w:szCs w:val="21"/>
          <w:b w:val="1"/>
          <w:bCs w:val="1"/>
          <w:color w:val="231F20"/>
        </w:rPr>
        <w:t xml:space="preserve">Subsequent Events - </w:t>
      </w:r>
      <w:r>
        <w:rPr>
          <w:rFonts w:ascii="Times New Roman" w:cs="Times New Roman" w:eastAsia="Times New Roman" w:hAnsi="Times New Roman"/>
          <w:sz w:val="21"/>
          <w:szCs w:val="21"/>
          <w:color w:val="231F20"/>
        </w:rPr>
        <w:t>The Company evaluates all events or transactions through the date of the related filing. During the</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period through the date of this filing, the Company did not have any material subsequent events that would result in adjustment to or disclosure in its Consolidated Financial Statements.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Note 2: Segment Information</w:t>
      </w:r>
    </w:p>
    <w:p>
      <w:pPr>
        <w:spacing w:after="0" w:line="124" w:lineRule="exact"/>
        <w:rPr>
          <w:sz w:val="20"/>
          <w:szCs w:val="20"/>
          <w:color w:val="auto"/>
        </w:rPr>
      </w:pPr>
    </w:p>
    <w:p>
      <w:pPr>
        <w:ind w:right="20" w:firstLine="612"/>
        <w:spacing w:after="0" w:line="245" w:lineRule="auto"/>
        <w:rPr>
          <w:sz w:val="20"/>
          <w:szCs w:val="20"/>
          <w:color w:val="auto"/>
        </w:rPr>
      </w:pPr>
      <w:r>
        <w:rPr>
          <w:rFonts w:ascii="Times New Roman" w:cs="Times New Roman" w:eastAsia="Times New Roman" w:hAnsi="Times New Roman"/>
          <w:sz w:val="21"/>
          <w:szCs w:val="21"/>
          <w:color w:val="231F20"/>
        </w:rPr>
        <w:t>The Company’s Chief Operating Decision Maker (CODM), consists of the Company’s Chairman and Chief Executive Officer, President and Chief Administrative Officer, Chief Financial Officer, and Chief Accounting Officer. These individuals assess financial performance and make decisions, including the allocation of resources to the various operating segments, based on meeting with the managers of each segment and through their review of reports and analyses that are regularly provided to the CODM. The CODM uses Net Income Applicable to Common Shares for each segment predominantly in the annual budget and forecasting process. The CODM considers budget-to-actual variances on a quarterly basis when making decisions about the allocation of operating and capital resources to each segment. Unitil reports two operating and reportable segments: utility electric operations and utility gas operations.</w:t>
      </w:r>
    </w:p>
    <w:p>
      <w:pPr>
        <w:spacing w:after="0" w:line="80" w:lineRule="exact"/>
        <w:rPr>
          <w:sz w:val="20"/>
          <w:szCs w:val="20"/>
          <w:color w:val="auto"/>
        </w:rPr>
      </w:pPr>
    </w:p>
    <w:p>
      <w:pPr>
        <w:ind w:firstLine="612"/>
        <w:spacing w:after="0" w:line="245" w:lineRule="auto"/>
        <w:rPr>
          <w:sz w:val="20"/>
          <w:szCs w:val="20"/>
          <w:color w:val="auto"/>
        </w:rPr>
      </w:pPr>
      <w:r>
        <w:rPr>
          <w:rFonts w:ascii="Times New Roman" w:cs="Times New Roman" w:eastAsia="Times New Roman" w:hAnsi="Times New Roman"/>
          <w:sz w:val="21"/>
          <w:szCs w:val="21"/>
          <w:color w:val="231F20"/>
        </w:rPr>
        <w:t>Unitil’s principal business is the local distribution of electricity in the southeastern seacoast and state capital regions of New Hampshire and the greater Fitchburg area of north central Massachusetts and the local distribution of natural gas in southeastern New Hampshire, portions of southern Maine to the Lewiston-Auburn area, portions of central Maine including Augusta and the Bangor area, and in the greater Fitchburg area of north central Massachusetts. Unitil has five distribution utility subsidiaries, Unitil Energy, which operates in New Hampshire, Fitchburg, which operates in Massachusetts, Northern Utilities, which operates in New Hampshire and Maine, Bangor, which operates in Maine and Maine Natural, which operates in Maine. Unitil Energy and the electric division of Fitchburg are included in the electric segment. Northern Utilities, Bangor, Maine Natural and the gas division of Fitchburg are included in the gas segment. Unitil Energy, Fitchburg, Northern Utilities, Bangor</w:t>
      </w:r>
    </w:p>
    <w:p>
      <w:pPr>
        <w:sectPr>
          <w:pgSz w:w="12240" w:h="15840" w:orient="portrait"/>
          <w:cols w:equalWidth="0" w:num="1">
            <w:col w:w="10780"/>
          </w:cols>
          <w:pgMar w:left="720" w:top="929" w:right="740" w:bottom="188" w:gutter="0" w:footer="0" w:header="0"/>
        </w:sect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54</w:t>
      </w:r>
    </w:p>
    <w:p>
      <w:pPr>
        <w:sectPr>
          <w:pgSz w:w="12240" w:h="15840" w:orient="portrait"/>
          <w:cols w:equalWidth="0" w:num="1">
            <w:col w:w="10780"/>
          </w:cols>
          <w:pgMar w:left="720" w:top="929" w:right="740" w:bottom="188" w:gutter="0" w:footer="0" w:header="0"/>
          <w:type w:val="continuous"/>
        </w:sectPr>
      </w:pPr>
    </w:p>
    <w:bookmarkStart w:id="74" w:name="page75"/>
    <w:bookmarkEnd w:id="74"/>
    <w:p>
      <w:pPr>
        <w:spacing w:after="0" w:line="246" w:lineRule="auto"/>
        <w:rPr>
          <w:sz w:val="20"/>
          <w:szCs w:val="20"/>
          <w:color w:val="auto"/>
        </w:rPr>
      </w:pPr>
      <w:r>
        <w:rPr>
          <w:rFonts w:ascii="Times New Roman" w:cs="Times New Roman" w:eastAsia="Times New Roman" w:hAnsi="Times New Roman"/>
          <w:sz w:val="21"/>
          <w:szCs w:val="21"/>
          <w:color w:val="231F20"/>
        </w:rPr>
        <w:t>and Maine Natural have a well-diversified customer mix and are not dependent on a single customer, or a few customers, for their electric and natural gas sales. Granite State is an interstate natural gas transmission pipeline company, operating 85 miles of underground gas transmission pipeline primarily located in Maine and New Hampshire. Granite State provides Northern Utilities with interconnection to three major natural gas pipelines and access to domestic natural gas supplies in the south and Canadian natural gas supplies in the north. Granite State derives its revenues principally from the transmission services provided to Northern Utilities and, to a lesser extent, third-party marketers. Granite State is included in the utility gas operations segment.</w:t>
      </w:r>
    </w:p>
    <w:p>
      <w:pPr>
        <w:spacing w:after="0" w:line="198" w:lineRule="exact"/>
        <w:rPr>
          <w:sz w:val="20"/>
          <w:szCs w:val="20"/>
          <w:color w:val="auto"/>
        </w:rPr>
      </w:pPr>
    </w:p>
    <w:p>
      <w:pPr>
        <w:ind w:right="60" w:firstLine="619"/>
        <w:spacing w:after="0" w:line="244" w:lineRule="auto"/>
        <w:rPr>
          <w:sz w:val="20"/>
          <w:szCs w:val="20"/>
          <w:color w:val="auto"/>
        </w:rPr>
      </w:pPr>
      <w:r>
        <w:rPr>
          <w:rFonts w:ascii="Times New Roman" w:cs="Times New Roman" w:eastAsia="Times New Roman" w:hAnsi="Times New Roman"/>
          <w:sz w:val="21"/>
          <w:szCs w:val="21"/>
          <w:color w:val="231F20"/>
        </w:rPr>
        <w:t>Unitil Corp. (the holding company), and Unitil Resources are included in the “Other” category (ASC 280-10-50-15). The holding company has no operating income of its own. The earnings of the holding company are principally derived from income earned on short-term investments. Unitil Resources is the Company’s wholly-owned non-regulated subsidiary and currently does not have any activity. Unitil Service provides centralized management and administrative services, including information systems management and financial record keeping to support the affiliated Unitil companies. Unitil Realty owns certain real estate, principally the Company’s corporate headquarters in Hampton, New Hampshire and land in Kingston, New Hampshire on which Unitil Energy’s solar facility is located, which became operational in May 2025. Unitil Service’s and Unitil Realty’s costs are allocated to the Electric and Gas segments based on cost allocation factors. Unitil Water does not have any activity.</w:t>
      </w:r>
    </w:p>
    <w:p>
      <w:pPr>
        <w:spacing w:after="0" w:line="204" w:lineRule="exact"/>
        <w:rPr>
          <w:sz w:val="20"/>
          <w:szCs w:val="20"/>
          <w:color w:val="auto"/>
        </w:rPr>
      </w:pPr>
    </w:p>
    <w:p>
      <w:pPr>
        <w:ind w:firstLine="612"/>
        <w:spacing w:after="0" w:line="247" w:lineRule="auto"/>
        <w:rPr>
          <w:sz w:val="20"/>
          <w:szCs w:val="20"/>
          <w:color w:val="auto"/>
        </w:rPr>
      </w:pPr>
      <w:r>
        <w:rPr>
          <w:rFonts w:ascii="Times New Roman" w:cs="Times New Roman" w:eastAsia="Times New Roman" w:hAnsi="Times New Roman"/>
          <w:sz w:val="21"/>
          <w:szCs w:val="21"/>
          <w:color w:val="231F20"/>
        </w:rPr>
        <w:t>The segments follow the same accounting policies as described in the Summary of Significant Accounting Policies. Intrasegment sales take place at cost and the effects of all intrasegment and/or intercompany transactions are eliminated in the consolidated financial statements. Segment profit or loss is based on Net Income Applicable to Common Shares. Expenses used to determine operating income before taxes are charged directly to each segment or are allocated based on cost allocation factors included in rate applications approved by the FERC, NHPUC, MDPU, and MPUC. Assets allocated to each segment are based upon specific identification of such assets provided by Company records.</w:t>
      </w:r>
    </w:p>
    <w:p>
      <w:pPr>
        <w:spacing w:after="0" w:line="188" w:lineRule="exact"/>
        <w:rPr>
          <w:sz w:val="20"/>
          <w:szCs w:val="20"/>
          <w:color w:val="auto"/>
        </w:rPr>
      </w:pPr>
    </w:p>
    <w:p>
      <w:pPr>
        <w:ind w:right="20" w:firstLine="720"/>
        <w:spacing w:after="0" w:line="279" w:lineRule="auto"/>
        <w:rPr>
          <w:sz w:val="20"/>
          <w:szCs w:val="20"/>
          <w:color w:val="auto"/>
        </w:rPr>
      </w:pPr>
      <w:r>
        <w:rPr>
          <w:rFonts w:ascii="Times New Roman" w:cs="Times New Roman" w:eastAsia="Times New Roman" w:hAnsi="Times New Roman"/>
          <w:sz w:val="21"/>
          <w:szCs w:val="21"/>
          <w:color w:val="231F20"/>
        </w:rPr>
        <w:t>The following tables provide significant segment financial data for the years ended December 31, 2025, 2024 and 2023 (millions):</w:t>
      </w:r>
    </w:p>
    <w:p>
      <w:pPr>
        <w:spacing w:after="0" w:line="213"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21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231F20"/>
                <w:w w:val="98"/>
              </w:rPr>
              <w:t>Total</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1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9"/>
              </w:rPr>
              <w:t>Reportable</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16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w w:val="99"/>
              </w:rPr>
              <w:t>Year Ended December 31, 2025</w:t>
            </w:r>
          </w:p>
        </w:tc>
        <w:tc>
          <w:tcPr>
            <w:tcW w:w="2180" w:type="dxa"/>
            <w:vAlign w:val="bottom"/>
            <w:tcBorders>
              <w:bottom w:val="single" w:sz="8" w:color="E6E7E8"/>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760" w:type="dxa"/>
            <w:vAlign w:val="bottom"/>
            <w:tcBorders>
              <w:bottom w:val="single" w:sz="8" w:color="231F20"/>
            </w:tcBorders>
          </w:tcPr>
          <w:p>
            <w:pPr>
              <w:jc w:val="right"/>
              <w:ind w:right="86"/>
              <w:spacing w:after="0"/>
              <w:rPr>
                <w:sz w:val="20"/>
                <w:szCs w:val="20"/>
                <w:color w:val="auto"/>
              </w:rPr>
            </w:pPr>
            <w:r>
              <w:rPr>
                <w:rFonts w:ascii="Times New Roman" w:cs="Times New Roman" w:eastAsia="Times New Roman" w:hAnsi="Times New Roman"/>
                <w:sz w:val="16"/>
                <w:szCs w:val="16"/>
                <w:b w:val="1"/>
                <w:bCs w:val="1"/>
                <w:color w:val="231F20"/>
              </w:rPr>
              <w:t>Electric</w:t>
            </w:r>
          </w:p>
        </w:tc>
        <w:tc>
          <w:tcPr>
            <w:tcW w:w="200" w:type="dxa"/>
            <w:vAlign w:val="bottom"/>
            <w:tcBorders>
              <w:bottom w:val="single" w:sz="8" w:color="E6E7E8"/>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700" w:type="dxa"/>
            <w:vAlign w:val="bottom"/>
            <w:tcBorders>
              <w:bottom w:val="single" w:sz="8" w:color="231F20"/>
            </w:tcBorders>
          </w:tcPr>
          <w:p>
            <w:pPr>
              <w:jc w:val="right"/>
              <w:ind w:right="226"/>
              <w:spacing w:after="0"/>
              <w:rPr>
                <w:sz w:val="20"/>
                <w:szCs w:val="20"/>
                <w:color w:val="auto"/>
              </w:rPr>
            </w:pPr>
            <w:r>
              <w:rPr>
                <w:rFonts w:ascii="Times New Roman" w:cs="Times New Roman" w:eastAsia="Times New Roman" w:hAnsi="Times New Roman"/>
                <w:sz w:val="16"/>
                <w:szCs w:val="16"/>
                <w:b w:val="1"/>
                <w:bCs w:val="1"/>
                <w:color w:val="231F20"/>
              </w:rPr>
              <w:t>Gas</w:t>
            </w:r>
          </w:p>
        </w:tc>
        <w:tc>
          <w:tcPr>
            <w:tcW w:w="180" w:type="dxa"/>
            <w:vAlign w:val="bottom"/>
            <w:tcBorders>
              <w:bottom w:val="single" w:sz="8" w:color="E6E7E8"/>
            </w:tcBorders>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820" w:type="dxa"/>
            <w:vAlign w:val="bottom"/>
            <w:tcBorders>
              <w:bottom w:val="single" w:sz="8" w:color="231F20"/>
            </w:tcBorders>
          </w:tcPr>
          <w:p>
            <w:pPr>
              <w:jc w:val="center"/>
              <w:ind w:right="27"/>
              <w:spacing w:after="0"/>
              <w:rPr>
                <w:sz w:val="20"/>
                <w:szCs w:val="20"/>
                <w:color w:val="auto"/>
              </w:rPr>
            </w:pPr>
            <w:r>
              <w:rPr>
                <w:rFonts w:ascii="Times New Roman" w:cs="Times New Roman" w:eastAsia="Times New Roman" w:hAnsi="Times New Roman"/>
                <w:sz w:val="16"/>
                <w:szCs w:val="16"/>
                <w:b w:val="1"/>
                <w:bCs w:val="1"/>
                <w:color w:val="231F20"/>
              </w:rPr>
              <w:t>Segments</w:t>
            </w:r>
          </w:p>
        </w:tc>
        <w:tc>
          <w:tcPr>
            <w:tcW w:w="200" w:type="dxa"/>
            <w:vAlign w:val="bottom"/>
            <w:tcBorders>
              <w:bottom w:val="single" w:sz="8" w:color="E6E7E8"/>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tcPr>
          <w:p>
            <w:pPr>
              <w:jc w:val="right"/>
              <w:ind w:right="166"/>
              <w:spacing w:after="0"/>
              <w:rPr>
                <w:sz w:val="20"/>
                <w:szCs w:val="20"/>
                <w:color w:val="auto"/>
              </w:rPr>
            </w:pPr>
            <w:r>
              <w:rPr>
                <w:rFonts w:ascii="Times New Roman" w:cs="Times New Roman" w:eastAsia="Times New Roman" w:hAnsi="Times New Roman"/>
                <w:sz w:val="16"/>
                <w:szCs w:val="16"/>
                <w:b w:val="1"/>
                <w:bCs w:val="1"/>
                <w:color w:val="231F20"/>
              </w:rPr>
              <w:t>Other</w:t>
            </w:r>
          </w:p>
        </w:tc>
        <w:tc>
          <w:tcPr>
            <w:tcW w:w="180" w:type="dxa"/>
            <w:vAlign w:val="bottom"/>
            <w:tcBorders>
              <w:bottom w:val="single" w:sz="8" w:color="E6E7E8"/>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720" w:type="dxa"/>
            <w:vAlign w:val="bottom"/>
            <w:tcBorders>
              <w:bottom w:val="single" w:sz="8" w:color="231F20"/>
            </w:tcBorders>
          </w:tcPr>
          <w:p>
            <w:pPr>
              <w:jc w:val="right"/>
              <w:ind w:right="186"/>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80" w:type="dxa"/>
            <w:vAlign w:val="bottom"/>
            <w:tcBorders>
              <w:bottom w:val="single" w:sz="8" w:color="E6E7E8"/>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40" w:type="dxa"/>
            <w:vAlign w:val="bottom"/>
            <w:tcBorders>
              <w:top w:val="single" w:sz="8" w:color="E6E7E8"/>
            </w:tcBorders>
            <w:gridSpan w:val="2"/>
            <w:shd w:val="clear" w:color="auto" w:fill="E6E7E8"/>
          </w:tcPr>
          <w:p>
            <w:pPr>
              <w:spacing w:after="0" w:line="217" w:lineRule="exact"/>
              <w:rPr>
                <w:sz w:val="20"/>
                <w:szCs w:val="20"/>
                <w:color w:val="auto"/>
              </w:rPr>
            </w:pPr>
            <w:r>
              <w:rPr>
                <w:rFonts w:ascii="Times New Roman" w:cs="Times New Roman" w:eastAsia="Times New Roman" w:hAnsi="Times New Roman"/>
                <w:sz w:val="19"/>
                <w:szCs w:val="19"/>
                <w:color w:val="231F20"/>
              </w:rPr>
              <w:t>Total Operating Revenues</w:t>
            </w:r>
          </w:p>
        </w:tc>
        <w:tc>
          <w:tcPr>
            <w:tcW w:w="140" w:type="dxa"/>
            <w:vAlign w:val="bottom"/>
            <w:tcBorders>
              <w:top w:val="single" w:sz="8" w:color="231F20"/>
            </w:tcBorders>
            <w:shd w:val="clear" w:color="auto" w:fill="E6E7E8"/>
          </w:tcPr>
          <w:p>
            <w:pPr>
              <w:jc w:val="right"/>
              <w:spacing w:after="0" w:line="217" w:lineRule="exact"/>
              <w:rPr>
                <w:sz w:val="20"/>
                <w:szCs w:val="20"/>
                <w:color w:val="auto"/>
              </w:rPr>
            </w:pPr>
            <w:r>
              <w:rPr>
                <w:rFonts w:ascii="Times New Roman" w:cs="Times New Roman" w:eastAsia="Times New Roman" w:hAnsi="Times New Roman"/>
                <w:sz w:val="19"/>
                <w:szCs w:val="19"/>
                <w:b w:val="1"/>
                <w:bCs w:val="1"/>
                <w:color w:val="231F20"/>
                <w:w w:val="83"/>
                <w:shd w:val="clear" w:color="auto" w:fill="E6E7E8"/>
              </w:rPr>
              <w:t>$</w:t>
            </w:r>
          </w:p>
        </w:tc>
        <w:tc>
          <w:tcPr>
            <w:tcW w:w="760" w:type="dxa"/>
            <w:vAlign w:val="bottom"/>
            <w:tcBorders>
              <w:top w:val="single" w:sz="8" w:color="231F20"/>
            </w:tcBorders>
            <w:shd w:val="clear" w:color="auto" w:fill="E6E7E8"/>
          </w:tcPr>
          <w:p>
            <w:pPr>
              <w:jc w:val="right"/>
              <w:spacing w:after="0" w:line="217" w:lineRule="exact"/>
              <w:rPr>
                <w:sz w:val="20"/>
                <w:szCs w:val="20"/>
                <w:color w:val="auto"/>
              </w:rPr>
            </w:pPr>
            <w:r>
              <w:rPr>
                <w:rFonts w:ascii="Times New Roman" w:cs="Times New Roman" w:eastAsia="Times New Roman" w:hAnsi="Times New Roman"/>
                <w:sz w:val="19"/>
                <w:szCs w:val="19"/>
                <w:b w:val="1"/>
                <w:bCs w:val="1"/>
                <w:color w:val="231F20"/>
                <w:shd w:val="clear" w:color="auto" w:fill="E6E7E8"/>
              </w:rPr>
              <w:t>236.4</w:t>
            </w:r>
          </w:p>
        </w:tc>
        <w:tc>
          <w:tcPr>
            <w:tcW w:w="200" w:type="dxa"/>
            <w:vAlign w:val="bottom"/>
            <w:tcBorders>
              <w:top w:val="single" w:sz="8" w:color="E6E7E8"/>
              <w:right w:val="single" w:sz="8" w:color="E6E7E8"/>
            </w:tcBorders>
            <w:shd w:val="clear" w:color="auto" w:fill="E6E7E8"/>
          </w:tcPr>
          <w:p>
            <w:pPr>
              <w:spacing w:after="0"/>
              <w:rPr>
                <w:sz w:val="18"/>
                <w:szCs w:val="18"/>
                <w:color w:val="auto"/>
              </w:rPr>
            </w:pPr>
          </w:p>
        </w:tc>
        <w:tc>
          <w:tcPr>
            <w:tcW w:w="200" w:type="dxa"/>
            <w:vAlign w:val="bottom"/>
            <w:tcBorders>
              <w:top w:val="single" w:sz="8" w:color="231F20"/>
            </w:tcBorders>
            <w:shd w:val="clear" w:color="auto" w:fill="E6E7E8"/>
          </w:tcPr>
          <w:p>
            <w:pPr>
              <w:jc w:val="right"/>
              <w:ind w:right="5"/>
              <w:spacing w:after="0" w:line="217" w:lineRule="exact"/>
              <w:rPr>
                <w:sz w:val="20"/>
                <w:szCs w:val="20"/>
                <w:color w:val="auto"/>
              </w:rPr>
            </w:pPr>
            <w:r>
              <w:rPr>
                <w:rFonts w:ascii="Times New Roman" w:cs="Times New Roman" w:eastAsia="Times New Roman" w:hAnsi="Times New Roman"/>
                <w:sz w:val="19"/>
                <w:szCs w:val="19"/>
                <w:b w:val="1"/>
                <w:bCs w:val="1"/>
                <w:color w:val="231F20"/>
                <w:w w:val="83"/>
                <w:shd w:val="clear" w:color="auto" w:fill="E6E7E8"/>
              </w:rPr>
              <w:t>$</w:t>
            </w:r>
          </w:p>
        </w:tc>
        <w:tc>
          <w:tcPr>
            <w:tcW w:w="700" w:type="dxa"/>
            <w:vAlign w:val="bottom"/>
            <w:tcBorders>
              <w:top w:val="single" w:sz="8" w:color="231F20"/>
            </w:tcBorders>
            <w:shd w:val="clear" w:color="auto" w:fill="E6E7E8"/>
          </w:tcPr>
          <w:p>
            <w:pPr>
              <w:jc w:val="right"/>
              <w:spacing w:after="0" w:line="217" w:lineRule="exact"/>
              <w:rPr>
                <w:sz w:val="20"/>
                <w:szCs w:val="20"/>
                <w:color w:val="auto"/>
              </w:rPr>
            </w:pPr>
            <w:r>
              <w:rPr>
                <w:rFonts w:ascii="Times New Roman" w:cs="Times New Roman" w:eastAsia="Times New Roman" w:hAnsi="Times New Roman"/>
                <w:sz w:val="19"/>
                <w:szCs w:val="19"/>
                <w:b w:val="1"/>
                <w:bCs w:val="1"/>
                <w:color w:val="231F20"/>
                <w:shd w:val="clear" w:color="auto" w:fill="E6E7E8"/>
              </w:rPr>
              <w:t>299.6</w:t>
            </w:r>
          </w:p>
        </w:tc>
        <w:tc>
          <w:tcPr>
            <w:tcW w:w="180" w:type="dxa"/>
            <w:vAlign w:val="bottom"/>
            <w:tcBorders>
              <w:top w:val="single" w:sz="8" w:color="E6E7E8"/>
            </w:tcBorders>
            <w:shd w:val="clear" w:color="auto" w:fill="E6E7E8"/>
          </w:tcPr>
          <w:p>
            <w:pPr>
              <w:spacing w:after="0"/>
              <w:rPr>
                <w:sz w:val="18"/>
                <w:szCs w:val="18"/>
                <w:color w:val="auto"/>
              </w:rPr>
            </w:pPr>
          </w:p>
        </w:tc>
        <w:tc>
          <w:tcPr>
            <w:tcW w:w="120" w:type="dxa"/>
            <w:vAlign w:val="bottom"/>
            <w:tcBorders>
              <w:top w:val="single" w:sz="8" w:color="231F20"/>
            </w:tcBorders>
            <w:shd w:val="clear" w:color="auto" w:fill="E6E7E8"/>
          </w:tcPr>
          <w:p>
            <w:pPr>
              <w:jc w:val="right"/>
              <w:spacing w:after="0" w:line="217" w:lineRule="exact"/>
              <w:rPr>
                <w:sz w:val="20"/>
                <w:szCs w:val="20"/>
                <w:color w:val="auto"/>
              </w:rPr>
            </w:pPr>
            <w:r>
              <w:rPr>
                <w:rFonts w:ascii="Times New Roman" w:cs="Times New Roman" w:eastAsia="Times New Roman" w:hAnsi="Times New Roman"/>
                <w:sz w:val="19"/>
                <w:szCs w:val="19"/>
                <w:b w:val="1"/>
                <w:bCs w:val="1"/>
                <w:color w:val="231F20"/>
                <w:w w:val="83"/>
              </w:rPr>
              <w:t>$</w:t>
            </w:r>
          </w:p>
        </w:tc>
        <w:tc>
          <w:tcPr>
            <w:tcW w:w="820" w:type="dxa"/>
            <w:vAlign w:val="bottom"/>
            <w:tcBorders>
              <w:top w:val="single" w:sz="8" w:color="231F20"/>
            </w:tcBorders>
            <w:shd w:val="clear" w:color="auto" w:fill="E6E7E8"/>
          </w:tcPr>
          <w:p>
            <w:pPr>
              <w:jc w:val="right"/>
              <w:spacing w:after="0" w:line="217" w:lineRule="exact"/>
              <w:rPr>
                <w:sz w:val="20"/>
                <w:szCs w:val="20"/>
                <w:color w:val="auto"/>
              </w:rPr>
            </w:pPr>
            <w:r>
              <w:rPr>
                <w:rFonts w:ascii="Times New Roman" w:cs="Times New Roman" w:eastAsia="Times New Roman" w:hAnsi="Times New Roman"/>
                <w:sz w:val="19"/>
                <w:szCs w:val="19"/>
                <w:b w:val="1"/>
                <w:bCs w:val="1"/>
                <w:color w:val="231F20"/>
              </w:rPr>
              <w:t>536.0</w:t>
            </w:r>
          </w:p>
        </w:tc>
        <w:tc>
          <w:tcPr>
            <w:tcW w:w="200" w:type="dxa"/>
            <w:vAlign w:val="bottom"/>
            <w:tcBorders>
              <w:top w:val="single" w:sz="8" w:color="E6E7E8"/>
            </w:tcBorders>
            <w:shd w:val="clear" w:color="auto" w:fill="E6E7E8"/>
          </w:tcPr>
          <w:p>
            <w:pPr>
              <w:spacing w:after="0"/>
              <w:rPr>
                <w:sz w:val="18"/>
                <w:szCs w:val="18"/>
                <w:color w:val="auto"/>
              </w:rPr>
            </w:pPr>
          </w:p>
        </w:tc>
        <w:tc>
          <w:tcPr>
            <w:tcW w:w="16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740" w:type="dxa"/>
            <w:vAlign w:val="bottom"/>
            <w:tcBorders>
              <w:top w:val="single" w:sz="8" w:color="231F20"/>
            </w:tcBorders>
            <w:shd w:val="clear" w:color="auto" w:fill="E6E7E8"/>
          </w:tcPr>
          <w:p>
            <w:pPr>
              <w:jc w:val="right"/>
              <w:spacing w:after="0" w:line="217" w:lineRule="exact"/>
              <w:rPr>
                <w:sz w:val="20"/>
                <w:szCs w:val="20"/>
                <w:color w:val="auto"/>
              </w:rPr>
            </w:pPr>
            <w:r>
              <w:rPr>
                <w:rFonts w:ascii="Times New Roman" w:cs="Times New Roman" w:eastAsia="Times New Roman" w:hAnsi="Times New Roman"/>
                <w:sz w:val="19"/>
                <w:szCs w:val="19"/>
                <w:b w:val="1"/>
                <w:bCs w:val="1"/>
                <w:color w:val="231F20"/>
              </w:rPr>
              <w:t>—</w:t>
            </w:r>
          </w:p>
        </w:tc>
        <w:tc>
          <w:tcPr>
            <w:tcW w:w="180" w:type="dxa"/>
            <w:vAlign w:val="bottom"/>
            <w:tcBorders>
              <w:top w:val="single" w:sz="8" w:color="E6E7E8"/>
            </w:tcBorders>
            <w:shd w:val="clear" w:color="auto" w:fill="E6E7E8"/>
          </w:tcPr>
          <w:p>
            <w:pPr>
              <w:spacing w:after="0"/>
              <w:rPr>
                <w:sz w:val="18"/>
                <w:szCs w:val="18"/>
                <w:color w:val="auto"/>
              </w:rPr>
            </w:pPr>
          </w:p>
        </w:tc>
        <w:tc>
          <w:tcPr>
            <w:tcW w:w="180" w:type="dxa"/>
            <w:vAlign w:val="bottom"/>
            <w:tcBorders>
              <w:top w:val="single" w:sz="8" w:color="231F20"/>
            </w:tcBorders>
            <w:shd w:val="clear" w:color="auto" w:fill="E6E7E8"/>
          </w:tcPr>
          <w:p>
            <w:pPr>
              <w:jc w:val="right"/>
              <w:spacing w:after="0" w:line="217" w:lineRule="exact"/>
              <w:rPr>
                <w:sz w:val="20"/>
                <w:szCs w:val="20"/>
                <w:color w:val="auto"/>
              </w:rPr>
            </w:pPr>
            <w:r>
              <w:rPr>
                <w:rFonts w:ascii="Times New Roman" w:cs="Times New Roman" w:eastAsia="Times New Roman" w:hAnsi="Times New Roman"/>
                <w:sz w:val="19"/>
                <w:szCs w:val="19"/>
                <w:b w:val="1"/>
                <w:bCs w:val="1"/>
                <w:color w:val="231F20"/>
                <w:w w:val="83"/>
                <w:shd w:val="clear" w:color="auto" w:fill="E6E7E8"/>
              </w:rPr>
              <w:t>$</w:t>
            </w:r>
          </w:p>
        </w:tc>
        <w:tc>
          <w:tcPr>
            <w:tcW w:w="720" w:type="dxa"/>
            <w:vAlign w:val="bottom"/>
            <w:tcBorders>
              <w:top w:val="single" w:sz="8" w:color="231F20"/>
            </w:tcBorders>
            <w:shd w:val="clear" w:color="auto" w:fill="E6E7E8"/>
          </w:tcPr>
          <w:p>
            <w:pPr>
              <w:jc w:val="right"/>
              <w:spacing w:after="0" w:line="217" w:lineRule="exact"/>
              <w:rPr>
                <w:sz w:val="20"/>
                <w:szCs w:val="20"/>
                <w:color w:val="auto"/>
              </w:rPr>
            </w:pPr>
            <w:r>
              <w:rPr>
                <w:rFonts w:ascii="Times New Roman" w:cs="Times New Roman" w:eastAsia="Times New Roman" w:hAnsi="Times New Roman"/>
                <w:sz w:val="19"/>
                <w:szCs w:val="19"/>
                <w:b w:val="1"/>
                <w:bCs w:val="1"/>
                <w:color w:val="231F20"/>
                <w:shd w:val="clear" w:color="auto" w:fill="E6E7E8"/>
              </w:rPr>
              <w:t>536.0</w:t>
            </w:r>
          </w:p>
        </w:tc>
        <w:tc>
          <w:tcPr>
            <w:tcW w:w="80" w:type="dxa"/>
            <w:vAlign w:val="bottom"/>
            <w:tcBorders>
              <w:top w:val="single" w:sz="8" w:color="E6E7E8"/>
            </w:tcBorders>
            <w:shd w:val="clear" w:color="auto" w:fill="E6E7E8"/>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34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Energy Supply Costs</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121.8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100.5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222.3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222.3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34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19"/>
                <w:szCs w:val="19"/>
                <w:color w:val="231F20"/>
              </w:rPr>
              <w:t>Operation and Maintenance</w:t>
            </w:r>
          </w:p>
        </w:tc>
        <w:tc>
          <w:tcPr>
            <w:tcW w:w="140" w:type="dxa"/>
            <w:vAlign w:val="bottom"/>
            <w:shd w:val="clear" w:color="auto" w:fill="E6E7E8"/>
          </w:tcPr>
          <w:p>
            <w:pPr>
              <w:spacing w:after="0"/>
              <w:rPr>
                <w:sz w:val="20"/>
                <w:szCs w:val="20"/>
                <w:color w:val="auto"/>
              </w:rPr>
            </w:pPr>
          </w:p>
        </w:tc>
        <w:tc>
          <w:tcPr>
            <w:tcW w:w="7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38.8</w:t>
            </w:r>
          </w:p>
        </w:tc>
        <w:tc>
          <w:tcPr>
            <w:tcW w:w="200" w:type="dxa"/>
            <w:vAlign w:val="bottom"/>
            <w:tcBorders>
              <w:right w:val="single" w:sz="8" w:color="E6E7E8"/>
            </w:tcBorders>
            <w:shd w:val="clear" w:color="auto" w:fill="E6E7E8"/>
          </w:tcPr>
          <w:p>
            <w:pPr>
              <w:spacing w:after="0"/>
              <w:rPr>
                <w:sz w:val="20"/>
                <w:szCs w:val="20"/>
                <w:color w:val="auto"/>
              </w:rPr>
            </w:pPr>
          </w:p>
        </w:tc>
        <w:tc>
          <w:tcPr>
            <w:tcW w:w="200" w:type="dxa"/>
            <w:vAlign w:val="bottom"/>
            <w:shd w:val="clear" w:color="auto" w:fill="E6E7E8"/>
          </w:tcPr>
          <w:p>
            <w:pPr>
              <w:spacing w:after="0"/>
              <w:rPr>
                <w:sz w:val="20"/>
                <w:szCs w:val="20"/>
                <w:color w:val="auto"/>
              </w:rPr>
            </w:pP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48.9</w:t>
            </w:r>
          </w:p>
        </w:tc>
        <w:tc>
          <w:tcPr>
            <w:tcW w:w="180" w:type="dxa"/>
            <w:vAlign w:val="bottom"/>
            <w:shd w:val="clear" w:color="auto" w:fill="E6E7E8"/>
          </w:tcPr>
          <w:p>
            <w:pPr>
              <w:spacing w:after="0"/>
              <w:rPr>
                <w:sz w:val="20"/>
                <w:szCs w:val="20"/>
                <w:color w:val="auto"/>
              </w:rPr>
            </w:pPr>
          </w:p>
        </w:tc>
        <w:tc>
          <w:tcPr>
            <w:tcW w:w="120" w:type="dxa"/>
            <w:vAlign w:val="bottom"/>
            <w:shd w:val="clear" w:color="auto" w:fill="E6E7E8"/>
          </w:tcPr>
          <w:p>
            <w:pPr>
              <w:spacing w:after="0"/>
              <w:rPr>
                <w:sz w:val="20"/>
                <w:szCs w:val="20"/>
                <w:color w:val="auto"/>
              </w:rPr>
            </w:pPr>
          </w:p>
        </w:tc>
        <w:tc>
          <w:tcPr>
            <w:tcW w:w="8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87.7</w:t>
            </w:r>
          </w:p>
        </w:tc>
        <w:tc>
          <w:tcPr>
            <w:tcW w:w="200" w:type="dxa"/>
            <w:vAlign w:val="bottom"/>
            <w:shd w:val="clear" w:color="auto" w:fill="E6E7E8"/>
          </w:tcPr>
          <w:p>
            <w:pPr>
              <w:spacing w:after="0"/>
              <w:rPr>
                <w:sz w:val="20"/>
                <w:szCs w:val="20"/>
                <w:color w:val="auto"/>
              </w:rPr>
            </w:pPr>
          </w:p>
        </w:tc>
        <w:tc>
          <w:tcPr>
            <w:tcW w:w="160" w:type="dxa"/>
            <w:vAlign w:val="bottom"/>
            <w:shd w:val="clear" w:color="auto" w:fill="E6E7E8"/>
          </w:tcPr>
          <w:p>
            <w:pPr>
              <w:spacing w:after="0"/>
              <w:rPr>
                <w:sz w:val="20"/>
                <w:szCs w:val="20"/>
                <w:color w:val="auto"/>
              </w:rPr>
            </w:pPr>
          </w:p>
        </w:tc>
        <w:tc>
          <w:tcPr>
            <w:tcW w:w="74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4.8</w:t>
            </w:r>
          </w:p>
        </w:tc>
        <w:tc>
          <w:tcPr>
            <w:tcW w:w="18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7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92.5</w:t>
            </w:r>
          </w:p>
        </w:tc>
        <w:tc>
          <w:tcPr>
            <w:tcW w:w="8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34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Depreciation and Amortization Expense</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31.9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56.8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88.7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right"/>
              <w:ind w:right="285"/>
              <w:spacing w:after="0"/>
              <w:rPr>
                <w:sz w:val="20"/>
                <w:szCs w:val="20"/>
                <w:color w:val="auto"/>
              </w:rPr>
            </w:pPr>
            <w:r>
              <w:rPr>
                <w:rFonts w:ascii="Times New Roman" w:cs="Times New Roman" w:eastAsia="Times New Roman" w:hAnsi="Times New Roman"/>
                <w:sz w:val="19"/>
                <w:szCs w:val="19"/>
                <w:b w:val="1"/>
                <w:bCs w:val="1"/>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88.7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34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19"/>
                <w:szCs w:val="19"/>
                <w:color w:val="231F20"/>
              </w:rPr>
              <w:t>Other Segment Expenses (Income)</w:t>
            </w:r>
          </w:p>
        </w:tc>
        <w:tc>
          <w:tcPr>
            <w:tcW w:w="140" w:type="dxa"/>
            <w:vAlign w:val="bottom"/>
            <w:shd w:val="clear" w:color="auto" w:fill="E6E7E8"/>
          </w:tcPr>
          <w:p>
            <w:pPr>
              <w:spacing w:after="0"/>
              <w:rPr>
                <w:sz w:val="20"/>
                <w:szCs w:val="20"/>
                <w:color w:val="auto"/>
              </w:rPr>
            </w:pPr>
          </w:p>
        </w:tc>
        <w:tc>
          <w:tcPr>
            <w:tcW w:w="7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12.6</w:t>
            </w:r>
          </w:p>
        </w:tc>
        <w:tc>
          <w:tcPr>
            <w:tcW w:w="200" w:type="dxa"/>
            <w:vAlign w:val="bottom"/>
            <w:tcBorders>
              <w:right w:val="single" w:sz="8" w:color="E6E7E8"/>
            </w:tcBorders>
            <w:shd w:val="clear" w:color="auto" w:fill="E6E7E8"/>
          </w:tcPr>
          <w:p>
            <w:pPr>
              <w:spacing w:after="0"/>
              <w:rPr>
                <w:sz w:val="20"/>
                <w:szCs w:val="20"/>
                <w:color w:val="auto"/>
              </w:rPr>
            </w:pPr>
          </w:p>
        </w:tc>
        <w:tc>
          <w:tcPr>
            <w:tcW w:w="200" w:type="dxa"/>
            <w:vAlign w:val="bottom"/>
            <w:shd w:val="clear" w:color="auto" w:fill="E6E7E8"/>
          </w:tcPr>
          <w:p>
            <w:pPr>
              <w:spacing w:after="0"/>
              <w:rPr>
                <w:sz w:val="20"/>
                <w:szCs w:val="20"/>
                <w:color w:val="auto"/>
              </w:rPr>
            </w:pP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18.0</w:t>
            </w:r>
          </w:p>
        </w:tc>
        <w:tc>
          <w:tcPr>
            <w:tcW w:w="180" w:type="dxa"/>
            <w:vAlign w:val="bottom"/>
            <w:shd w:val="clear" w:color="auto" w:fill="E6E7E8"/>
          </w:tcPr>
          <w:p>
            <w:pPr>
              <w:spacing w:after="0"/>
              <w:rPr>
                <w:sz w:val="20"/>
                <w:szCs w:val="20"/>
                <w:color w:val="auto"/>
              </w:rPr>
            </w:pPr>
          </w:p>
        </w:tc>
        <w:tc>
          <w:tcPr>
            <w:tcW w:w="120" w:type="dxa"/>
            <w:vAlign w:val="bottom"/>
            <w:shd w:val="clear" w:color="auto" w:fill="E6E7E8"/>
          </w:tcPr>
          <w:p>
            <w:pPr>
              <w:spacing w:after="0"/>
              <w:rPr>
                <w:sz w:val="20"/>
                <w:szCs w:val="20"/>
                <w:color w:val="auto"/>
              </w:rPr>
            </w:pPr>
          </w:p>
        </w:tc>
        <w:tc>
          <w:tcPr>
            <w:tcW w:w="8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30.6</w:t>
            </w:r>
          </w:p>
        </w:tc>
        <w:tc>
          <w:tcPr>
            <w:tcW w:w="200" w:type="dxa"/>
            <w:vAlign w:val="bottom"/>
            <w:shd w:val="clear" w:color="auto" w:fill="E6E7E8"/>
          </w:tcPr>
          <w:p>
            <w:pPr>
              <w:spacing w:after="0"/>
              <w:rPr>
                <w:sz w:val="20"/>
                <w:szCs w:val="20"/>
                <w:color w:val="auto"/>
              </w:rPr>
            </w:pPr>
          </w:p>
        </w:tc>
        <w:tc>
          <w:tcPr>
            <w:tcW w:w="160" w:type="dxa"/>
            <w:vAlign w:val="bottom"/>
            <w:shd w:val="clear" w:color="auto" w:fill="E6E7E8"/>
          </w:tcPr>
          <w:p>
            <w:pPr>
              <w:spacing w:after="0"/>
              <w:rPr>
                <w:sz w:val="20"/>
                <w:szCs w:val="20"/>
                <w:color w:val="auto"/>
              </w:rPr>
            </w:pPr>
          </w:p>
        </w:tc>
        <w:tc>
          <w:tcPr>
            <w:tcW w:w="920" w:type="dxa"/>
            <w:vAlign w:val="bottom"/>
            <w:gridSpan w:val="2"/>
            <w:shd w:val="clear" w:color="auto" w:fill="E6E7E8"/>
          </w:tcPr>
          <w:p>
            <w:pPr>
              <w:jc w:val="right"/>
              <w:ind w:right="120"/>
              <w:spacing w:after="0"/>
              <w:rPr>
                <w:sz w:val="20"/>
                <w:szCs w:val="20"/>
                <w:color w:val="auto"/>
              </w:rPr>
            </w:pPr>
            <w:r>
              <w:rPr>
                <w:rFonts w:ascii="Times New Roman" w:cs="Times New Roman" w:eastAsia="Times New Roman" w:hAnsi="Times New Roman"/>
                <w:sz w:val="19"/>
                <w:szCs w:val="19"/>
                <w:b w:val="1"/>
                <w:bCs w:val="1"/>
                <w:color w:val="231F20"/>
              </w:rPr>
              <w:t>(0.3)</w:t>
            </w:r>
          </w:p>
        </w:tc>
        <w:tc>
          <w:tcPr>
            <w:tcW w:w="180" w:type="dxa"/>
            <w:vAlign w:val="bottom"/>
            <w:shd w:val="clear" w:color="auto" w:fill="E6E7E8"/>
          </w:tcPr>
          <w:p>
            <w:pPr>
              <w:spacing w:after="0"/>
              <w:rPr>
                <w:sz w:val="20"/>
                <w:szCs w:val="20"/>
                <w:color w:val="auto"/>
              </w:rPr>
            </w:pPr>
          </w:p>
        </w:tc>
        <w:tc>
          <w:tcPr>
            <w:tcW w:w="7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30.3</w:t>
            </w:r>
          </w:p>
        </w:tc>
        <w:tc>
          <w:tcPr>
            <w:tcW w:w="8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34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Interest Income</w:t>
            </w: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b w:val="1"/>
                <w:bCs w:val="1"/>
                <w:color w:val="231F20"/>
              </w:rPr>
              <w:t>(3.3)</w:t>
            </w:r>
          </w:p>
        </w:tc>
        <w:tc>
          <w:tcPr>
            <w:tcW w:w="2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b w:val="1"/>
                <w:bCs w:val="1"/>
                <w:color w:val="231F20"/>
              </w:rPr>
              <w:t>(3.8)</w:t>
            </w:r>
          </w:p>
        </w:tc>
        <w:tc>
          <w:tcPr>
            <w:tcW w:w="1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b w:val="1"/>
                <w:bCs w:val="1"/>
                <w:color w:val="231F20"/>
              </w:rPr>
              <w:t>(7.1)</w:t>
            </w:r>
          </w:p>
        </w:tc>
        <w:tc>
          <w:tcPr>
            <w:tcW w:w="160" w:type="dxa"/>
            <w:vAlign w:val="bottom"/>
          </w:tcPr>
          <w:p>
            <w:pPr>
              <w:spacing w:after="0"/>
              <w:rPr>
                <w:sz w:val="20"/>
                <w:szCs w:val="20"/>
                <w:color w:val="auto"/>
              </w:rPr>
            </w:pPr>
          </w:p>
        </w:tc>
        <w:tc>
          <w:tcPr>
            <w:tcW w:w="1100" w:type="dxa"/>
            <w:vAlign w:val="bottom"/>
            <w:gridSpan w:val="3"/>
          </w:tcPr>
          <w:p>
            <w:pPr>
              <w:jc w:val="right"/>
              <w:ind w:right="285"/>
              <w:spacing w:after="0"/>
              <w:rPr>
                <w:sz w:val="20"/>
                <w:szCs w:val="20"/>
                <w:color w:val="auto"/>
              </w:rPr>
            </w:pPr>
            <w:r>
              <w:rPr>
                <w:rFonts w:ascii="Times New Roman" w:cs="Times New Roman" w:eastAsia="Times New Roman" w:hAnsi="Times New Roman"/>
                <w:sz w:val="19"/>
                <w:szCs w:val="19"/>
                <w:b w:val="1"/>
                <w:bCs w:val="1"/>
                <w:color w:val="231F20"/>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b w:val="1"/>
                <w:bCs w:val="1"/>
                <w:color w:val="231F20"/>
              </w:rPr>
              <w:t>(7.1)</w:t>
            </w:r>
          </w:p>
        </w:tc>
        <w:tc>
          <w:tcPr>
            <w:tcW w:w="0" w:type="dxa"/>
            <w:vAlign w:val="bottom"/>
          </w:tcPr>
          <w:p>
            <w:pPr>
              <w:spacing w:after="0"/>
              <w:rPr>
                <w:sz w:val="1"/>
                <w:szCs w:val="1"/>
                <w:color w:val="auto"/>
              </w:rPr>
            </w:pPr>
          </w:p>
        </w:tc>
      </w:tr>
      <w:tr>
        <w:trPr>
          <w:trHeight w:val="233"/>
        </w:trPr>
        <w:tc>
          <w:tcPr>
            <w:tcW w:w="434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19"/>
                <w:szCs w:val="19"/>
                <w:color w:val="231F20"/>
              </w:rPr>
              <w:t>Interest Expense</w:t>
            </w:r>
          </w:p>
        </w:tc>
        <w:tc>
          <w:tcPr>
            <w:tcW w:w="140" w:type="dxa"/>
            <w:vAlign w:val="bottom"/>
            <w:shd w:val="clear" w:color="auto" w:fill="E6E7E8"/>
          </w:tcPr>
          <w:p>
            <w:pPr>
              <w:spacing w:after="0"/>
              <w:rPr>
                <w:sz w:val="20"/>
                <w:szCs w:val="20"/>
                <w:color w:val="auto"/>
              </w:rPr>
            </w:pPr>
          </w:p>
        </w:tc>
        <w:tc>
          <w:tcPr>
            <w:tcW w:w="7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15.0</w:t>
            </w:r>
          </w:p>
        </w:tc>
        <w:tc>
          <w:tcPr>
            <w:tcW w:w="200" w:type="dxa"/>
            <w:vAlign w:val="bottom"/>
            <w:tcBorders>
              <w:right w:val="single" w:sz="8" w:color="E6E7E8"/>
            </w:tcBorders>
            <w:shd w:val="clear" w:color="auto" w:fill="E6E7E8"/>
          </w:tcPr>
          <w:p>
            <w:pPr>
              <w:spacing w:after="0"/>
              <w:rPr>
                <w:sz w:val="20"/>
                <w:szCs w:val="20"/>
                <w:color w:val="auto"/>
              </w:rPr>
            </w:pPr>
          </w:p>
        </w:tc>
        <w:tc>
          <w:tcPr>
            <w:tcW w:w="200" w:type="dxa"/>
            <w:vAlign w:val="bottom"/>
            <w:shd w:val="clear" w:color="auto" w:fill="E6E7E8"/>
          </w:tcPr>
          <w:p>
            <w:pPr>
              <w:spacing w:after="0"/>
              <w:rPr>
                <w:sz w:val="20"/>
                <w:szCs w:val="20"/>
                <w:color w:val="auto"/>
              </w:rPr>
            </w:pP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25.1</w:t>
            </w:r>
          </w:p>
        </w:tc>
        <w:tc>
          <w:tcPr>
            <w:tcW w:w="180" w:type="dxa"/>
            <w:vAlign w:val="bottom"/>
            <w:shd w:val="clear" w:color="auto" w:fill="E6E7E8"/>
          </w:tcPr>
          <w:p>
            <w:pPr>
              <w:spacing w:after="0"/>
              <w:rPr>
                <w:sz w:val="20"/>
                <w:szCs w:val="20"/>
                <w:color w:val="auto"/>
              </w:rPr>
            </w:pPr>
          </w:p>
        </w:tc>
        <w:tc>
          <w:tcPr>
            <w:tcW w:w="120" w:type="dxa"/>
            <w:vAlign w:val="bottom"/>
            <w:shd w:val="clear" w:color="auto" w:fill="E6E7E8"/>
          </w:tcPr>
          <w:p>
            <w:pPr>
              <w:spacing w:after="0"/>
              <w:rPr>
                <w:sz w:val="20"/>
                <w:szCs w:val="20"/>
                <w:color w:val="auto"/>
              </w:rPr>
            </w:pPr>
          </w:p>
        </w:tc>
        <w:tc>
          <w:tcPr>
            <w:tcW w:w="8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40.1</w:t>
            </w:r>
          </w:p>
        </w:tc>
        <w:tc>
          <w:tcPr>
            <w:tcW w:w="200" w:type="dxa"/>
            <w:vAlign w:val="bottom"/>
            <w:shd w:val="clear" w:color="auto" w:fill="E6E7E8"/>
          </w:tcPr>
          <w:p>
            <w:pPr>
              <w:spacing w:after="0"/>
              <w:rPr>
                <w:sz w:val="20"/>
                <w:szCs w:val="20"/>
                <w:color w:val="auto"/>
              </w:rPr>
            </w:pPr>
          </w:p>
        </w:tc>
        <w:tc>
          <w:tcPr>
            <w:tcW w:w="160" w:type="dxa"/>
            <w:vAlign w:val="bottom"/>
            <w:shd w:val="clear" w:color="auto" w:fill="E6E7E8"/>
          </w:tcPr>
          <w:p>
            <w:pPr>
              <w:spacing w:after="0"/>
              <w:rPr>
                <w:sz w:val="20"/>
                <w:szCs w:val="20"/>
                <w:color w:val="auto"/>
              </w:rPr>
            </w:pPr>
          </w:p>
        </w:tc>
        <w:tc>
          <w:tcPr>
            <w:tcW w:w="74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3.7</w:t>
            </w:r>
          </w:p>
        </w:tc>
        <w:tc>
          <w:tcPr>
            <w:tcW w:w="18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7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43.8</w:t>
            </w:r>
          </w:p>
        </w:tc>
        <w:tc>
          <w:tcPr>
            <w:tcW w:w="8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34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Provision for Income Taxes</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3.8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14.0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17.8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b w:val="1"/>
                <w:bCs w:val="1"/>
                <w:color w:val="231F20"/>
              </w:rPr>
              <w:t>(2.5)</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15.3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shd w:val="clear" w:color="auto" w:fill="E6E7E8"/>
          </w:tcPr>
          <w:p>
            <w:pPr>
              <w:spacing w:after="0"/>
              <w:rPr>
                <w:sz w:val="20"/>
                <w:szCs w:val="20"/>
                <w:color w:val="auto"/>
              </w:rPr>
            </w:pPr>
            <w:r>
              <w:rPr>
                <w:rFonts w:ascii="Times New Roman" w:cs="Times New Roman" w:eastAsia="Times New Roman" w:hAnsi="Times New Roman"/>
                <w:sz w:val="19"/>
                <w:szCs w:val="19"/>
                <w:color w:val="231F20"/>
              </w:rPr>
              <w:t>Net Income Attributable to Commons Shares</w:t>
            </w:r>
          </w:p>
        </w:tc>
        <w:tc>
          <w:tcPr>
            <w:tcW w:w="140" w:type="dxa"/>
            <w:vAlign w:val="bottom"/>
            <w:shd w:val="clear" w:color="auto" w:fill="231F20"/>
          </w:tcPr>
          <w:p>
            <w:pPr>
              <w:spacing w:after="0" w:line="20" w:lineRule="exact"/>
              <w:rPr>
                <w:sz w:val="1"/>
                <w:szCs w:val="1"/>
                <w:color w:val="auto"/>
              </w:rPr>
            </w:pPr>
          </w:p>
        </w:tc>
        <w:tc>
          <w:tcPr>
            <w:tcW w:w="760" w:type="dxa"/>
            <w:vAlign w:val="bottom"/>
            <w:shd w:val="clear" w:color="auto" w:fill="231F20"/>
          </w:tcPr>
          <w:p>
            <w:pPr>
              <w:spacing w:after="0" w:line="20" w:lineRule="exact"/>
              <w:rPr>
                <w:sz w:val="1"/>
                <w:szCs w:val="1"/>
                <w:color w:val="auto"/>
              </w:rPr>
            </w:pPr>
          </w:p>
        </w:tc>
        <w:tc>
          <w:tcPr>
            <w:tcW w:w="200" w:type="dxa"/>
            <w:vAlign w:val="bottom"/>
            <w:tcBorders>
              <w:right w:val="single" w:sz="8" w:color="E6E7E8"/>
            </w:tcBorders>
            <w:shd w:val="clear" w:color="auto" w:fill="E6E7E8"/>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700" w:type="dxa"/>
            <w:vAlign w:val="bottom"/>
            <w:shd w:val="clear" w:color="auto" w:fill="231F20"/>
          </w:tcPr>
          <w:p>
            <w:pPr>
              <w:spacing w:after="0" w:line="20" w:lineRule="exact"/>
              <w:rPr>
                <w:sz w:val="1"/>
                <w:szCs w:val="1"/>
                <w:color w:val="auto"/>
              </w:rPr>
            </w:pPr>
          </w:p>
        </w:tc>
        <w:tc>
          <w:tcPr>
            <w:tcW w:w="180" w:type="dxa"/>
            <w:vAlign w:val="bottom"/>
            <w:shd w:val="clear" w:color="auto" w:fill="E6E7E8"/>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820" w:type="dxa"/>
            <w:vAlign w:val="bottom"/>
            <w:shd w:val="clear" w:color="auto" w:fill="231F20"/>
          </w:tcPr>
          <w:p>
            <w:pPr>
              <w:spacing w:after="0" w:line="20" w:lineRule="exact"/>
              <w:rPr>
                <w:sz w:val="1"/>
                <w:szCs w:val="1"/>
                <w:color w:val="auto"/>
              </w:rPr>
            </w:pPr>
          </w:p>
        </w:tc>
        <w:tc>
          <w:tcPr>
            <w:tcW w:w="200" w:type="dxa"/>
            <w:vAlign w:val="bottom"/>
            <w:shd w:val="clear" w:color="auto" w:fill="E6E7E8"/>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740" w:type="dxa"/>
            <w:vAlign w:val="bottom"/>
            <w:shd w:val="clear" w:color="auto" w:fill="231F2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720" w:type="dxa"/>
            <w:vAlign w:val="bottom"/>
            <w:shd w:val="clear" w:color="auto" w:fill="231F20"/>
          </w:tcPr>
          <w:p>
            <w:pPr>
              <w:spacing w:after="0" w:line="20" w:lineRule="exact"/>
              <w:rPr>
                <w:sz w:val="1"/>
                <w:szCs w:val="1"/>
                <w:color w:val="auto"/>
              </w:rPr>
            </w:pPr>
          </w:p>
        </w:tc>
        <w:tc>
          <w:tcPr>
            <w:tcW w:w="80" w:type="dxa"/>
            <w:vAlign w:val="bottom"/>
            <w:shd w:val="clear" w:color="auto" w:fill="E6E7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340" w:type="dxa"/>
            <w:vAlign w:val="bottom"/>
            <w:gridSpan w:val="2"/>
            <w:vMerge w:val="continue"/>
            <w:shd w:val="clear" w:color="auto" w:fill="E6E7E8"/>
          </w:tcPr>
          <w:p>
            <w:pPr>
              <w:spacing w:after="0"/>
              <w:rPr>
                <w:sz w:val="19"/>
                <w:szCs w:val="19"/>
                <w:color w:val="auto"/>
              </w:rPr>
            </w:pPr>
          </w:p>
        </w:tc>
        <w:tc>
          <w:tcPr>
            <w:tcW w:w="140" w:type="dxa"/>
            <w:vAlign w:val="bottom"/>
            <w:shd w:val="clear" w:color="auto" w:fill="E6E7E8"/>
          </w:tcPr>
          <w:p>
            <w:pPr>
              <w:spacing w:after="0"/>
              <w:rPr>
                <w:sz w:val="19"/>
                <w:szCs w:val="19"/>
                <w:color w:val="auto"/>
              </w:rPr>
            </w:pPr>
          </w:p>
        </w:tc>
        <w:tc>
          <w:tcPr>
            <w:tcW w:w="7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15.8</w:t>
            </w:r>
          </w:p>
        </w:tc>
        <w:tc>
          <w:tcPr>
            <w:tcW w:w="200" w:type="dxa"/>
            <w:vAlign w:val="bottom"/>
            <w:tcBorders>
              <w:right w:val="single" w:sz="8" w:color="E6E7E8"/>
            </w:tcBorders>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40.1</w:t>
            </w:r>
          </w:p>
        </w:tc>
        <w:tc>
          <w:tcPr>
            <w:tcW w:w="18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8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55.9</w:t>
            </w:r>
          </w:p>
        </w:tc>
        <w:tc>
          <w:tcPr>
            <w:tcW w:w="200" w:type="dxa"/>
            <w:vAlign w:val="bottom"/>
            <w:shd w:val="clear" w:color="auto" w:fill="E6E7E8"/>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b w:val="1"/>
                <w:bCs w:val="1"/>
                <w:color w:val="231F20"/>
              </w:rPr>
              <w:t>(5.7)</w:t>
            </w:r>
          </w:p>
        </w:tc>
        <w:tc>
          <w:tcPr>
            <w:tcW w:w="180" w:type="dxa"/>
            <w:vAlign w:val="bottom"/>
            <w:shd w:val="clear" w:color="auto" w:fill="E6E7E8"/>
          </w:tcPr>
          <w:p>
            <w:pPr>
              <w:spacing w:after="0"/>
              <w:rPr>
                <w:sz w:val="19"/>
                <w:szCs w:val="19"/>
                <w:color w:val="auto"/>
              </w:rPr>
            </w:pPr>
          </w:p>
        </w:tc>
        <w:tc>
          <w:tcPr>
            <w:tcW w:w="7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50.2</w:t>
            </w:r>
          </w:p>
        </w:tc>
        <w:tc>
          <w:tcPr>
            <w:tcW w:w="80" w:type="dxa"/>
            <w:vAlign w:val="bottom"/>
            <w:shd w:val="clear" w:color="auto" w:fill="E6E7E8"/>
          </w:tcPr>
          <w:p>
            <w:pPr>
              <w:spacing w:after="0"/>
              <w:rPr>
                <w:sz w:val="19"/>
                <w:szCs w:val="19"/>
                <w:color w:val="auto"/>
              </w:rPr>
            </w:pPr>
          </w:p>
        </w:tc>
        <w:tc>
          <w:tcPr>
            <w:tcW w:w="0" w:type="dxa"/>
            <w:vAlign w:val="bottom"/>
          </w:tcPr>
          <w:p>
            <w:pPr>
              <w:spacing w:after="0"/>
              <w:rPr>
                <w:sz w:val="1"/>
                <w:szCs w:val="1"/>
                <w:color w:val="auto"/>
              </w:rPr>
            </w:pPr>
          </w:p>
        </w:tc>
      </w:tr>
      <w:tr>
        <w:trPr>
          <w:trHeight w:val="465"/>
        </w:trPr>
        <w:tc>
          <w:tcPr>
            <w:tcW w:w="434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Segment Assets</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733.5</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1,367.8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2,101.3</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32.9</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2,134.2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34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19"/>
                <w:szCs w:val="19"/>
                <w:color w:val="231F20"/>
              </w:rPr>
              <w:t>Capital Expenditures</w:t>
            </w:r>
          </w:p>
        </w:tc>
        <w:tc>
          <w:tcPr>
            <w:tcW w:w="140" w:type="dxa"/>
            <w:vAlign w:val="bottom"/>
            <w:shd w:val="clear" w:color="auto" w:fill="E6E7E8"/>
          </w:tcPr>
          <w:p>
            <w:pPr>
              <w:spacing w:after="0"/>
              <w:rPr>
                <w:sz w:val="20"/>
                <w:szCs w:val="20"/>
                <w:color w:val="auto"/>
              </w:rPr>
            </w:pPr>
          </w:p>
        </w:tc>
        <w:tc>
          <w:tcPr>
            <w:tcW w:w="7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73.5</w:t>
            </w:r>
          </w:p>
        </w:tc>
        <w:tc>
          <w:tcPr>
            <w:tcW w:w="200" w:type="dxa"/>
            <w:vAlign w:val="bottom"/>
            <w:tcBorders>
              <w:right w:val="single" w:sz="8" w:color="E6E7E8"/>
            </w:tcBorders>
            <w:shd w:val="clear" w:color="auto" w:fill="E6E7E8"/>
          </w:tcPr>
          <w:p>
            <w:pPr>
              <w:spacing w:after="0"/>
              <w:rPr>
                <w:sz w:val="20"/>
                <w:szCs w:val="20"/>
                <w:color w:val="auto"/>
              </w:rPr>
            </w:pPr>
          </w:p>
        </w:tc>
        <w:tc>
          <w:tcPr>
            <w:tcW w:w="200" w:type="dxa"/>
            <w:vAlign w:val="bottom"/>
            <w:shd w:val="clear" w:color="auto" w:fill="E6E7E8"/>
          </w:tcPr>
          <w:p>
            <w:pPr>
              <w:spacing w:after="0"/>
              <w:rPr>
                <w:sz w:val="20"/>
                <w:szCs w:val="20"/>
                <w:color w:val="auto"/>
              </w:rPr>
            </w:pP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110.0</w:t>
            </w:r>
          </w:p>
        </w:tc>
        <w:tc>
          <w:tcPr>
            <w:tcW w:w="180" w:type="dxa"/>
            <w:vAlign w:val="bottom"/>
            <w:shd w:val="clear" w:color="auto" w:fill="E6E7E8"/>
          </w:tcPr>
          <w:p>
            <w:pPr>
              <w:spacing w:after="0"/>
              <w:rPr>
                <w:sz w:val="20"/>
                <w:szCs w:val="20"/>
                <w:color w:val="auto"/>
              </w:rPr>
            </w:pPr>
          </w:p>
        </w:tc>
        <w:tc>
          <w:tcPr>
            <w:tcW w:w="120" w:type="dxa"/>
            <w:vAlign w:val="bottom"/>
            <w:shd w:val="clear" w:color="auto" w:fill="E6E7E8"/>
          </w:tcPr>
          <w:p>
            <w:pPr>
              <w:spacing w:after="0"/>
              <w:rPr>
                <w:sz w:val="20"/>
                <w:szCs w:val="20"/>
                <w:color w:val="auto"/>
              </w:rPr>
            </w:pPr>
          </w:p>
        </w:tc>
        <w:tc>
          <w:tcPr>
            <w:tcW w:w="8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183.5</w:t>
            </w:r>
          </w:p>
        </w:tc>
        <w:tc>
          <w:tcPr>
            <w:tcW w:w="200" w:type="dxa"/>
            <w:vAlign w:val="bottom"/>
            <w:shd w:val="clear" w:color="auto" w:fill="E6E7E8"/>
          </w:tcPr>
          <w:p>
            <w:pPr>
              <w:spacing w:after="0"/>
              <w:rPr>
                <w:sz w:val="20"/>
                <w:szCs w:val="20"/>
                <w:color w:val="auto"/>
              </w:rPr>
            </w:pPr>
          </w:p>
        </w:tc>
        <w:tc>
          <w:tcPr>
            <w:tcW w:w="160" w:type="dxa"/>
            <w:vAlign w:val="bottom"/>
            <w:shd w:val="clear" w:color="auto" w:fill="E6E7E8"/>
          </w:tcPr>
          <w:p>
            <w:pPr>
              <w:spacing w:after="0"/>
              <w:rPr>
                <w:sz w:val="20"/>
                <w:szCs w:val="20"/>
                <w:color w:val="auto"/>
              </w:rPr>
            </w:pPr>
          </w:p>
        </w:tc>
        <w:tc>
          <w:tcPr>
            <w:tcW w:w="74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1.6</w:t>
            </w:r>
          </w:p>
        </w:tc>
        <w:tc>
          <w:tcPr>
            <w:tcW w:w="18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7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185.1</w:t>
            </w:r>
          </w:p>
        </w:tc>
        <w:tc>
          <w:tcPr>
            <w:tcW w:w="8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5200650</wp:posOffset>
                </wp:positionH>
                <wp:positionV relativeFrom="paragraph">
                  <wp:posOffset>-590550</wp:posOffset>
                </wp:positionV>
                <wp:extent cx="571500" cy="147955"/>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147955"/>
                        </a:xfrm>
                        <a:prstGeom prst="rect">
                          <a:avLst/>
                        </a:prstGeom>
                        <a:solidFill>
                          <a:srgbClr val="E6E7E8"/>
                        </a:solidFill>
                      </wps:spPr>
                      <wps:bodyPr/>
                    </wps:wsp>
                  </a:graphicData>
                </a:graphic>
              </wp:anchor>
            </w:drawing>
          </mc:Choice>
          <mc:Fallback>
            <w:pict>
              <v:rect id="Shape 88" o:spid="_x0000_s1113" style="position:absolute;margin-left:409.5pt;margin-top:-46.4999pt;width:4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w:r>
    </w:p>
    <w:p>
      <w:pPr>
        <w:sectPr>
          <w:pgSz w:w="12240" w:h="15840" w:orient="portrait"/>
          <w:cols w:equalWidth="0" w:num="1">
            <w:col w:w="10760"/>
          </w:cols>
          <w:pgMar w:left="720" w:top="928" w:right="76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55</w:t>
      </w:r>
    </w:p>
    <w:p>
      <w:pPr>
        <w:sectPr>
          <w:pgSz w:w="12240" w:h="15840" w:orient="portrait"/>
          <w:cols w:equalWidth="0" w:num="1">
            <w:col w:w="10760"/>
          </w:cols>
          <w:pgMar w:left="720" w:top="928" w:right="760" w:bottom="188" w:gutter="0" w:footer="0" w:header="0"/>
          <w:type w:val="continuous"/>
        </w:sectPr>
      </w:pPr>
    </w:p>
    <w:bookmarkStart w:id="75" w:name="page76"/>
    <w:bookmarkEnd w:id="75"/>
    <w:tbl>
      <w:tblPr>
        <w:tblLayout w:type="fixed"/>
        <w:tblInd w:w="540" w:type="dxa"/>
        <w:tblCellMar>
          <w:top w:w="0" w:type="dxa"/>
          <w:left w:w="0" w:type="dxa"/>
          <w:bottom w:w="0" w:type="dxa"/>
          <w:right w:w="0" w:type="dxa"/>
        </w:tblCellMar>
      </w:tblPr>
      <w:tr>
        <w:trPr>
          <w:trHeight w:val="184"/>
        </w:trPr>
        <w:tc>
          <w:tcPr>
            <w:tcW w:w="21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147"/>
              <w:spacing w:after="0"/>
              <w:rPr>
                <w:sz w:val="20"/>
                <w:szCs w:val="20"/>
                <w:color w:val="auto"/>
              </w:rPr>
            </w:pPr>
            <w:r>
              <w:rPr>
                <w:rFonts w:ascii="Times New Roman" w:cs="Times New Roman" w:eastAsia="Times New Roman" w:hAnsi="Times New Roman"/>
                <w:sz w:val="16"/>
                <w:szCs w:val="16"/>
                <w:b w:val="1"/>
                <w:bCs w:val="1"/>
                <w:color w:val="231F20"/>
                <w:w w:val="98"/>
              </w:rPr>
              <w:t>Total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4"/>
        </w:trPr>
        <w:tc>
          <w:tcPr>
            <w:tcW w:w="21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center"/>
              <w:ind w:right="27"/>
              <w:spacing w:after="0"/>
              <w:rPr>
                <w:sz w:val="20"/>
                <w:szCs w:val="20"/>
                <w:color w:val="auto"/>
              </w:rPr>
            </w:pPr>
            <w:r>
              <w:rPr>
                <w:rFonts w:ascii="Times New Roman" w:cs="Times New Roman" w:eastAsia="Times New Roman" w:hAnsi="Times New Roman"/>
                <w:sz w:val="16"/>
                <w:szCs w:val="16"/>
                <w:b w:val="1"/>
                <w:bCs w:val="1"/>
                <w:color w:val="231F20"/>
                <w:w w:val="99"/>
              </w:rPr>
              <w:t>Reportable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9"/>
        </w:trPr>
        <w:tc>
          <w:tcPr>
            <w:tcW w:w="216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w w:val="99"/>
              </w:rPr>
              <w:t>Year Ended December 31, 2024</w:t>
            </w:r>
          </w:p>
        </w:tc>
        <w:tc>
          <w:tcPr>
            <w:tcW w:w="2180" w:type="dxa"/>
            <w:vAlign w:val="bottom"/>
            <w:tcBorders>
              <w:bottom w:val="single" w:sz="8" w:color="E6E7E8"/>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jc w:val="right"/>
              <w:ind w:right="186"/>
              <w:spacing w:after="0"/>
              <w:rPr>
                <w:sz w:val="20"/>
                <w:szCs w:val="20"/>
                <w:color w:val="auto"/>
              </w:rPr>
            </w:pPr>
            <w:r>
              <w:rPr>
                <w:rFonts w:ascii="Times New Roman" w:cs="Times New Roman" w:eastAsia="Times New Roman" w:hAnsi="Times New Roman"/>
                <w:sz w:val="16"/>
                <w:szCs w:val="16"/>
                <w:b w:val="1"/>
                <w:bCs w:val="1"/>
                <w:color w:val="231F20"/>
              </w:rPr>
              <w:t>Electric</w:t>
            </w:r>
          </w:p>
        </w:tc>
        <w:tc>
          <w:tcPr>
            <w:tcW w:w="100" w:type="dxa"/>
            <w:vAlign w:val="bottom"/>
            <w:tcBorders>
              <w:bottom w:val="single" w:sz="8" w:color="E6E7E8"/>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800" w:type="dxa"/>
            <w:vAlign w:val="bottom"/>
            <w:tcBorders>
              <w:bottom w:val="single" w:sz="8" w:color="231F20"/>
            </w:tcBorders>
          </w:tcPr>
          <w:p>
            <w:pPr>
              <w:jc w:val="right"/>
              <w:ind w:right="326"/>
              <w:spacing w:after="0"/>
              <w:rPr>
                <w:sz w:val="20"/>
                <w:szCs w:val="20"/>
                <w:color w:val="auto"/>
              </w:rPr>
            </w:pPr>
            <w:r>
              <w:rPr>
                <w:rFonts w:ascii="Times New Roman" w:cs="Times New Roman" w:eastAsia="Times New Roman" w:hAnsi="Times New Roman"/>
                <w:sz w:val="16"/>
                <w:szCs w:val="16"/>
                <w:b w:val="1"/>
                <w:bCs w:val="1"/>
                <w:color w:val="231F20"/>
              </w:rPr>
              <w:t>Gas</w:t>
            </w:r>
          </w:p>
        </w:tc>
        <w:tc>
          <w:tcPr>
            <w:tcW w:w="80" w:type="dxa"/>
            <w:vAlign w:val="bottom"/>
            <w:tcBorders>
              <w:bottom w:val="single" w:sz="8" w:color="E6E7E8"/>
            </w:tcBorders>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tcPr>
          <w:p>
            <w:pPr>
              <w:jc w:val="center"/>
              <w:ind w:right="127"/>
              <w:spacing w:after="0"/>
              <w:rPr>
                <w:sz w:val="20"/>
                <w:szCs w:val="20"/>
                <w:color w:val="auto"/>
              </w:rPr>
            </w:pPr>
            <w:r>
              <w:rPr>
                <w:rFonts w:ascii="Times New Roman" w:cs="Times New Roman" w:eastAsia="Times New Roman" w:hAnsi="Times New Roman"/>
                <w:sz w:val="16"/>
                <w:szCs w:val="16"/>
                <w:b w:val="1"/>
                <w:bCs w:val="1"/>
                <w:color w:val="231F20"/>
              </w:rPr>
              <w:t>Segments</w:t>
            </w:r>
          </w:p>
        </w:tc>
        <w:tc>
          <w:tcPr>
            <w:tcW w:w="100" w:type="dxa"/>
            <w:vAlign w:val="bottom"/>
            <w:tcBorders>
              <w:bottom w:val="single" w:sz="8" w:color="E6E7E8"/>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820" w:type="dxa"/>
            <w:vAlign w:val="bottom"/>
            <w:tcBorders>
              <w:bottom w:val="single" w:sz="8" w:color="231F20"/>
            </w:tcBorders>
          </w:tcPr>
          <w:p>
            <w:pPr>
              <w:jc w:val="right"/>
              <w:ind w:right="246"/>
              <w:spacing w:after="0"/>
              <w:rPr>
                <w:sz w:val="20"/>
                <w:szCs w:val="20"/>
                <w:color w:val="auto"/>
              </w:rPr>
            </w:pPr>
            <w:r>
              <w:rPr>
                <w:rFonts w:ascii="Times New Roman" w:cs="Times New Roman" w:eastAsia="Times New Roman" w:hAnsi="Times New Roman"/>
                <w:sz w:val="16"/>
                <w:szCs w:val="16"/>
                <w:b w:val="1"/>
                <w:bCs w:val="1"/>
                <w:color w:val="231F20"/>
              </w:rPr>
              <w:t>Other</w:t>
            </w:r>
          </w:p>
        </w:tc>
        <w:tc>
          <w:tcPr>
            <w:tcW w:w="100" w:type="dxa"/>
            <w:vAlign w:val="bottom"/>
            <w:tcBorders>
              <w:bottom w:val="single" w:sz="8" w:color="E6E7E8"/>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800" w:type="dxa"/>
            <w:vAlign w:val="bottom"/>
            <w:tcBorders>
              <w:bottom w:val="single" w:sz="8" w:color="231F20"/>
            </w:tcBorders>
          </w:tcPr>
          <w:p>
            <w:pPr>
              <w:jc w:val="right"/>
              <w:ind w:right="266"/>
              <w:spacing w:after="0"/>
              <w:rPr>
                <w:sz w:val="20"/>
                <w:szCs w:val="20"/>
                <w:color w:val="auto"/>
              </w:rPr>
            </w:pPr>
            <w:r>
              <w:rPr>
                <w:rFonts w:ascii="Times New Roman" w:cs="Times New Roman" w:eastAsia="Times New Roman" w:hAnsi="Times New Roman"/>
                <w:sz w:val="16"/>
                <w:szCs w:val="16"/>
                <w:b w:val="1"/>
                <w:bCs w:val="1"/>
                <w:color w:val="231F20"/>
              </w:rPr>
              <w:t>Total</w:t>
            </w:r>
          </w:p>
        </w:tc>
      </w:tr>
      <w:tr>
        <w:trPr>
          <w:trHeight w:val="217"/>
        </w:trPr>
        <w:tc>
          <w:tcPr>
            <w:tcW w:w="4340" w:type="dxa"/>
            <w:vAlign w:val="bottom"/>
            <w:tcBorders>
              <w:top w:val="single" w:sz="8" w:color="E6E7E8"/>
            </w:tcBorders>
            <w:gridSpan w:val="2"/>
            <w:shd w:val="clear" w:color="auto" w:fill="E6E7E8"/>
          </w:tcPr>
          <w:p>
            <w:pPr>
              <w:spacing w:after="0" w:line="217" w:lineRule="exact"/>
              <w:rPr>
                <w:sz w:val="20"/>
                <w:szCs w:val="20"/>
                <w:color w:val="auto"/>
              </w:rPr>
            </w:pPr>
            <w:r>
              <w:rPr>
                <w:rFonts w:ascii="Times New Roman" w:cs="Times New Roman" w:eastAsia="Times New Roman" w:hAnsi="Times New Roman"/>
                <w:sz w:val="19"/>
                <w:szCs w:val="19"/>
                <w:color w:val="231F20"/>
              </w:rPr>
              <w:t>Total Operating Revenues</w:t>
            </w:r>
          </w:p>
        </w:tc>
        <w:tc>
          <w:tcPr>
            <w:tcW w:w="140" w:type="dxa"/>
            <w:vAlign w:val="bottom"/>
            <w:tcBorders>
              <w:top w:val="single" w:sz="8" w:color="231F20"/>
            </w:tcBorders>
            <w:shd w:val="clear" w:color="auto" w:fill="E6E7E8"/>
          </w:tcPr>
          <w:p>
            <w:pPr>
              <w:jc w:val="right"/>
              <w:spacing w:after="0" w:line="217" w:lineRule="exact"/>
              <w:rPr>
                <w:sz w:val="20"/>
                <w:szCs w:val="20"/>
                <w:color w:val="auto"/>
              </w:rPr>
            </w:pPr>
            <w:r>
              <w:rPr>
                <w:rFonts w:ascii="Times New Roman" w:cs="Times New Roman" w:eastAsia="Times New Roman" w:hAnsi="Times New Roman"/>
                <w:sz w:val="19"/>
                <w:szCs w:val="19"/>
                <w:color w:val="231F20"/>
                <w:w w:val="83"/>
              </w:rPr>
              <w:t>$</w:t>
            </w:r>
          </w:p>
        </w:tc>
        <w:tc>
          <w:tcPr>
            <w:tcW w:w="860" w:type="dxa"/>
            <w:vAlign w:val="bottom"/>
            <w:tcBorders>
              <w:top w:val="single" w:sz="8" w:color="231F20"/>
            </w:tcBorders>
            <w:shd w:val="clear" w:color="auto" w:fill="E6E7E8"/>
          </w:tcPr>
          <w:p>
            <w:pPr>
              <w:jc w:val="right"/>
              <w:ind w:right="6"/>
              <w:spacing w:after="0" w:line="217" w:lineRule="exact"/>
              <w:rPr>
                <w:sz w:val="20"/>
                <w:szCs w:val="20"/>
                <w:color w:val="auto"/>
              </w:rPr>
            </w:pPr>
            <w:r>
              <w:rPr>
                <w:rFonts w:ascii="Times New Roman" w:cs="Times New Roman" w:eastAsia="Times New Roman" w:hAnsi="Times New Roman"/>
                <w:sz w:val="19"/>
                <w:szCs w:val="19"/>
                <w:color w:val="231F20"/>
              </w:rPr>
              <w:t>248.3</w:t>
            </w:r>
          </w:p>
        </w:tc>
        <w:tc>
          <w:tcPr>
            <w:tcW w:w="100" w:type="dxa"/>
            <w:vAlign w:val="bottom"/>
            <w:tcBorders>
              <w:top w:val="single" w:sz="8" w:color="E6E7E8"/>
            </w:tcBorders>
            <w:shd w:val="clear" w:color="auto" w:fill="E6E7E8"/>
          </w:tcPr>
          <w:p>
            <w:pPr>
              <w:spacing w:after="0"/>
              <w:rPr>
                <w:sz w:val="18"/>
                <w:szCs w:val="18"/>
                <w:color w:val="auto"/>
              </w:rPr>
            </w:pPr>
          </w:p>
        </w:tc>
        <w:tc>
          <w:tcPr>
            <w:tcW w:w="200" w:type="dxa"/>
            <w:vAlign w:val="bottom"/>
            <w:tcBorders>
              <w:top w:val="single" w:sz="8" w:color="231F20"/>
            </w:tcBorders>
            <w:shd w:val="clear" w:color="auto" w:fill="E6E7E8"/>
          </w:tcPr>
          <w:p>
            <w:pPr>
              <w:jc w:val="right"/>
              <w:ind w:right="5"/>
              <w:spacing w:after="0" w:line="217" w:lineRule="exact"/>
              <w:rPr>
                <w:sz w:val="20"/>
                <w:szCs w:val="20"/>
                <w:color w:val="auto"/>
              </w:rPr>
            </w:pPr>
            <w:r>
              <w:rPr>
                <w:rFonts w:ascii="Times New Roman" w:cs="Times New Roman" w:eastAsia="Times New Roman" w:hAnsi="Times New Roman"/>
                <w:sz w:val="19"/>
                <w:szCs w:val="19"/>
                <w:color w:val="231F20"/>
                <w:w w:val="83"/>
              </w:rPr>
              <w:t>$</w:t>
            </w:r>
          </w:p>
        </w:tc>
        <w:tc>
          <w:tcPr>
            <w:tcW w:w="800" w:type="dxa"/>
            <w:vAlign w:val="bottom"/>
            <w:tcBorders>
              <w:top w:val="single" w:sz="8" w:color="231F20"/>
            </w:tcBorders>
            <w:shd w:val="clear" w:color="auto" w:fill="E6E7E8"/>
          </w:tcPr>
          <w:p>
            <w:pPr>
              <w:jc w:val="right"/>
              <w:ind w:right="26"/>
              <w:spacing w:after="0" w:line="217" w:lineRule="exact"/>
              <w:rPr>
                <w:sz w:val="20"/>
                <w:szCs w:val="20"/>
                <w:color w:val="auto"/>
              </w:rPr>
            </w:pPr>
            <w:r>
              <w:rPr>
                <w:rFonts w:ascii="Times New Roman" w:cs="Times New Roman" w:eastAsia="Times New Roman" w:hAnsi="Times New Roman"/>
                <w:sz w:val="19"/>
                <w:szCs w:val="19"/>
                <w:color w:val="231F20"/>
              </w:rPr>
              <w:t>246.5</w:t>
            </w:r>
          </w:p>
        </w:tc>
        <w:tc>
          <w:tcPr>
            <w:tcW w:w="80" w:type="dxa"/>
            <w:vAlign w:val="bottom"/>
            <w:tcBorders>
              <w:top w:val="single" w:sz="8" w:color="E6E7E8"/>
            </w:tcBorders>
            <w:shd w:val="clear" w:color="auto" w:fill="E6E7E8"/>
          </w:tcPr>
          <w:p>
            <w:pPr>
              <w:spacing w:after="0"/>
              <w:rPr>
                <w:sz w:val="18"/>
                <w:szCs w:val="18"/>
                <w:color w:val="auto"/>
              </w:rPr>
            </w:pPr>
          </w:p>
        </w:tc>
        <w:tc>
          <w:tcPr>
            <w:tcW w:w="120" w:type="dxa"/>
            <w:vAlign w:val="bottom"/>
            <w:tcBorders>
              <w:top w:val="single" w:sz="8" w:color="231F20"/>
            </w:tcBorders>
            <w:shd w:val="clear" w:color="auto" w:fill="E6E7E8"/>
          </w:tcPr>
          <w:p>
            <w:pPr>
              <w:jc w:val="right"/>
              <w:spacing w:after="0" w:line="217" w:lineRule="exact"/>
              <w:rPr>
                <w:sz w:val="20"/>
                <w:szCs w:val="20"/>
                <w:color w:val="auto"/>
              </w:rPr>
            </w:pPr>
            <w:r>
              <w:rPr>
                <w:rFonts w:ascii="Times New Roman" w:cs="Times New Roman" w:eastAsia="Times New Roman" w:hAnsi="Times New Roman"/>
                <w:sz w:val="19"/>
                <w:szCs w:val="19"/>
                <w:color w:val="231F20"/>
                <w:w w:val="83"/>
              </w:rPr>
              <w:t>$</w:t>
            </w:r>
          </w:p>
        </w:tc>
        <w:tc>
          <w:tcPr>
            <w:tcW w:w="920" w:type="dxa"/>
            <w:vAlign w:val="bottom"/>
            <w:tcBorders>
              <w:top w:val="single" w:sz="8" w:color="231F20"/>
            </w:tcBorders>
            <w:shd w:val="clear" w:color="auto" w:fill="E6E7E8"/>
          </w:tcPr>
          <w:p>
            <w:pPr>
              <w:jc w:val="right"/>
              <w:ind w:right="27"/>
              <w:spacing w:after="0" w:line="217" w:lineRule="exact"/>
              <w:rPr>
                <w:sz w:val="20"/>
                <w:szCs w:val="20"/>
                <w:color w:val="auto"/>
              </w:rPr>
            </w:pPr>
            <w:r>
              <w:rPr>
                <w:rFonts w:ascii="Times New Roman" w:cs="Times New Roman" w:eastAsia="Times New Roman" w:hAnsi="Times New Roman"/>
                <w:sz w:val="19"/>
                <w:szCs w:val="19"/>
                <w:color w:val="231F20"/>
              </w:rPr>
              <w:t>494.8</w:t>
            </w:r>
          </w:p>
        </w:tc>
        <w:tc>
          <w:tcPr>
            <w:tcW w:w="100" w:type="dxa"/>
            <w:vAlign w:val="bottom"/>
            <w:tcBorders>
              <w:top w:val="single" w:sz="8" w:color="E6E7E8"/>
            </w:tcBorders>
            <w:shd w:val="clear" w:color="auto" w:fill="E6E7E8"/>
          </w:tcPr>
          <w:p>
            <w:pPr>
              <w:spacing w:after="0"/>
              <w:rPr>
                <w:sz w:val="18"/>
                <w:szCs w:val="18"/>
                <w:color w:val="auto"/>
              </w:rPr>
            </w:pPr>
          </w:p>
        </w:tc>
        <w:tc>
          <w:tcPr>
            <w:tcW w:w="16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tcBorders>
              <w:top w:val="single" w:sz="8" w:color="231F20"/>
            </w:tcBorders>
            <w:shd w:val="clear" w:color="auto" w:fill="E6E7E8"/>
          </w:tcPr>
          <w:p>
            <w:pPr>
              <w:jc w:val="right"/>
              <w:ind w:right="6"/>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00" w:type="dxa"/>
            <w:vAlign w:val="bottom"/>
            <w:tcBorders>
              <w:top w:val="single" w:sz="8" w:color="E6E7E8"/>
            </w:tcBorders>
            <w:shd w:val="clear" w:color="auto" w:fill="E6E7E8"/>
          </w:tcPr>
          <w:p>
            <w:pPr>
              <w:spacing w:after="0"/>
              <w:rPr>
                <w:sz w:val="18"/>
                <w:szCs w:val="18"/>
                <w:color w:val="auto"/>
              </w:rPr>
            </w:pPr>
          </w:p>
        </w:tc>
        <w:tc>
          <w:tcPr>
            <w:tcW w:w="180" w:type="dxa"/>
            <w:vAlign w:val="bottom"/>
            <w:tcBorders>
              <w:top w:val="single" w:sz="8" w:color="231F20"/>
            </w:tcBorders>
            <w:shd w:val="clear" w:color="auto" w:fill="E6E7E8"/>
          </w:tcPr>
          <w:p>
            <w:pPr>
              <w:jc w:val="right"/>
              <w:spacing w:after="0" w:line="217" w:lineRule="exact"/>
              <w:rPr>
                <w:sz w:val="20"/>
                <w:szCs w:val="20"/>
                <w:color w:val="auto"/>
              </w:rPr>
            </w:pPr>
            <w:r>
              <w:rPr>
                <w:rFonts w:ascii="Times New Roman" w:cs="Times New Roman" w:eastAsia="Times New Roman" w:hAnsi="Times New Roman"/>
                <w:sz w:val="19"/>
                <w:szCs w:val="19"/>
                <w:color w:val="231F20"/>
                <w:w w:val="83"/>
              </w:rPr>
              <w:t>$</w:t>
            </w:r>
          </w:p>
        </w:tc>
        <w:tc>
          <w:tcPr>
            <w:tcW w:w="800" w:type="dxa"/>
            <w:vAlign w:val="bottom"/>
            <w:tcBorders>
              <w:top w:val="single" w:sz="8" w:color="231F20"/>
            </w:tcBorders>
            <w:shd w:val="clear" w:color="auto" w:fill="E6E7E8"/>
          </w:tcPr>
          <w:p>
            <w:pPr>
              <w:jc w:val="right"/>
              <w:ind w:right="6"/>
              <w:spacing w:after="0" w:line="217" w:lineRule="exact"/>
              <w:rPr>
                <w:sz w:val="20"/>
                <w:szCs w:val="20"/>
                <w:color w:val="auto"/>
              </w:rPr>
            </w:pPr>
            <w:r>
              <w:rPr>
                <w:rFonts w:ascii="Times New Roman" w:cs="Times New Roman" w:eastAsia="Times New Roman" w:hAnsi="Times New Roman"/>
                <w:sz w:val="19"/>
                <w:szCs w:val="19"/>
                <w:color w:val="231F20"/>
              </w:rPr>
              <w:t>494.8</w:t>
            </w:r>
          </w:p>
        </w:tc>
      </w:tr>
      <w:tr>
        <w:trPr>
          <w:trHeight w:val="233"/>
        </w:trPr>
        <w:tc>
          <w:tcPr>
            <w:tcW w:w="434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Energy Supply Costs</w:t>
            </w:r>
          </w:p>
        </w:tc>
        <w:tc>
          <w:tcPr>
            <w:tcW w:w="140" w:type="dxa"/>
            <w:vAlign w:val="bottom"/>
          </w:tcPr>
          <w:p>
            <w:pPr>
              <w:spacing w:after="0"/>
              <w:rPr>
                <w:sz w:val="20"/>
                <w:szCs w:val="20"/>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31F20"/>
              </w:rPr>
              <w:t>141.0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231F20"/>
              </w:rPr>
              <w:t>79.6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27"/>
              <w:spacing w:after="0"/>
              <w:rPr>
                <w:sz w:val="20"/>
                <w:szCs w:val="20"/>
                <w:color w:val="auto"/>
              </w:rPr>
            </w:pPr>
            <w:r>
              <w:rPr>
                <w:rFonts w:ascii="Times New Roman" w:cs="Times New Roman" w:eastAsia="Times New Roman" w:hAnsi="Times New Roman"/>
                <w:sz w:val="19"/>
                <w:szCs w:val="19"/>
                <w:color w:val="231F20"/>
              </w:rPr>
              <w:t>220.6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31F20"/>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31F20"/>
              </w:rPr>
              <w:t>220.6</w:t>
            </w:r>
          </w:p>
        </w:tc>
      </w:tr>
      <w:tr>
        <w:trPr>
          <w:trHeight w:val="233"/>
        </w:trPr>
        <w:tc>
          <w:tcPr>
            <w:tcW w:w="434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19"/>
                <w:szCs w:val="19"/>
                <w:color w:val="231F20"/>
              </w:rPr>
              <w:t>Operation and Maintenance</w:t>
            </w:r>
          </w:p>
        </w:tc>
        <w:tc>
          <w:tcPr>
            <w:tcW w:w="140" w:type="dxa"/>
            <w:vAlign w:val="bottom"/>
            <w:shd w:val="clear" w:color="auto" w:fill="E6E7E8"/>
          </w:tcPr>
          <w:p>
            <w:pPr>
              <w:spacing w:after="0"/>
              <w:rPr>
                <w:sz w:val="20"/>
                <w:szCs w:val="20"/>
                <w:color w:val="auto"/>
              </w:rPr>
            </w:pPr>
          </w:p>
        </w:tc>
        <w:tc>
          <w:tcPr>
            <w:tcW w:w="860" w:type="dxa"/>
            <w:vAlign w:val="bottom"/>
            <w:shd w:val="clear" w:color="auto" w:fill="E6E7E8"/>
          </w:tcPr>
          <w:p>
            <w:pPr>
              <w:jc w:val="right"/>
              <w:ind w:right="6"/>
              <w:spacing w:after="0"/>
              <w:rPr>
                <w:sz w:val="20"/>
                <w:szCs w:val="20"/>
                <w:color w:val="auto"/>
              </w:rPr>
            </w:pPr>
            <w:r>
              <w:rPr>
                <w:rFonts w:ascii="Times New Roman" w:cs="Times New Roman" w:eastAsia="Times New Roman" w:hAnsi="Times New Roman"/>
                <w:sz w:val="19"/>
                <w:szCs w:val="19"/>
                <w:color w:val="231F20"/>
              </w:rPr>
              <w:t>34.9</w:t>
            </w:r>
          </w:p>
        </w:tc>
        <w:tc>
          <w:tcPr>
            <w:tcW w:w="100" w:type="dxa"/>
            <w:vAlign w:val="bottom"/>
            <w:shd w:val="clear" w:color="auto" w:fill="E6E7E8"/>
          </w:tcPr>
          <w:p>
            <w:pPr>
              <w:spacing w:after="0"/>
              <w:rPr>
                <w:sz w:val="20"/>
                <w:szCs w:val="20"/>
                <w:color w:val="auto"/>
              </w:rPr>
            </w:pPr>
          </w:p>
        </w:tc>
        <w:tc>
          <w:tcPr>
            <w:tcW w:w="200" w:type="dxa"/>
            <w:vAlign w:val="bottom"/>
            <w:shd w:val="clear" w:color="auto" w:fill="E6E7E8"/>
          </w:tcPr>
          <w:p>
            <w:pPr>
              <w:spacing w:after="0"/>
              <w:rPr>
                <w:sz w:val="20"/>
                <w:szCs w:val="20"/>
                <w:color w:val="auto"/>
              </w:rPr>
            </w:pPr>
          </w:p>
        </w:tc>
        <w:tc>
          <w:tcPr>
            <w:tcW w:w="800" w:type="dxa"/>
            <w:vAlign w:val="bottom"/>
            <w:shd w:val="clear" w:color="auto" w:fill="E6E7E8"/>
          </w:tcPr>
          <w:p>
            <w:pPr>
              <w:jc w:val="right"/>
              <w:ind w:right="26"/>
              <w:spacing w:after="0"/>
              <w:rPr>
                <w:sz w:val="20"/>
                <w:szCs w:val="20"/>
                <w:color w:val="auto"/>
              </w:rPr>
            </w:pPr>
            <w:r>
              <w:rPr>
                <w:rFonts w:ascii="Times New Roman" w:cs="Times New Roman" w:eastAsia="Times New Roman" w:hAnsi="Times New Roman"/>
                <w:sz w:val="19"/>
                <w:szCs w:val="19"/>
                <w:color w:val="231F20"/>
              </w:rPr>
              <w:t>41.7</w:t>
            </w:r>
          </w:p>
        </w:tc>
        <w:tc>
          <w:tcPr>
            <w:tcW w:w="80" w:type="dxa"/>
            <w:vAlign w:val="bottom"/>
            <w:shd w:val="clear" w:color="auto" w:fill="E6E7E8"/>
          </w:tcPr>
          <w:p>
            <w:pPr>
              <w:spacing w:after="0"/>
              <w:rPr>
                <w:sz w:val="20"/>
                <w:szCs w:val="20"/>
                <w:color w:val="auto"/>
              </w:rPr>
            </w:pPr>
          </w:p>
        </w:tc>
        <w:tc>
          <w:tcPr>
            <w:tcW w:w="120" w:type="dxa"/>
            <w:vAlign w:val="bottom"/>
            <w:shd w:val="clear" w:color="auto" w:fill="E6E7E8"/>
          </w:tcPr>
          <w:p>
            <w:pPr>
              <w:spacing w:after="0"/>
              <w:rPr>
                <w:sz w:val="20"/>
                <w:szCs w:val="20"/>
                <w:color w:val="auto"/>
              </w:rPr>
            </w:pPr>
          </w:p>
        </w:tc>
        <w:tc>
          <w:tcPr>
            <w:tcW w:w="920" w:type="dxa"/>
            <w:vAlign w:val="bottom"/>
            <w:shd w:val="clear" w:color="auto" w:fill="E6E7E8"/>
          </w:tcPr>
          <w:p>
            <w:pPr>
              <w:jc w:val="right"/>
              <w:ind w:right="27"/>
              <w:spacing w:after="0"/>
              <w:rPr>
                <w:sz w:val="20"/>
                <w:szCs w:val="20"/>
                <w:color w:val="auto"/>
              </w:rPr>
            </w:pPr>
            <w:r>
              <w:rPr>
                <w:rFonts w:ascii="Times New Roman" w:cs="Times New Roman" w:eastAsia="Times New Roman" w:hAnsi="Times New Roman"/>
                <w:sz w:val="19"/>
                <w:szCs w:val="19"/>
                <w:color w:val="231F20"/>
              </w:rPr>
              <w:t>76.6</w:t>
            </w:r>
          </w:p>
        </w:tc>
        <w:tc>
          <w:tcPr>
            <w:tcW w:w="100" w:type="dxa"/>
            <w:vAlign w:val="bottom"/>
            <w:shd w:val="clear" w:color="auto" w:fill="E6E7E8"/>
          </w:tcPr>
          <w:p>
            <w:pPr>
              <w:spacing w:after="0"/>
              <w:rPr>
                <w:sz w:val="20"/>
                <w:szCs w:val="20"/>
                <w:color w:val="auto"/>
              </w:rPr>
            </w:pPr>
          </w:p>
        </w:tc>
        <w:tc>
          <w:tcPr>
            <w:tcW w:w="160" w:type="dxa"/>
            <w:vAlign w:val="bottom"/>
            <w:shd w:val="clear" w:color="auto" w:fill="E6E7E8"/>
          </w:tcPr>
          <w:p>
            <w:pPr>
              <w:spacing w:after="0"/>
              <w:rPr>
                <w:sz w:val="20"/>
                <w:szCs w:val="20"/>
                <w:color w:val="auto"/>
              </w:rPr>
            </w:pPr>
          </w:p>
        </w:tc>
        <w:tc>
          <w:tcPr>
            <w:tcW w:w="820" w:type="dxa"/>
            <w:vAlign w:val="bottom"/>
            <w:shd w:val="clear" w:color="auto" w:fill="E6E7E8"/>
          </w:tcPr>
          <w:p>
            <w:pPr>
              <w:jc w:val="right"/>
              <w:ind w:right="6"/>
              <w:spacing w:after="0"/>
              <w:rPr>
                <w:sz w:val="20"/>
                <w:szCs w:val="20"/>
                <w:color w:val="auto"/>
              </w:rPr>
            </w:pPr>
            <w:r>
              <w:rPr>
                <w:rFonts w:ascii="Times New Roman" w:cs="Times New Roman" w:eastAsia="Times New Roman" w:hAnsi="Times New Roman"/>
                <w:sz w:val="19"/>
                <w:szCs w:val="19"/>
                <w:color w:val="231F20"/>
              </w:rPr>
              <w:t>1.0</w:t>
            </w:r>
          </w:p>
        </w:tc>
        <w:tc>
          <w:tcPr>
            <w:tcW w:w="10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800" w:type="dxa"/>
            <w:vAlign w:val="bottom"/>
            <w:shd w:val="clear" w:color="auto" w:fill="E6E7E8"/>
          </w:tcPr>
          <w:p>
            <w:pPr>
              <w:jc w:val="right"/>
              <w:ind w:right="6"/>
              <w:spacing w:after="0"/>
              <w:rPr>
                <w:sz w:val="20"/>
                <w:szCs w:val="20"/>
                <w:color w:val="auto"/>
              </w:rPr>
            </w:pPr>
            <w:r>
              <w:rPr>
                <w:rFonts w:ascii="Times New Roman" w:cs="Times New Roman" w:eastAsia="Times New Roman" w:hAnsi="Times New Roman"/>
                <w:sz w:val="19"/>
                <w:szCs w:val="19"/>
                <w:color w:val="231F20"/>
              </w:rPr>
              <w:t>77.6</w:t>
            </w:r>
          </w:p>
        </w:tc>
      </w:tr>
      <w:tr>
        <w:trPr>
          <w:trHeight w:val="233"/>
        </w:trPr>
        <w:tc>
          <w:tcPr>
            <w:tcW w:w="434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Depreciation &amp; Amortization Expense</w:t>
            </w:r>
          </w:p>
        </w:tc>
        <w:tc>
          <w:tcPr>
            <w:tcW w:w="140" w:type="dxa"/>
            <w:vAlign w:val="bottom"/>
          </w:tcPr>
          <w:p>
            <w:pPr>
              <w:spacing w:after="0"/>
              <w:rPr>
                <w:sz w:val="20"/>
                <w:szCs w:val="20"/>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31F20"/>
              </w:rPr>
              <w:t>29.3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231F20"/>
              </w:rPr>
              <w:t>46.8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27"/>
              <w:spacing w:after="0"/>
              <w:rPr>
                <w:sz w:val="20"/>
                <w:szCs w:val="20"/>
                <w:color w:val="auto"/>
              </w:rPr>
            </w:pPr>
            <w:r>
              <w:rPr>
                <w:rFonts w:ascii="Times New Roman" w:cs="Times New Roman" w:eastAsia="Times New Roman" w:hAnsi="Times New Roman"/>
                <w:sz w:val="19"/>
                <w:szCs w:val="19"/>
                <w:color w:val="231F20"/>
              </w:rPr>
              <w:t>76.1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31F20"/>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31F20"/>
              </w:rPr>
              <w:t>76.1</w:t>
            </w:r>
          </w:p>
        </w:tc>
      </w:tr>
      <w:tr>
        <w:trPr>
          <w:trHeight w:val="233"/>
        </w:trPr>
        <w:tc>
          <w:tcPr>
            <w:tcW w:w="434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19"/>
                <w:szCs w:val="19"/>
                <w:color w:val="231F20"/>
              </w:rPr>
              <w:t>Other Segment Expenses (Income)</w:t>
            </w:r>
          </w:p>
        </w:tc>
        <w:tc>
          <w:tcPr>
            <w:tcW w:w="140" w:type="dxa"/>
            <w:vAlign w:val="bottom"/>
            <w:shd w:val="clear" w:color="auto" w:fill="E6E7E8"/>
          </w:tcPr>
          <w:p>
            <w:pPr>
              <w:spacing w:after="0"/>
              <w:rPr>
                <w:sz w:val="20"/>
                <w:szCs w:val="20"/>
                <w:color w:val="auto"/>
              </w:rPr>
            </w:pPr>
          </w:p>
        </w:tc>
        <w:tc>
          <w:tcPr>
            <w:tcW w:w="860" w:type="dxa"/>
            <w:vAlign w:val="bottom"/>
            <w:shd w:val="clear" w:color="auto" w:fill="E6E7E8"/>
          </w:tcPr>
          <w:p>
            <w:pPr>
              <w:jc w:val="right"/>
              <w:ind w:right="6"/>
              <w:spacing w:after="0"/>
              <w:rPr>
                <w:sz w:val="20"/>
                <w:szCs w:val="20"/>
                <w:color w:val="auto"/>
              </w:rPr>
            </w:pPr>
            <w:r>
              <w:rPr>
                <w:rFonts w:ascii="Times New Roman" w:cs="Times New Roman" w:eastAsia="Times New Roman" w:hAnsi="Times New Roman"/>
                <w:sz w:val="19"/>
                <w:szCs w:val="19"/>
                <w:color w:val="231F20"/>
              </w:rPr>
              <w:t>12.9</w:t>
            </w:r>
          </w:p>
        </w:tc>
        <w:tc>
          <w:tcPr>
            <w:tcW w:w="100" w:type="dxa"/>
            <w:vAlign w:val="bottom"/>
            <w:shd w:val="clear" w:color="auto" w:fill="E6E7E8"/>
          </w:tcPr>
          <w:p>
            <w:pPr>
              <w:spacing w:after="0"/>
              <w:rPr>
                <w:sz w:val="20"/>
                <w:szCs w:val="20"/>
                <w:color w:val="auto"/>
              </w:rPr>
            </w:pPr>
          </w:p>
        </w:tc>
        <w:tc>
          <w:tcPr>
            <w:tcW w:w="200" w:type="dxa"/>
            <w:vAlign w:val="bottom"/>
            <w:shd w:val="clear" w:color="auto" w:fill="E6E7E8"/>
          </w:tcPr>
          <w:p>
            <w:pPr>
              <w:spacing w:after="0"/>
              <w:rPr>
                <w:sz w:val="20"/>
                <w:szCs w:val="20"/>
                <w:color w:val="auto"/>
              </w:rPr>
            </w:pPr>
          </w:p>
        </w:tc>
        <w:tc>
          <w:tcPr>
            <w:tcW w:w="800" w:type="dxa"/>
            <w:vAlign w:val="bottom"/>
            <w:shd w:val="clear" w:color="auto" w:fill="E6E7E8"/>
          </w:tcPr>
          <w:p>
            <w:pPr>
              <w:jc w:val="right"/>
              <w:ind w:right="26"/>
              <w:spacing w:after="0"/>
              <w:rPr>
                <w:sz w:val="20"/>
                <w:szCs w:val="20"/>
                <w:color w:val="auto"/>
              </w:rPr>
            </w:pPr>
            <w:r>
              <w:rPr>
                <w:rFonts w:ascii="Times New Roman" w:cs="Times New Roman" w:eastAsia="Times New Roman" w:hAnsi="Times New Roman"/>
                <w:sz w:val="19"/>
                <w:szCs w:val="19"/>
                <w:color w:val="231F20"/>
              </w:rPr>
              <w:t>17.3</w:t>
            </w:r>
          </w:p>
        </w:tc>
        <w:tc>
          <w:tcPr>
            <w:tcW w:w="80" w:type="dxa"/>
            <w:vAlign w:val="bottom"/>
            <w:shd w:val="clear" w:color="auto" w:fill="E6E7E8"/>
          </w:tcPr>
          <w:p>
            <w:pPr>
              <w:spacing w:after="0"/>
              <w:rPr>
                <w:sz w:val="20"/>
                <w:szCs w:val="20"/>
                <w:color w:val="auto"/>
              </w:rPr>
            </w:pPr>
          </w:p>
        </w:tc>
        <w:tc>
          <w:tcPr>
            <w:tcW w:w="120" w:type="dxa"/>
            <w:vAlign w:val="bottom"/>
            <w:shd w:val="clear" w:color="auto" w:fill="E6E7E8"/>
          </w:tcPr>
          <w:p>
            <w:pPr>
              <w:spacing w:after="0"/>
              <w:rPr>
                <w:sz w:val="20"/>
                <w:szCs w:val="20"/>
                <w:color w:val="auto"/>
              </w:rPr>
            </w:pPr>
          </w:p>
        </w:tc>
        <w:tc>
          <w:tcPr>
            <w:tcW w:w="920" w:type="dxa"/>
            <w:vAlign w:val="bottom"/>
            <w:shd w:val="clear" w:color="auto" w:fill="E6E7E8"/>
          </w:tcPr>
          <w:p>
            <w:pPr>
              <w:jc w:val="right"/>
              <w:ind w:right="27"/>
              <w:spacing w:after="0"/>
              <w:rPr>
                <w:sz w:val="20"/>
                <w:szCs w:val="20"/>
                <w:color w:val="auto"/>
              </w:rPr>
            </w:pPr>
            <w:r>
              <w:rPr>
                <w:rFonts w:ascii="Times New Roman" w:cs="Times New Roman" w:eastAsia="Times New Roman" w:hAnsi="Times New Roman"/>
                <w:sz w:val="19"/>
                <w:szCs w:val="19"/>
                <w:color w:val="231F20"/>
              </w:rPr>
              <w:t>30.2</w:t>
            </w:r>
          </w:p>
        </w:tc>
        <w:tc>
          <w:tcPr>
            <w:tcW w:w="100" w:type="dxa"/>
            <w:vAlign w:val="bottom"/>
            <w:shd w:val="clear" w:color="auto" w:fill="E6E7E8"/>
          </w:tcPr>
          <w:p>
            <w:pPr>
              <w:spacing w:after="0"/>
              <w:rPr>
                <w:sz w:val="20"/>
                <w:szCs w:val="20"/>
                <w:color w:val="auto"/>
              </w:rPr>
            </w:pPr>
          </w:p>
        </w:tc>
        <w:tc>
          <w:tcPr>
            <w:tcW w:w="160" w:type="dxa"/>
            <w:vAlign w:val="bottom"/>
            <w:shd w:val="clear" w:color="auto" w:fill="E6E7E8"/>
          </w:tcPr>
          <w:p>
            <w:pPr>
              <w:spacing w:after="0"/>
              <w:rPr>
                <w:sz w:val="20"/>
                <w:szCs w:val="20"/>
                <w:color w:val="auto"/>
              </w:rPr>
            </w:pPr>
          </w:p>
        </w:tc>
        <w:tc>
          <w:tcPr>
            <w:tcW w:w="8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(0.1)</w:t>
            </w:r>
          </w:p>
        </w:tc>
        <w:tc>
          <w:tcPr>
            <w:tcW w:w="10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800" w:type="dxa"/>
            <w:vAlign w:val="bottom"/>
            <w:shd w:val="clear" w:color="auto" w:fill="E6E7E8"/>
          </w:tcPr>
          <w:p>
            <w:pPr>
              <w:jc w:val="right"/>
              <w:ind w:right="6"/>
              <w:spacing w:after="0"/>
              <w:rPr>
                <w:sz w:val="20"/>
                <w:szCs w:val="20"/>
                <w:color w:val="auto"/>
              </w:rPr>
            </w:pPr>
            <w:r>
              <w:rPr>
                <w:rFonts w:ascii="Times New Roman" w:cs="Times New Roman" w:eastAsia="Times New Roman" w:hAnsi="Times New Roman"/>
                <w:sz w:val="19"/>
                <w:szCs w:val="19"/>
                <w:color w:val="231F20"/>
              </w:rPr>
              <w:t>30.1</w:t>
            </w:r>
          </w:p>
        </w:tc>
      </w:tr>
      <w:tr>
        <w:trPr>
          <w:trHeight w:val="233"/>
        </w:trPr>
        <w:tc>
          <w:tcPr>
            <w:tcW w:w="434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Interest Income</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(8.4)</w:t>
            </w:r>
          </w:p>
        </w:tc>
      </w:tr>
      <w:tr>
        <w:trPr>
          <w:trHeight w:val="233"/>
        </w:trPr>
        <w:tc>
          <w:tcPr>
            <w:tcW w:w="434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19"/>
                <w:szCs w:val="19"/>
                <w:color w:val="231F20"/>
              </w:rPr>
              <w:t>Interest Expense</w:t>
            </w:r>
          </w:p>
        </w:tc>
        <w:tc>
          <w:tcPr>
            <w:tcW w:w="140" w:type="dxa"/>
            <w:vAlign w:val="bottom"/>
            <w:shd w:val="clear" w:color="auto" w:fill="E6E7E8"/>
          </w:tcPr>
          <w:p>
            <w:pPr>
              <w:spacing w:after="0"/>
              <w:rPr>
                <w:sz w:val="20"/>
                <w:szCs w:val="20"/>
                <w:color w:val="auto"/>
              </w:rPr>
            </w:pPr>
          </w:p>
        </w:tc>
        <w:tc>
          <w:tcPr>
            <w:tcW w:w="860" w:type="dxa"/>
            <w:vAlign w:val="bottom"/>
            <w:shd w:val="clear" w:color="auto" w:fill="E6E7E8"/>
          </w:tcPr>
          <w:p>
            <w:pPr>
              <w:jc w:val="right"/>
              <w:ind w:right="6"/>
              <w:spacing w:after="0"/>
              <w:rPr>
                <w:sz w:val="20"/>
                <w:szCs w:val="20"/>
                <w:color w:val="auto"/>
              </w:rPr>
            </w:pPr>
            <w:r>
              <w:rPr>
                <w:rFonts w:ascii="Times New Roman" w:cs="Times New Roman" w:eastAsia="Times New Roman" w:hAnsi="Times New Roman"/>
                <w:sz w:val="19"/>
                <w:szCs w:val="19"/>
                <w:color w:val="231F20"/>
              </w:rPr>
              <w:t>13.4</w:t>
            </w:r>
          </w:p>
        </w:tc>
        <w:tc>
          <w:tcPr>
            <w:tcW w:w="100" w:type="dxa"/>
            <w:vAlign w:val="bottom"/>
            <w:shd w:val="clear" w:color="auto" w:fill="E6E7E8"/>
          </w:tcPr>
          <w:p>
            <w:pPr>
              <w:spacing w:after="0"/>
              <w:rPr>
                <w:sz w:val="20"/>
                <w:szCs w:val="20"/>
                <w:color w:val="auto"/>
              </w:rPr>
            </w:pPr>
          </w:p>
        </w:tc>
        <w:tc>
          <w:tcPr>
            <w:tcW w:w="200" w:type="dxa"/>
            <w:vAlign w:val="bottom"/>
            <w:shd w:val="clear" w:color="auto" w:fill="E6E7E8"/>
          </w:tcPr>
          <w:p>
            <w:pPr>
              <w:spacing w:after="0"/>
              <w:rPr>
                <w:sz w:val="20"/>
                <w:szCs w:val="20"/>
                <w:color w:val="auto"/>
              </w:rPr>
            </w:pPr>
          </w:p>
        </w:tc>
        <w:tc>
          <w:tcPr>
            <w:tcW w:w="800" w:type="dxa"/>
            <w:vAlign w:val="bottom"/>
            <w:shd w:val="clear" w:color="auto" w:fill="E6E7E8"/>
          </w:tcPr>
          <w:p>
            <w:pPr>
              <w:jc w:val="right"/>
              <w:ind w:right="26"/>
              <w:spacing w:after="0"/>
              <w:rPr>
                <w:sz w:val="20"/>
                <w:szCs w:val="20"/>
                <w:color w:val="auto"/>
              </w:rPr>
            </w:pPr>
            <w:r>
              <w:rPr>
                <w:rFonts w:ascii="Times New Roman" w:cs="Times New Roman" w:eastAsia="Times New Roman" w:hAnsi="Times New Roman"/>
                <w:sz w:val="19"/>
                <w:szCs w:val="19"/>
                <w:color w:val="231F20"/>
              </w:rPr>
              <w:t>23.7</w:t>
            </w:r>
          </w:p>
        </w:tc>
        <w:tc>
          <w:tcPr>
            <w:tcW w:w="80" w:type="dxa"/>
            <w:vAlign w:val="bottom"/>
            <w:shd w:val="clear" w:color="auto" w:fill="E6E7E8"/>
          </w:tcPr>
          <w:p>
            <w:pPr>
              <w:spacing w:after="0"/>
              <w:rPr>
                <w:sz w:val="20"/>
                <w:szCs w:val="20"/>
                <w:color w:val="auto"/>
              </w:rPr>
            </w:pPr>
          </w:p>
        </w:tc>
        <w:tc>
          <w:tcPr>
            <w:tcW w:w="120" w:type="dxa"/>
            <w:vAlign w:val="bottom"/>
            <w:shd w:val="clear" w:color="auto" w:fill="E6E7E8"/>
          </w:tcPr>
          <w:p>
            <w:pPr>
              <w:spacing w:after="0"/>
              <w:rPr>
                <w:sz w:val="20"/>
                <w:szCs w:val="20"/>
                <w:color w:val="auto"/>
              </w:rPr>
            </w:pPr>
          </w:p>
        </w:tc>
        <w:tc>
          <w:tcPr>
            <w:tcW w:w="920" w:type="dxa"/>
            <w:vAlign w:val="bottom"/>
            <w:shd w:val="clear" w:color="auto" w:fill="E6E7E8"/>
          </w:tcPr>
          <w:p>
            <w:pPr>
              <w:jc w:val="right"/>
              <w:ind w:right="27"/>
              <w:spacing w:after="0"/>
              <w:rPr>
                <w:sz w:val="20"/>
                <w:szCs w:val="20"/>
                <w:color w:val="auto"/>
              </w:rPr>
            </w:pPr>
            <w:r>
              <w:rPr>
                <w:rFonts w:ascii="Times New Roman" w:cs="Times New Roman" w:eastAsia="Times New Roman" w:hAnsi="Times New Roman"/>
                <w:sz w:val="19"/>
                <w:szCs w:val="19"/>
                <w:color w:val="231F20"/>
              </w:rPr>
              <w:t>37.1</w:t>
            </w:r>
          </w:p>
        </w:tc>
        <w:tc>
          <w:tcPr>
            <w:tcW w:w="100" w:type="dxa"/>
            <w:vAlign w:val="bottom"/>
            <w:shd w:val="clear" w:color="auto" w:fill="E6E7E8"/>
          </w:tcPr>
          <w:p>
            <w:pPr>
              <w:spacing w:after="0"/>
              <w:rPr>
                <w:sz w:val="20"/>
                <w:szCs w:val="20"/>
                <w:color w:val="auto"/>
              </w:rPr>
            </w:pPr>
          </w:p>
        </w:tc>
        <w:tc>
          <w:tcPr>
            <w:tcW w:w="160" w:type="dxa"/>
            <w:vAlign w:val="bottom"/>
            <w:shd w:val="clear" w:color="auto" w:fill="E6E7E8"/>
          </w:tcPr>
          <w:p>
            <w:pPr>
              <w:spacing w:after="0"/>
              <w:rPr>
                <w:sz w:val="20"/>
                <w:szCs w:val="20"/>
                <w:color w:val="auto"/>
              </w:rPr>
            </w:pPr>
          </w:p>
        </w:tc>
        <w:tc>
          <w:tcPr>
            <w:tcW w:w="820" w:type="dxa"/>
            <w:vAlign w:val="bottom"/>
            <w:shd w:val="clear" w:color="auto" w:fill="E6E7E8"/>
          </w:tcPr>
          <w:p>
            <w:pPr>
              <w:jc w:val="right"/>
              <w:ind w:right="6"/>
              <w:spacing w:after="0"/>
              <w:rPr>
                <w:sz w:val="20"/>
                <w:szCs w:val="20"/>
                <w:color w:val="auto"/>
              </w:rPr>
            </w:pPr>
            <w:r>
              <w:rPr>
                <w:rFonts w:ascii="Times New Roman" w:cs="Times New Roman" w:eastAsia="Times New Roman" w:hAnsi="Times New Roman"/>
                <w:sz w:val="19"/>
                <w:szCs w:val="19"/>
                <w:color w:val="231F20"/>
              </w:rPr>
              <w:t>0.6</w:t>
            </w:r>
          </w:p>
        </w:tc>
        <w:tc>
          <w:tcPr>
            <w:tcW w:w="10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800" w:type="dxa"/>
            <w:vAlign w:val="bottom"/>
            <w:shd w:val="clear" w:color="auto" w:fill="E6E7E8"/>
          </w:tcPr>
          <w:p>
            <w:pPr>
              <w:jc w:val="right"/>
              <w:ind w:right="6"/>
              <w:spacing w:after="0"/>
              <w:rPr>
                <w:sz w:val="20"/>
                <w:szCs w:val="20"/>
                <w:color w:val="auto"/>
              </w:rPr>
            </w:pPr>
            <w:r>
              <w:rPr>
                <w:rFonts w:ascii="Times New Roman" w:cs="Times New Roman" w:eastAsia="Times New Roman" w:hAnsi="Times New Roman"/>
                <w:sz w:val="19"/>
                <w:szCs w:val="19"/>
                <w:color w:val="231F20"/>
              </w:rPr>
              <w:t>37.7</w:t>
            </w:r>
          </w:p>
        </w:tc>
      </w:tr>
      <w:tr>
        <w:trPr>
          <w:trHeight w:val="232"/>
        </w:trPr>
        <w:tc>
          <w:tcPr>
            <w:tcW w:w="4340" w:type="dxa"/>
            <w:vAlign w:val="bottom"/>
            <w:tcBorders>
              <w:bottom w:val="single" w:sz="8" w:color="E6E7E8"/>
            </w:tcBorders>
            <w:gridSpan w:val="2"/>
          </w:tcPr>
          <w:p>
            <w:pPr>
              <w:spacing w:after="0"/>
              <w:rPr>
                <w:sz w:val="20"/>
                <w:szCs w:val="20"/>
                <w:color w:val="auto"/>
              </w:rPr>
            </w:pPr>
            <w:r>
              <w:rPr>
                <w:rFonts w:ascii="Times New Roman" w:cs="Times New Roman" w:eastAsia="Times New Roman" w:hAnsi="Times New Roman"/>
                <w:sz w:val="19"/>
                <w:szCs w:val="19"/>
                <w:color w:val="231F20"/>
              </w:rPr>
              <w:t>Provision for Income Taxes</w:t>
            </w:r>
          </w:p>
        </w:tc>
        <w:tc>
          <w:tcPr>
            <w:tcW w:w="140" w:type="dxa"/>
            <w:vAlign w:val="bottom"/>
            <w:tcBorders>
              <w:bottom w:val="single" w:sz="8" w:color="231F20"/>
            </w:tcBorders>
          </w:tcPr>
          <w:p>
            <w:pPr>
              <w:spacing w:after="0"/>
              <w:rPr>
                <w:sz w:val="20"/>
                <w:szCs w:val="20"/>
                <w:color w:val="auto"/>
              </w:rPr>
            </w:pPr>
          </w:p>
        </w:tc>
        <w:tc>
          <w:tcPr>
            <w:tcW w:w="860" w:type="dxa"/>
            <w:vAlign w:val="bottom"/>
            <w:tcBorders>
              <w:bottom w:val="single" w:sz="8" w:color="231F20"/>
            </w:tcBorders>
          </w:tcPr>
          <w:p>
            <w:pPr>
              <w:jc w:val="right"/>
              <w:ind w:right="6"/>
              <w:spacing w:after="0"/>
              <w:rPr>
                <w:sz w:val="20"/>
                <w:szCs w:val="20"/>
                <w:color w:val="auto"/>
              </w:rPr>
            </w:pPr>
            <w:r>
              <w:rPr>
                <w:rFonts w:ascii="Times New Roman" w:cs="Times New Roman" w:eastAsia="Times New Roman" w:hAnsi="Times New Roman"/>
                <w:sz w:val="19"/>
                <w:szCs w:val="19"/>
                <w:color w:val="231F20"/>
              </w:rPr>
              <w:t>3.8</w:t>
            </w:r>
          </w:p>
        </w:tc>
        <w:tc>
          <w:tcPr>
            <w:tcW w:w="100" w:type="dxa"/>
            <w:vAlign w:val="bottom"/>
            <w:tcBorders>
              <w:bottom w:val="single" w:sz="8" w:color="E6E7E8"/>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tcPr>
          <w:p>
            <w:pPr>
              <w:jc w:val="right"/>
              <w:ind w:right="26"/>
              <w:spacing w:after="0"/>
              <w:rPr>
                <w:sz w:val="20"/>
                <w:szCs w:val="20"/>
                <w:color w:val="auto"/>
              </w:rPr>
            </w:pPr>
            <w:r>
              <w:rPr>
                <w:rFonts w:ascii="Times New Roman" w:cs="Times New Roman" w:eastAsia="Times New Roman" w:hAnsi="Times New Roman"/>
                <w:sz w:val="19"/>
                <w:szCs w:val="19"/>
                <w:color w:val="231F20"/>
              </w:rPr>
              <w:t>11.2</w:t>
            </w:r>
          </w:p>
        </w:tc>
        <w:tc>
          <w:tcPr>
            <w:tcW w:w="80" w:type="dxa"/>
            <w:vAlign w:val="bottom"/>
            <w:tcBorders>
              <w:bottom w:val="single" w:sz="8" w:color="E6E7E8"/>
            </w:tcBorders>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27"/>
              <w:spacing w:after="0"/>
              <w:rPr>
                <w:sz w:val="20"/>
                <w:szCs w:val="20"/>
                <w:color w:val="auto"/>
              </w:rPr>
            </w:pPr>
            <w:r>
              <w:rPr>
                <w:rFonts w:ascii="Times New Roman" w:cs="Times New Roman" w:eastAsia="Times New Roman" w:hAnsi="Times New Roman"/>
                <w:sz w:val="19"/>
                <w:szCs w:val="19"/>
                <w:color w:val="231F20"/>
              </w:rPr>
              <w:t>15.0</w:t>
            </w:r>
          </w:p>
        </w:tc>
        <w:tc>
          <w:tcPr>
            <w:tcW w:w="100" w:type="dxa"/>
            <w:vAlign w:val="bottom"/>
            <w:tcBorders>
              <w:bottom w:val="single" w:sz="8" w:color="E6E7E8"/>
            </w:tcBorders>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(1.0)</w:t>
            </w:r>
          </w:p>
        </w:tc>
        <w:tc>
          <w:tcPr>
            <w:tcW w:w="100" w:type="dxa"/>
            <w:vAlign w:val="bottom"/>
            <w:tcBorders>
              <w:bottom w:val="single" w:sz="8" w:color="E6E7E8"/>
            </w:tcBorders>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tcPr>
          <w:p>
            <w:pPr>
              <w:jc w:val="right"/>
              <w:ind w:right="6"/>
              <w:spacing w:after="0"/>
              <w:rPr>
                <w:sz w:val="20"/>
                <w:szCs w:val="20"/>
                <w:color w:val="auto"/>
              </w:rPr>
            </w:pPr>
            <w:r>
              <w:rPr>
                <w:rFonts w:ascii="Times New Roman" w:cs="Times New Roman" w:eastAsia="Times New Roman" w:hAnsi="Times New Roman"/>
                <w:sz w:val="19"/>
                <w:szCs w:val="19"/>
                <w:color w:val="231F20"/>
              </w:rPr>
              <w:t>14.0</w:t>
            </w:r>
          </w:p>
        </w:tc>
      </w:tr>
      <w:tr>
        <w:trPr>
          <w:trHeight w:val="228"/>
        </w:trPr>
        <w:tc>
          <w:tcPr>
            <w:tcW w:w="434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19"/>
                <w:szCs w:val="19"/>
                <w:color w:val="231F20"/>
              </w:rPr>
              <w:t>Net Income Attributable to Commons Shares</w:t>
            </w:r>
          </w:p>
        </w:tc>
        <w:tc>
          <w:tcPr>
            <w:tcW w:w="140" w:type="dxa"/>
            <w:vAlign w:val="bottom"/>
            <w:shd w:val="clear" w:color="auto" w:fill="E6E7E8"/>
          </w:tcPr>
          <w:p>
            <w:pPr>
              <w:spacing w:after="0"/>
              <w:rPr>
                <w:sz w:val="19"/>
                <w:szCs w:val="19"/>
                <w:color w:val="auto"/>
              </w:rPr>
            </w:pPr>
          </w:p>
        </w:tc>
        <w:tc>
          <w:tcPr>
            <w:tcW w:w="860" w:type="dxa"/>
            <w:vAlign w:val="bottom"/>
            <w:shd w:val="clear" w:color="auto" w:fill="E6E7E8"/>
          </w:tcPr>
          <w:p>
            <w:pPr>
              <w:jc w:val="right"/>
              <w:ind w:right="6"/>
              <w:spacing w:after="0"/>
              <w:rPr>
                <w:sz w:val="20"/>
                <w:szCs w:val="20"/>
                <w:color w:val="auto"/>
              </w:rPr>
            </w:pPr>
            <w:r>
              <w:rPr>
                <w:rFonts w:ascii="Times New Roman" w:cs="Times New Roman" w:eastAsia="Times New Roman" w:hAnsi="Times New Roman"/>
                <w:sz w:val="19"/>
                <w:szCs w:val="19"/>
                <w:color w:val="231F20"/>
              </w:rPr>
              <w:t>16.6</w:t>
            </w:r>
          </w:p>
        </w:tc>
        <w:tc>
          <w:tcPr>
            <w:tcW w:w="10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c>
          <w:tcPr>
            <w:tcW w:w="800" w:type="dxa"/>
            <w:vAlign w:val="bottom"/>
            <w:shd w:val="clear" w:color="auto" w:fill="E6E7E8"/>
          </w:tcPr>
          <w:p>
            <w:pPr>
              <w:jc w:val="right"/>
              <w:ind w:right="26"/>
              <w:spacing w:after="0"/>
              <w:rPr>
                <w:sz w:val="20"/>
                <w:szCs w:val="20"/>
                <w:color w:val="auto"/>
              </w:rPr>
            </w:pPr>
            <w:r>
              <w:rPr>
                <w:rFonts w:ascii="Times New Roman" w:cs="Times New Roman" w:eastAsia="Times New Roman" w:hAnsi="Times New Roman"/>
                <w:sz w:val="19"/>
                <w:szCs w:val="19"/>
                <w:color w:val="231F20"/>
              </w:rPr>
              <w:t>30.8</w:t>
            </w:r>
          </w:p>
        </w:tc>
        <w:tc>
          <w:tcPr>
            <w:tcW w:w="8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920" w:type="dxa"/>
            <w:vAlign w:val="bottom"/>
            <w:shd w:val="clear" w:color="auto" w:fill="E6E7E8"/>
          </w:tcPr>
          <w:p>
            <w:pPr>
              <w:jc w:val="right"/>
              <w:ind w:right="27"/>
              <w:spacing w:after="0"/>
              <w:rPr>
                <w:sz w:val="20"/>
                <w:szCs w:val="20"/>
                <w:color w:val="auto"/>
              </w:rPr>
            </w:pPr>
            <w:r>
              <w:rPr>
                <w:rFonts w:ascii="Times New Roman" w:cs="Times New Roman" w:eastAsia="Times New Roman" w:hAnsi="Times New Roman"/>
                <w:sz w:val="19"/>
                <w:szCs w:val="19"/>
                <w:color w:val="231F20"/>
              </w:rPr>
              <w:t>47.4</w:t>
            </w:r>
          </w:p>
        </w:tc>
        <w:tc>
          <w:tcPr>
            <w:tcW w:w="100" w:type="dxa"/>
            <w:vAlign w:val="bottom"/>
            <w:shd w:val="clear" w:color="auto" w:fill="E6E7E8"/>
          </w:tcPr>
          <w:p>
            <w:pPr>
              <w:spacing w:after="0"/>
              <w:rPr>
                <w:sz w:val="19"/>
                <w:szCs w:val="19"/>
                <w:color w:val="auto"/>
              </w:rPr>
            </w:pPr>
          </w:p>
        </w:tc>
        <w:tc>
          <w:tcPr>
            <w:tcW w:w="160" w:type="dxa"/>
            <w:vAlign w:val="bottom"/>
            <w:shd w:val="clear" w:color="auto" w:fill="E6E7E8"/>
          </w:tcPr>
          <w:p>
            <w:pPr>
              <w:spacing w:after="0"/>
              <w:rPr>
                <w:sz w:val="19"/>
                <w:szCs w:val="19"/>
                <w:color w:val="auto"/>
              </w:rPr>
            </w:pPr>
          </w:p>
        </w:tc>
        <w:tc>
          <w:tcPr>
            <w:tcW w:w="8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(0.3)</w:t>
            </w:r>
          </w:p>
        </w:tc>
        <w:tc>
          <w:tcPr>
            <w:tcW w:w="100" w:type="dxa"/>
            <w:vAlign w:val="bottom"/>
            <w:shd w:val="clear" w:color="auto" w:fill="E6E7E8"/>
          </w:tcPr>
          <w:p>
            <w:pPr>
              <w:spacing w:after="0"/>
              <w:rPr>
                <w:sz w:val="19"/>
                <w:szCs w:val="19"/>
                <w:color w:val="auto"/>
              </w:rPr>
            </w:pPr>
          </w:p>
        </w:tc>
        <w:tc>
          <w:tcPr>
            <w:tcW w:w="180" w:type="dxa"/>
            <w:vAlign w:val="bottom"/>
            <w:shd w:val="clear" w:color="auto" w:fill="E6E7E8"/>
          </w:tcPr>
          <w:p>
            <w:pPr>
              <w:spacing w:after="0"/>
              <w:rPr>
                <w:sz w:val="19"/>
                <w:szCs w:val="19"/>
                <w:color w:val="auto"/>
              </w:rPr>
            </w:pPr>
          </w:p>
        </w:tc>
        <w:tc>
          <w:tcPr>
            <w:tcW w:w="800" w:type="dxa"/>
            <w:vAlign w:val="bottom"/>
            <w:shd w:val="clear" w:color="auto" w:fill="E6E7E8"/>
          </w:tcPr>
          <w:p>
            <w:pPr>
              <w:jc w:val="right"/>
              <w:ind w:right="6"/>
              <w:spacing w:after="0"/>
              <w:rPr>
                <w:sz w:val="20"/>
                <w:szCs w:val="20"/>
                <w:color w:val="auto"/>
              </w:rPr>
            </w:pPr>
            <w:r>
              <w:rPr>
                <w:rFonts w:ascii="Times New Roman" w:cs="Times New Roman" w:eastAsia="Times New Roman" w:hAnsi="Times New Roman"/>
                <w:sz w:val="19"/>
                <w:szCs w:val="19"/>
                <w:color w:val="231F20"/>
              </w:rPr>
              <w:t>47.1</w:t>
            </w:r>
          </w:p>
        </w:tc>
      </w:tr>
      <w:tr>
        <w:trPr>
          <w:trHeight w:val="465"/>
        </w:trPr>
        <w:tc>
          <w:tcPr>
            <w:tcW w:w="434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Segment Assets</w:t>
            </w:r>
          </w:p>
        </w:tc>
        <w:tc>
          <w:tcPr>
            <w:tcW w:w="140" w:type="dxa"/>
            <w:vAlign w:val="bottom"/>
          </w:tcPr>
          <w:p>
            <w:pPr>
              <w:spacing w:after="0"/>
              <w:rPr>
                <w:sz w:val="24"/>
                <w:szCs w:val="24"/>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31F20"/>
              </w:rPr>
              <w:t>647.2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231F20"/>
              </w:rPr>
              <w:t>1,115.3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27"/>
              <w:spacing w:after="0"/>
              <w:rPr>
                <w:sz w:val="20"/>
                <w:szCs w:val="20"/>
                <w:color w:val="auto"/>
              </w:rPr>
            </w:pPr>
            <w:r>
              <w:rPr>
                <w:rFonts w:ascii="Times New Roman" w:cs="Times New Roman" w:eastAsia="Times New Roman" w:hAnsi="Times New Roman"/>
                <w:sz w:val="19"/>
                <w:szCs w:val="19"/>
                <w:color w:val="231F20"/>
              </w:rPr>
              <w:t>1,762.5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31F20"/>
              </w:rPr>
              <w:t>32.0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31F20"/>
              </w:rPr>
              <w:t>1,794.5</w:t>
            </w:r>
          </w:p>
        </w:tc>
      </w:tr>
      <w:tr>
        <w:trPr>
          <w:trHeight w:val="233"/>
        </w:trPr>
        <w:tc>
          <w:tcPr>
            <w:tcW w:w="434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19"/>
                <w:szCs w:val="19"/>
                <w:color w:val="231F20"/>
              </w:rPr>
              <w:t>Capital Expenditures</w:t>
            </w:r>
          </w:p>
        </w:tc>
        <w:tc>
          <w:tcPr>
            <w:tcW w:w="140" w:type="dxa"/>
            <w:vAlign w:val="bottom"/>
            <w:shd w:val="clear" w:color="auto" w:fill="E6E7E8"/>
          </w:tcPr>
          <w:p>
            <w:pPr>
              <w:spacing w:after="0"/>
              <w:rPr>
                <w:sz w:val="20"/>
                <w:szCs w:val="20"/>
                <w:color w:val="auto"/>
              </w:rPr>
            </w:pPr>
          </w:p>
        </w:tc>
        <w:tc>
          <w:tcPr>
            <w:tcW w:w="860" w:type="dxa"/>
            <w:vAlign w:val="bottom"/>
            <w:shd w:val="clear" w:color="auto" w:fill="E6E7E8"/>
          </w:tcPr>
          <w:p>
            <w:pPr>
              <w:jc w:val="right"/>
              <w:ind w:right="6"/>
              <w:spacing w:after="0"/>
              <w:rPr>
                <w:sz w:val="20"/>
                <w:szCs w:val="20"/>
                <w:color w:val="auto"/>
              </w:rPr>
            </w:pPr>
            <w:r>
              <w:rPr>
                <w:rFonts w:ascii="Times New Roman" w:cs="Times New Roman" w:eastAsia="Times New Roman" w:hAnsi="Times New Roman"/>
                <w:sz w:val="19"/>
                <w:szCs w:val="19"/>
                <w:color w:val="231F20"/>
              </w:rPr>
              <w:t>61.8</w:t>
            </w:r>
          </w:p>
        </w:tc>
        <w:tc>
          <w:tcPr>
            <w:tcW w:w="100" w:type="dxa"/>
            <w:vAlign w:val="bottom"/>
            <w:shd w:val="clear" w:color="auto" w:fill="E6E7E8"/>
          </w:tcPr>
          <w:p>
            <w:pPr>
              <w:spacing w:after="0"/>
              <w:rPr>
                <w:sz w:val="20"/>
                <w:szCs w:val="20"/>
                <w:color w:val="auto"/>
              </w:rPr>
            </w:pPr>
          </w:p>
        </w:tc>
        <w:tc>
          <w:tcPr>
            <w:tcW w:w="200" w:type="dxa"/>
            <w:vAlign w:val="bottom"/>
            <w:shd w:val="clear" w:color="auto" w:fill="E6E7E8"/>
          </w:tcPr>
          <w:p>
            <w:pPr>
              <w:spacing w:after="0"/>
              <w:rPr>
                <w:sz w:val="20"/>
                <w:szCs w:val="20"/>
                <w:color w:val="auto"/>
              </w:rPr>
            </w:pPr>
          </w:p>
        </w:tc>
        <w:tc>
          <w:tcPr>
            <w:tcW w:w="800" w:type="dxa"/>
            <w:vAlign w:val="bottom"/>
            <w:shd w:val="clear" w:color="auto" w:fill="E6E7E8"/>
          </w:tcPr>
          <w:p>
            <w:pPr>
              <w:jc w:val="right"/>
              <w:ind w:right="26"/>
              <w:spacing w:after="0"/>
              <w:rPr>
                <w:sz w:val="20"/>
                <w:szCs w:val="20"/>
                <w:color w:val="auto"/>
              </w:rPr>
            </w:pPr>
            <w:r>
              <w:rPr>
                <w:rFonts w:ascii="Times New Roman" w:cs="Times New Roman" w:eastAsia="Times New Roman" w:hAnsi="Times New Roman"/>
                <w:sz w:val="19"/>
                <w:szCs w:val="19"/>
                <w:color w:val="231F20"/>
              </w:rPr>
              <w:t>103.9</w:t>
            </w:r>
          </w:p>
        </w:tc>
        <w:tc>
          <w:tcPr>
            <w:tcW w:w="80" w:type="dxa"/>
            <w:vAlign w:val="bottom"/>
            <w:shd w:val="clear" w:color="auto" w:fill="E6E7E8"/>
          </w:tcPr>
          <w:p>
            <w:pPr>
              <w:spacing w:after="0"/>
              <w:rPr>
                <w:sz w:val="20"/>
                <w:szCs w:val="20"/>
                <w:color w:val="auto"/>
              </w:rPr>
            </w:pPr>
          </w:p>
        </w:tc>
        <w:tc>
          <w:tcPr>
            <w:tcW w:w="120" w:type="dxa"/>
            <w:vAlign w:val="bottom"/>
            <w:shd w:val="clear" w:color="auto" w:fill="E6E7E8"/>
          </w:tcPr>
          <w:p>
            <w:pPr>
              <w:spacing w:after="0"/>
              <w:rPr>
                <w:sz w:val="20"/>
                <w:szCs w:val="20"/>
                <w:color w:val="auto"/>
              </w:rPr>
            </w:pPr>
          </w:p>
        </w:tc>
        <w:tc>
          <w:tcPr>
            <w:tcW w:w="920" w:type="dxa"/>
            <w:vAlign w:val="bottom"/>
            <w:shd w:val="clear" w:color="auto" w:fill="E6E7E8"/>
          </w:tcPr>
          <w:p>
            <w:pPr>
              <w:jc w:val="right"/>
              <w:ind w:right="27"/>
              <w:spacing w:after="0"/>
              <w:rPr>
                <w:sz w:val="20"/>
                <w:szCs w:val="20"/>
                <w:color w:val="auto"/>
              </w:rPr>
            </w:pPr>
            <w:r>
              <w:rPr>
                <w:rFonts w:ascii="Times New Roman" w:cs="Times New Roman" w:eastAsia="Times New Roman" w:hAnsi="Times New Roman"/>
                <w:sz w:val="19"/>
                <w:szCs w:val="19"/>
                <w:color w:val="231F20"/>
              </w:rPr>
              <w:t>165.7</w:t>
            </w:r>
          </w:p>
        </w:tc>
        <w:tc>
          <w:tcPr>
            <w:tcW w:w="100" w:type="dxa"/>
            <w:vAlign w:val="bottom"/>
            <w:shd w:val="clear" w:color="auto" w:fill="E6E7E8"/>
          </w:tcPr>
          <w:p>
            <w:pPr>
              <w:spacing w:after="0"/>
              <w:rPr>
                <w:sz w:val="20"/>
                <w:szCs w:val="20"/>
                <w:color w:val="auto"/>
              </w:rPr>
            </w:pPr>
          </w:p>
        </w:tc>
        <w:tc>
          <w:tcPr>
            <w:tcW w:w="160" w:type="dxa"/>
            <w:vAlign w:val="bottom"/>
            <w:shd w:val="clear" w:color="auto" w:fill="E6E7E8"/>
          </w:tcPr>
          <w:p>
            <w:pPr>
              <w:spacing w:after="0"/>
              <w:rPr>
                <w:sz w:val="20"/>
                <w:szCs w:val="20"/>
                <w:color w:val="auto"/>
              </w:rPr>
            </w:pPr>
          </w:p>
        </w:tc>
        <w:tc>
          <w:tcPr>
            <w:tcW w:w="820" w:type="dxa"/>
            <w:vAlign w:val="bottom"/>
            <w:shd w:val="clear" w:color="auto" w:fill="E6E7E8"/>
          </w:tcPr>
          <w:p>
            <w:pPr>
              <w:jc w:val="right"/>
              <w:ind w:right="6"/>
              <w:spacing w:after="0"/>
              <w:rPr>
                <w:sz w:val="20"/>
                <w:szCs w:val="20"/>
                <w:color w:val="auto"/>
              </w:rPr>
            </w:pPr>
            <w:r>
              <w:rPr>
                <w:rFonts w:ascii="Times New Roman" w:cs="Times New Roman" w:eastAsia="Times New Roman" w:hAnsi="Times New Roman"/>
                <w:sz w:val="19"/>
                <w:szCs w:val="19"/>
                <w:color w:val="231F20"/>
              </w:rPr>
              <w:t>4.2</w:t>
            </w:r>
          </w:p>
        </w:tc>
        <w:tc>
          <w:tcPr>
            <w:tcW w:w="10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800" w:type="dxa"/>
            <w:vAlign w:val="bottom"/>
            <w:shd w:val="clear" w:color="auto" w:fill="E6E7E8"/>
          </w:tcPr>
          <w:p>
            <w:pPr>
              <w:jc w:val="right"/>
              <w:ind w:right="6"/>
              <w:spacing w:after="0"/>
              <w:rPr>
                <w:sz w:val="20"/>
                <w:szCs w:val="20"/>
                <w:color w:val="auto"/>
              </w:rPr>
            </w:pPr>
            <w:r>
              <w:rPr>
                <w:rFonts w:ascii="Times New Roman" w:cs="Times New Roman" w:eastAsia="Times New Roman" w:hAnsi="Times New Roman"/>
                <w:sz w:val="19"/>
                <w:szCs w:val="19"/>
                <w:color w:val="231F20"/>
              </w:rPr>
              <w:t>169.9</w:t>
            </w:r>
          </w:p>
        </w:tc>
      </w:tr>
      <w:tr>
        <w:trPr>
          <w:trHeight w:val="409"/>
        </w:trPr>
        <w:tc>
          <w:tcPr>
            <w:tcW w:w="21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ind w:right="147"/>
              <w:spacing w:after="0"/>
              <w:rPr>
                <w:sz w:val="20"/>
                <w:szCs w:val="20"/>
                <w:color w:val="auto"/>
              </w:rPr>
            </w:pPr>
            <w:r>
              <w:rPr>
                <w:rFonts w:ascii="Times New Roman" w:cs="Times New Roman" w:eastAsia="Times New Roman" w:hAnsi="Times New Roman"/>
                <w:sz w:val="16"/>
                <w:szCs w:val="16"/>
                <w:b w:val="1"/>
                <w:bCs w:val="1"/>
                <w:color w:val="231F20"/>
                <w:w w:val="98"/>
              </w:rPr>
              <w:t>Total</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4"/>
        </w:trPr>
        <w:tc>
          <w:tcPr>
            <w:tcW w:w="21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center"/>
              <w:ind w:right="27"/>
              <w:spacing w:after="0"/>
              <w:rPr>
                <w:sz w:val="20"/>
                <w:szCs w:val="20"/>
                <w:color w:val="auto"/>
              </w:rPr>
            </w:pPr>
            <w:r>
              <w:rPr>
                <w:rFonts w:ascii="Times New Roman" w:cs="Times New Roman" w:eastAsia="Times New Roman" w:hAnsi="Times New Roman"/>
                <w:sz w:val="16"/>
                <w:szCs w:val="16"/>
                <w:b w:val="1"/>
                <w:bCs w:val="1"/>
                <w:color w:val="231F20"/>
                <w:w w:val="99"/>
              </w:rPr>
              <w:t>Reportable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9"/>
        </w:trPr>
        <w:tc>
          <w:tcPr>
            <w:tcW w:w="216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w w:val="99"/>
              </w:rPr>
              <w:t>Year Ended December 31, 2023</w:t>
            </w:r>
          </w:p>
        </w:tc>
        <w:tc>
          <w:tcPr>
            <w:tcW w:w="2180" w:type="dxa"/>
            <w:vAlign w:val="bottom"/>
            <w:tcBorders>
              <w:bottom w:val="single" w:sz="8" w:color="E6E7E8"/>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jc w:val="right"/>
              <w:ind w:right="186"/>
              <w:spacing w:after="0"/>
              <w:rPr>
                <w:sz w:val="20"/>
                <w:szCs w:val="20"/>
                <w:color w:val="auto"/>
              </w:rPr>
            </w:pPr>
            <w:r>
              <w:rPr>
                <w:rFonts w:ascii="Times New Roman" w:cs="Times New Roman" w:eastAsia="Times New Roman" w:hAnsi="Times New Roman"/>
                <w:sz w:val="16"/>
                <w:szCs w:val="16"/>
                <w:b w:val="1"/>
                <w:bCs w:val="1"/>
                <w:color w:val="231F20"/>
              </w:rPr>
              <w:t>Electric</w:t>
            </w:r>
          </w:p>
        </w:tc>
        <w:tc>
          <w:tcPr>
            <w:tcW w:w="100" w:type="dxa"/>
            <w:vAlign w:val="bottom"/>
            <w:tcBorders>
              <w:bottom w:val="single" w:sz="8" w:color="E6E7E8"/>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800" w:type="dxa"/>
            <w:vAlign w:val="bottom"/>
            <w:tcBorders>
              <w:bottom w:val="single" w:sz="8" w:color="231F20"/>
            </w:tcBorders>
          </w:tcPr>
          <w:p>
            <w:pPr>
              <w:jc w:val="right"/>
              <w:ind w:right="326"/>
              <w:spacing w:after="0"/>
              <w:rPr>
                <w:sz w:val="20"/>
                <w:szCs w:val="20"/>
                <w:color w:val="auto"/>
              </w:rPr>
            </w:pPr>
            <w:r>
              <w:rPr>
                <w:rFonts w:ascii="Times New Roman" w:cs="Times New Roman" w:eastAsia="Times New Roman" w:hAnsi="Times New Roman"/>
                <w:sz w:val="16"/>
                <w:szCs w:val="16"/>
                <w:b w:val="1"/>
                <w:bCs w:val="1"/>
                <w:color w:val="231F20"/>
              </w:rPr>
              <w:t>Gas</w:t>
            </w:r>
          </w:p>
        </w:tc>
        <w:tc>
          <w:tcPr>
            <w:tcW w:w="80" w:type="dxa"/>
            <w:vAlign w:val="bottom"/>
            <w:tcBorders>
              <w:bottom w:val="single" w:sz="8" w:color="E6E7E8"/>
            </w:tcBorders>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tcPr>
          <w:p>
            <w:pPr>
              <w:jc w:val="center"/>
              <w:ind w:right="127"/>
              <w:spacing w:after="0"/>
              <w:rPr>
                <w:sz w:val="20"/>
                <w:szCs w:val="20"/>
                <w:color w:val="auto"/>
              </w:rPr>
            </w:pPr>
            <w:r>
              <w:rPr>
                <w:rFonts w:ascii="Times New Roman" w:cs="Times New Roman" w:eastAsia="Times New Roman" w:hAnsi="Times New Roman"/>
                <w:sz w:val="16"/>
                <w:szCs w:val="16"/>
                <w:b w:val="1"/>
                <w:bCs w:val="1"/>
                <w:color w:val="231F20"/>
              </w:rPr>
              <w:t>Segments</w:t>
            </w:r>
          </w:p>
        </w:tc>
        <w:tc>
          <w:tcPr>
            <w:tcW w:w="100" w:type="dxa"/>
            <w:vAlign w:val="bottom"/>
            <w:tcBorders>
              <w:bottom w:val="single" w:sz="8" w:color="E6E7E8"/>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820" w:type="dxa"/>
            <w:vAlign w:val="bottom"/>
            <w:tcBorders>
              <w:bottom w:val="single" w:sz="8" w:color="231F20"/>
            </w:tcBorders>
          </w:tcPr>
          <w:p>
            <w:pPr>
              <w:jc w:val="right"/>
              <w:ind w:right="246"/>
              <w:spacing w:after="0"/>
              <w:rPr>
                <w:sz w:val="20"/>
                <w:szCs w:val="20"/>
                <w:color w:val="auto"/>
              </w:rPr>
            </w:pPr>
            <w:r>
              <w:rPr>
                <w:rFonts w:ascii="Times New Roman" w:cs="Times New Roman" w:eastAsia="Times New Roman" w:hAnsi="Times New Roman"/>
                <w:sz w:val="16"/>
                <w:szCs w:val="16"/>
                <w:b w:val="1"/>
                <w:bCs w:val="1"/>
                <w:color w:val="231F20"/>
              </w:rPr>
              <w:t>Other</w:t>
            </w:r>
          </w:p>
        </w:tc>
        <w:tc>
          <w:tcPr>
            <w:tcW w:w="100" w:type="dxa"/>
            <w:vAlign w:val="bottom"/>
            <w:tcBorders>
              <w:bottom w:val="single" w:sz="8" w:color="E6E7E8"/>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800" w:type="dxa"/>
            <w:vAlign w:val="bottom"/>
            <w:tcBorders>
              <w:bottom w:val="single" w:sz="8" w:color="231F20"/>
            </w:tcBorders>
          </w:tcPr>
          <w:p>
            <w:pPr>
              <w:jc w:val="right"/>
              <w:ind w:right="266"/>
              <w:spacing w:after="0"/>
              <w:rPr>
                <w:sz w:val="20"/>
                <w:szCs w:val="20"/>
                <w:color w:val="auto"/>
              </w:rPr>
            </w:pPr>
            <w:r>
              <w:rPr>
                <w:rFonts w:ascii="Times New Roman" w:cs="Times New Roman" w:eastAsia="Times New Roman" w:hAnsi="Times New Roman"/>
                <w:sz w:val="16"/>
                <w:szCs w:val="16"/>
                <w:b w:val="1"/>
                <w:bCs w:val="1"/>
                <w:color w:val="231F20"/>
              </w:rPr>
              <w:t>Total</w:t>
            </w:r>
          </w:p>
        </w:tc>
      </w:tr>
      <w:tr>
        <w:trPr>
          <w:trHeight w:val="217"/>
        </w:trPr>
        <w:tc>
          <w:tcPr>
            <w:tcW w:w="4340" w:type="dxa"/>
            <w:vAlign w:val="bottom"/>
            <w:tcBorders>
              <w:top w:val="single" w:sz="8" w:color="E6E7E8"/>
            </w:tcBorders>
            <w:gridSpan w:val="2"/>
            <w:shd w:val="clear" w:color="auto" w:fill="E6E7E8"/>
          </w:tcPr>
          <w:p>
            <w:pPr>
              <w:spacing w:after="0" w:line="217" w:lineRule="exact"/>
              <w:rPr>
                <w:sz w:val="20"/>
                <w:szCs w:val="20"/>
                <w:color w:val="auto"/>
              </w:rPr>
            </w:pPr>
            <w:r>
              <w:rPr>
                <w:rFonts w:ascii="Times New Roman" w:cs="Times New Roman" w:eastAsia="Times New Roman" w:hAnsi="Times New Roman"/>
                <w:sz w:val="19"/>
                <w:szCs w:val="19"/>
                <w:color w:val="231F20"/>
              </w:rPr>
              <w:t>Total Operating Revenues</w:t>
            </w:r>
          </w:p>
        </w:tc>
        <w:tc>
          <w:tcPr>
            <w:tcW w:w="140" w:type="dxa"/>
            <w:vAlign w:val="bottom"/>
            <w:tcBorders>
              <w:top w:val="single" w:sz="8" w:color="231F20"/>
            </w:tcBorders>
            <w:shd w:val="clear" w:color="auto" w:fill="E6E7E8"/>
          </w:tcPr>
          <w:p>
            <w:pPr>
              <w:jc w:val="right"/>
              <w:spacing w:after="0" w:line="217" w:lineRule="exact"/>
              <w:rPr>
                <w:sz w:val="20"/>
                <w:szCs w:val="20"/>
                <w:color w:val="auto"/>
              </w:rPr>
            </w:pPr>
            <w:r>
              <w:rPr>
                <w:rFonts w:ascii="Times New Roman" w:cs="Times New Roman" w:eastAsia="Times New Roman" w:hAnsi="Times New Roman"/>
                <w:sz w:val="19"/>
                <w:szCs w:val="19"/>
                <w:color w:val="231F20"/>
                <w:w w:val="83"/>
              </w:rPr>
              <w:t>$</w:t>
            </w:r>
          </w:p>
        </w:tc>
        <w:tc>
          <w:tcPr>
            <w:tcW w:w="860" w:type="dxa"/>
            <w:vAlign w:val="bottom"/>
            <w:tcBorders>
              <w:top w:val="single" w:sz="8" w:color="231F20"/>
            </w:tcBorders>
            <w:shd w:val="clear" w:color="auto" w:fill="E6E7E8"/>
          </w:tcPr>
          <w:p>
            <w:pPr>
              <w:jc w:val="right"/>
              <w:ind w:right="6"/>
              <w:spacing w:after="0" w:line="217" w:lineRule="exact"/>
              <w:rPr>
                <w:sz w:val="20"/>
                <w:szCs w:val="20"/>
                <w:color w:val="auto"/>
              </w:rPr>
            </w:pPr>
            <w:r>
              <w:rPr>
                <w:rFonts w:ascii="Times New Roman" w:cs="Times New Roman" w:eastAsia="Times New Roman" w:hAnsi="Times New Roman"/>
                <w:sz w:val="19"/>
                <w:szCs w:val="19"/>
                <w:color w:val="231F20"/>
              </w:rPr>
              <w:t>306.5</w:t>
            </w:r>
          </w:p>
        </w:tc>
        <w:tc>
          <w:tcPr>
            <w:tcW w:w="100" w:type="dxa"/>
            <w:vAlign w:val="bottom"/>
            <w:tcBorders>
              <w:top w:val="single" w:sz="8" w:color="E6E7E8"/>
            </w:tcBorders>
            <w:shd w:val="clear" w:color="auto" w:fill="E6E7E8"/>
          </w:tcPr>
          <w:p>
            <w:pPr>
              <w:spacing w:after="0"/>
              <w:rPr>
                <w:sz w:val="18"/>
                <w:szCs w:val="18"/>
                <w:color w:val="auto"/>
              </w:rPr>
            </w:pPr>
          </w:p>
        </w:tc>
        <w:tc>
          <w:tcPr>
            <w:tcW w:w="200" w:type="dxa"/>
            <w:vAlign w:val="bottom"/>
            <w:tcBorders>
              <w:top w:val="single" w:sz="8" w:color="231F20"/>
            </w:tcBorders>
            <w:shd w:val="clear" w:color="auto" w:fill="E6E7E8"/>
          </w:tcPr>
          <w:p>
            <w:pPr>
              <w:jc w:val="right"/>
              <w:ind w:right="5"/>
              <w:spacing w:after="0" w:line="217" w:lineRule="exact"/>
              <w:rPr>
                <w:sz w:val="20"/>
                <w:szCs w:val="20"/>
                <w:color w:val="auto"/>
              </w:rPr>
            </w:pPr>
            <w:r>
              <w:rPr>
                <w:rFonts w:ascii="Times New Roman" w:cs="Times New Roman" w:eastAsia="Times New Roman" w:hAnsi="Times New Roman"/>
                <w:sz w:val="19"/>
                <w:szCs w:val="19"/>
                <w:color w:val="231F20"/>
                <w:w w:val="83"/>
              </w:rPr>
              <w:t>$</w:t>
            </w:r>
          </w:p>
        </w:tc>
        <w:tc>
          <w:tcPr>
            <w:tcW w:w="800" w:type="dxa"/>
            <w:vAlign w:val="bottom"/>
            <w:tcBorders>
              <w:top w:val="single" w:sz="8" w:color="231F20"/>
            </w:tcBorders>
            <w:shd w:val="clear" w:color="auto" w:fill="E6E7E8"/>
          </w:tcPr>
          <w:p>
            <w:pPr>
              <w:jc w:val="right"/>
              <w:ind w:right="26"/>
              <w:spacing w:after="0" w:line="217" w:lineRule="exact"/>
              <w:rPr>
                <w:sz w:val="20"/>
                <w:szCs w:val="20"/>
                <w:color w:val="auto"/>
              </w:rPr>
            </w:pPr>
            <w:r>
              <w:rPr>
                <w:rFonts w:ascii="Times New Roman" w:cs="Times New Roman" w:eastAsia="Times New Roman" w:hAnsi="Times New Roman"/>
                <w:sz w:val="19"/>
                <w:szCs w:val="19"/>
                <w:color w:val="231F20"/>
              </w:rPr>
              <w:t>250.6</w:t>
            </w:r>
          </w:p>
        </w:tc>
        <w:tc>
          <w:tcPr>
            <w:tcW w:w="80" w:type="dxa"/>
            <w:vAlign w:val="bottom"/>
            <w:tcBorders>
              <w:top w:val="single" w:sz="8" w:color="E6E7E8"/>
            </w:tcBorders>
            <w:shd w:val="clear" w:color="auto" w:fill="E6E7E8"/>
          </w:tcPr>
          <w:p>
            <w:pPr>
              <w:spacing w:after="0"/>
              <w:rPr>
                <w:sz w:val="18"/>
                <w:szCs w:val="18"/>
                <w:color w:val="auto"/>
              </w:rPr>
            </w:pPr>
          </w:p>
        </w:tc>
        <w:tc>
          <w:tcPr>
            <w:tcW w:w="120" w:type="dxa"/>
            <w:vAlign w:val="bottom"/>
            <w:tcBorders>
              <w:top w:val="single" w:sz="8" w:color="231F20"/>
            </w:tcBorders>
            <w:shd w:val="clear" w:color="auto" w:fill="E6E7E8"/>
          </w:tcPr>
          <w:p>
            <w:pPr>
              <w:jc w:val="right"/>
              <w:spacing w:after="0" w:line="217" w:lineRule="exact"/>
              <w:rPr>
                <w:sz w:val="20"/>
                <w:szCs w:val="20"/>
                <w:color w:val="auto"/>
              </w:rPr>
            </w:pPr>
            <w:r>
              <w:rPr>
                <w:rFonts w:ascii="Times New Roman" w:cs="Times New Roman" w:eastAsia="Times New Roman" w:hAnsi="Times New Roman"/>
                <w:sz w:val="19"/>
                <w:szCs w:val="19"/>
                <w:color w:val="231F20"/>
                <w:w w:val="83"/>
              </w:rPr>
              <w:t>$</w:t>
            </w:r>
          </w:p>
        </w:tc>
        <w:tc>
          <w:tcPr>
            <w:tcW w:w="920" w:type="dxa"/>
            <w:vAlign w:val="bottom"/>
            <w:tcBorders>
              <w:top w:val="single" w:sz="8" w:color="231F20"/>
            </w:tcBorders>
            <w:shd w:val="clear" w:color="auto" w:fill="E6E7E8"/>
          </w:tcPr>
          <w:p>
            <w:pPr>
              <w:jc w:val="right"/>
              <w:ind w:right="27"/>
              <w:spacing w:after="0" w:line="217" w:lineRule="exact"/>
              <w:rPr>
                <w:sz w:val="20"/>
                <w:szCs w:val="20"/>
                <w:color w:val="auto"/>
              </w:rPr>
            </w:pPr>
            <w:r>
              <w:rPr>
                <w:rFonts w:ascii="Times New Roman" w:cs="Times New Roman" w:eastAsia="Times New Roman" w:hAnsi="Times New Roman"/>
                <w:sz w:val="19"/>
                <w:szCs w:val="19"/>
                <w:color w:val="231F20"/>
              </w:rPr>
              <w:t>557.1</w:t>
            </w:r>
          </w:p>
        </w:tc>
        <w:tc>
          <w:tcPr>
            <w:tcW w:w="100" w:type="dxa"/>
            <w:vAlign w:val="bottom"/>
            <w:tcBorders>
              <w:top w:val="single" w:sz="8" w:color="E6E7E8"/>
            </w:tcBorders>
            <w:shd w:val="clear" w:color="auto" w:fill="E6E7E8"/>
          </w:tcPr>
          <w:p>
            <w:pPr>
              <w:spacing w:after="0"/>
              <w:rPr>
                <w:sz w:val="18"/>
                <w:szCs w:val="18"/>
                <w:color w:val="auto"/>
              </w:rPr>
            </w:pPr>
          </w:p>
        </w:tc>
        <w:tc>
          <w:tcPr>
            <w:tcW w:w="16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tcBorders>
              <w:top w:val="single" w:sz="8" w:color="231F20"/>
            </w:tcBorders>
            <w:shd w:val="clear" w:color="auto" w:fill="E6E7E8"/>
          </w:tcPr>
          <w:p>
            <w:pPr>
              <w:jc w:val="right"/>
              <w:ind w:right="6"/>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00" w:type="dxa"/>
            <w:vAlign w:val="bottom"/>
            <w:tcBorders>
              <w:top w:val="single" w:sz="8" w:color="E6E7E8"/>
            </w:tcBorders>
            <w:shd w:val="clear" w:color="auto" w:fill="E6E7E8"/>
          </w:tcPr>
          <w:p>
            <w:pPr>
              <w:spacing w:after="0"/>
              <w:rPr>
                <w:sz w:val="18"/>
                <w:szCs w:val="18"/>
                <w:color w:val="auto"/>
              </w:rPr>
            </w:pPr>
          </w:p>
        </w:tc>
        <w:tc>
          <w:tcPr>
            <w:tcW w:w="180" w:type="dxa"/>
            <w:vAlign w:val="bottom"/>
            <w:tcBorders>
              <w:top w:val="single" w:sz="8" w:color="231F20"/>
            </w:tcBorders>
            <w:shd w:val="clear" w:color="auto" w:fill="E6E7E8"/>
          </w:tcPr>
          <w:p>
            <w:pPr>
              <w:jc w:val="right"/>
              <w:spacing w:after="0" w:line="217" w:lineRule="exact"/>
              <w:rPr>
                <w:sz w:val="20"/>
                <w:szCs w:val="20"/>
                <w:color w:val="auto"/>
              </w:rPr>
            </w:pPr>
            <w:r>
              <w:rPr>
                <w:rFonts w:ascii="Times New Roman" w:cs="Times New Roman" w:eastAsia="Times New Roman" w:hAnsi="Times New Roman"/>
                <w:sz w:val="19"/>
                <w:szCs w:val="19"/>
                <w:color w:val="231F20"/>
                <w:w w:val="83"/>
              </w:rPr>
              <w:t>$</w:t>
            </w:r>
          </w:p>
        </w:tc>
        <w:tc>
          <w:tcPr>
            <w:tcW w:w="800" w:type="dxa"/>
            <w:vAlign w:val="bottom"/>
            <w:tcBorders>
              <w:top w:val="single" w:sz="8" w:color="231F20"/>
            </w:tcBorders>
            <w:shd w:val="clear" w:color="auto" w:fill="E6E7E8"/>
          </w:tcPr>
          <w:p>
            <w:pPr>
              <w:jc w:val="right"/>
              <w:ind w:right="6"/>
              <w:spacing w:after="0" w:line="217" w:lineRule="exact"/>
              <w:rPr>
                <w:sz w:val="20"/>
                <w:szCs w:val="20"/>
                <w:color w:val="auto"/>
              </w:rPr>
            </w:pPr>
            <w:r>
              <w:rPr>
                <w:rFonts w:ascii="Times New Roman" w:cs="Times New Roman" w:eastAsia="Times New Roman" w:hAnsi="Times New Roman"/>
                <w:sz w:val="19"/>
                <w:szCs w:val="19"/>
                <w:color w:val="231F20"/>
              </w:rPr>
              <w:t>557.1</w:t>
            </w:r>
          </w:p>
        </w:tc>
      </w:tr>
      <w:tr>
        <w:trPr>
          <w:trHeight w:val="233"/>
        </w:trPr>
        <w:tc>
          <w:tcPr>
            <w:tcW w:w="434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Energy Supply Costs</w:t>
            </w:r>
          </w:p>
        </w:tc>
        <w:tc>
          <w:tcPr>
            <w:tcW w:w="140" w:type="dxa"/>
            <w:vAlign w:val="bottom"/>
          </w:tcPr>
          <w:p>
            <w:pPr>
              <w:spacing w:after="0"/>
              <w:rPr>
                <w:sz w:val="20"/>
                <w:szCs w:val="20"/>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31F20"/>
              </w:rPr>
              <w:t>202.4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231F20"/>
              </w:rPr>
              <w:t>96.1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27"/>
              <w:spacing w:after="0"/>
              <w:rPr>
                <w:sz w:val="20"/>
                <w:szCs w:val="20"/>
                <w:color w:val="auto"/>
              </w:rPr>
            </w:pPr>
            <w:r>
              <w:rPr>
                <w:rFonts w:ascii="Times New Roman" w:cs="Times New Roman" w:eastAsia="Times New Roman" w:hAnsi="Times New Roman"/>
                <w:sz w:val="19"/>
                <w:szCs w:val="19"/>
                <w:color w:val="231F20"/>
              </w:rPr>
              <w:t>298.5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31F20"/>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31F20"/>
              </w:rPr>
              <w:t>298.5</w:t>
            </w:r>
          </w:p>
        </w:tc>
      </w:tr>
      <w:tr>
        <w:trPr>
          <w:trHeight w:val="233"/>
        </w:trPr>
        <w:tc>
          <w:tcPr>
            <w:tcW w:w="434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19"/>
                <w:szCs w:val="19"/>
                <w:color w:val="231F20"/>
              </w:rPr>
              <w:t>Operation and Maintenance</w:t>
            </w:r>
          </w:p>
        </w:tc>
        <w:tc>
          <w:tcPr>
            <w:tcW w:w="140" w:type="dxa"/>
            <w:vAlign w:val="bottom"/>
            <w:shd w:val="clear" w:color="auto" w:fill="E6E7E8"/>
          </w:tcPr>
          <w:p>
            <w:pPr>
              <w:spacing w:after="0"/>
              <w:rPr>
                <w:sz w:val="20"/>
                <w:szCs w:val="20"/>
                <w:color w:val="auto"/>
              </w:rPr>
            </w:pPr>
          </w:p>
        </w:tc>
        <w:tc>
          <w:tcPr>
            <w:tcW w:w="860" w:type="dxa"/>
            <w:vAlign w:val="bottom"/>
            <w:shd w:val="clear" w:color="auto" w:fill="E6E7E8"/>
          </w:tcPr>
          <w:p>
            <w:pPr>
              <w:jc w:val="right"/>
              <w:ind w:right="6"/>
              <w:spacing w:after="0"/>
              <w:rPr>
                <w:sz w:val="20"/>
                <w:szCs w:val="20"/>
                <w:color w:val="auto"/>
              </w:rPr>
            </w:pPr>
            <w:r>
              <w:rPr>
                <w:rFonts w:ascii="Times New Roman" w:cs="Times New Roman" w:eastAsia="Times New Roman" w:hAnsi="Times New Roman"/>
                <w:sz w:val="19"/>
                <w:szCs w:val="19"/>
                <w:color w:val="231F20"/>
              </w:rPr>
              <w:t>34.5</w:t>
            </w:r>
          </w:p>
        </w:tc>
        <w:tc>
          <w:tcPr>
            <w:tcW w:w="100" w:type="dxa"/>
            <w:vAlign w:val="bottom"/>
            <w:shd w:val="clear" w:color="auto" w:fill="E6E7E8"/>
          </w:tcPr>
          <w:p>
            <w:pPr>
              <w:spacing w:after="0"/>
              <w:rPr>
                <w:sz w:val="20"/>
                <w:szCs w:val="20"/>
                <w:color w:val="auto"/>
              </w:rPr>
            </w:pPr>
          </w:p>
        </w:tc>
        <w:tc>
          <w:tcPr>
            <w:tcW w:w="200" w:type="dxa"/>
            <w:vAlign w:val="bottom"/>
            <w:shd w:val="clear" w:color="auto" w:fill="E6E7E8"/>
          </w:tcPr>
          <w:p>
            <w:pPr>
              <w:spacing w:after="0"/>
              <w:rPr>
                <w:sz w:val="20"/>
                <w:szCs w:val="20"/>
                <w:color w:val="auto"/>
              </w:rPr>
            </w:pPr>
          </w:p>
        </w:tc>
        <w:tc>
          <w:tcPr>
            <w:tcW w:w="800" w:type="dxa"/>
            <w:vAlign w:val="bottom"/>
            <w:shd w:val="clear" w:color="auto" w:fill="E6E7E8"/>
          </w:tcPr>
          <w:p>
            <w:pPr>
              <w:jc w:val="right"/>
              <w:ind w:right="26"/>
              <w:spacing w:after="0"/>
              <w:rPr>
                <w:sz w:val="20"/>
                <w:szCs w:val="20"/>
                <w:color w:val="auto"/>
              </w:rPr>
            </w:pPr>
            <w:r>
              <w:rPr>
                <w:rFonts w:ascii="Times New Roman" w:cs="Times New Roman" w:eastAsia="Times New Roman" w:hAnsi="Times New Roman"/>
                <w:sz w:val="19"/>
                <w:szCs w:val="19"/>
                <w:color w:val="231F20"/>
              </w:rPr>
              <w:t>40.7</w:t>
            </w:r>
          </w:p>
        </w:tc>
        <w:tc>
          <w:tcPr>
            <w:tcW w:w="80" w:type="dxa"/>
            <w:vAlign w:val="bottom"/>
            <w:shd w:val="clear" w:color="auto" w:fill="E6E7E8"/>
          </w:tcPr>
          <w:p>
            <w:pPr>
              <w:spacing w:after="0"/>
              <w:rPr>
                <w:sz w:val="20"/>
                <w:szCs w:val="20"/>
                <w:color w:val="auto"/>
              </w:rPr>
            </w:pPr>
          </w:p>
        </w:tc>
        <w:tc>
          <w:tcPr>
            <w:tcW w:w="120" w:type="dxa"/>
            <w:vAlign w:val="bottom"/>
            <w:shd w:val="clear" w:color="auto" w:fill="E6E7E8"/>
          </w:tcPr>
          <w:p>
            <w:pPr>
              <w:spacing w:after="0"/>
              <w:rPr>
                <w:sz w:val="20"/>
                <w:szCs w:val="20"/>
                <w:color w:val="auto"/>
              </w:rPr>
            </w:pPr>
          </w:p>
        </w:tc>
        <w:tc>
          <w:tcPr>
            <w:tcW w:w="920" w:type="dxa"/>
            <w:vAlign w:val="bottom"/>
            <w:shd w:val="clear" w:color="auto" w:fill="E6E7E8"/>
          </w:tcPr>
          <w:p>
            <w:pPr>
              <w:jc w:val="right"/>
              <w:ind w:right="27"/>
              <w:spacing w:after="0"/>
              <w:rPr>
                <w:sz w:val="20"/>
                <w:szCs w:val="20"/>
                <w:color w:val="auto"/>
              </w:rPr>
            </w:pPr>
            <w:r>
              <w:rPr>
                <w:rFonts w:ascii="Times New Roman" w:cs="Times New Roman" w:eastAsia="Times New Roman" w:hAnsi="Times New Roman"/>
                <w:sz w:val="19"/>
                <w:szCs w:val="19"/>
                <w:color w:val="231F20"/>
              </w:rPr>
              <w:t>75.2</w:t>
            </w:r>
          </w:p>
        </w:tc>
        <w:tc>
          <w:tcPr>
            <w:tcW w:w="100" w:type="dxa"/>
            <w:vAlign w:val="bottom"/>
            <w:shd w:val="clear" w:color="auto" w:fill="E6E7E8"/>
          </w:tcPr>
          <w:p>
            <w:pPr>
              <w:spacing w:after="0"/>
              <w:rPr>
                <w:sz w:val="20"/>
                <w:szCs w:val="20"/>
                <w:color w:val="auto"/>
              </w:rPr>
            </w:pPr>
          </w:p>
        </w:tc>
        <w:tc>
          <w:tcPr>
            <w:tcW w:w="160" w:type="dxa"/>
            <w:vAlign w:val="bottom"/>
            <w:shd w:val="clear" w:color="auto" w:fill="E6E7E8"/>
          </w:tcPr>
          <w:p>
            <w:pPr>
              <w:spacing w:after="0"/>
              <w:rPr>
                <w:sz w:val="20"/>
                <w:szCs w:val="20"/>
                <w:color w:val="auto"/>
              </w:rPr>
            </w:pPr>
          </w:p>
        </w:tc>
        <w:tc>
          <w:tcPr>
            <w:tcW w:w="820" w:type="dxa"/>
            <w:vAlign w:val="bottom"/>
            <w:shd w:val="clear" w:color="auto" w:fill="E6E7E8"/>
          </w:tcPr>
          <w:p>
            <w:pPr>
              <w:jc w:val="right"/>
              <w:ind w:right="6"/>
              <w:spacing w:after="0"/>
              <w:rPr>
                <w:sz w:val="20"/>
                <w:szCs w:val="20"/>
                <w:color w:val="auto"/>
              </w:rPr>
            </w:pPr>
            <w:r>
              <w:rPr>
                <w:rFonts w:ascii="Times New Roman" w:cs="Times New Roman" w:eastAsia="Times New Roman" w:hAnsi="Times New Roman"/>
                <w:sz w:val="19"/>
                <w:szCs w:val="19"/>
                <w:color w:val="231F20"/>
              </w:rPr>
              <w:t>0.4</w:t>
            </w:r>
          </w:p>
        </w:tc>
        <w:tc>
          <w:tcPr>
            <w:tcW w:w="10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800" w:type="dxa"/>
            <w:vAlign w:val="bottom"/>
            <w:shd w:val="clear" w:color="auto" w:fill="E6E7E8"/>
          </w:tcPr>
          <w:p>
            <w:pPr>
              <w:jc w:val="right"/>
              <w:ind w:right="6"/>
              <w:spacing w:after="0"/>
              <w:rPr>
                <w:sz w:val="20"/>
                <w:szCs w:val="20"/>
                <w:color w:val="auto"/>
              </w:rPr>
            </w:pPr>
            <w:r>
              <w:rPr>
                <w:rFonts w:ascii="Times New Roman" w:cs="Times New Roman" w:eastAsia="Times New Roman" w:hAnsi="Times New Roman"/>
                <w:sz w:val="19"/>
                <w:szCs w:val="19"/>
                <w:color w:val="231F20"/>
              </w:rPr>
              <w:t>75.6</w:t>
            </w:r>
          </w:p>
        </w:tc>
      </w:tr>
      <w:tr>
        <w:trPr>
          <w:trHeight w:val="233"/>
        </w:trPr>
        <w:tc>
          <w:tcPr>
            <w:tcW w:w="434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Depreciation &amp; Amortization Expense</w:t>
            </w:r>
          </w:p>
        </w:tc>
        <w:tc>
          <w:tcPr>
            <w:tcW w:w="140" w:type="dxa"/>
            <w:vAlign w:val="bottom"/>
          </w:tcPr>
          <w:p>
            <w:pPr>
              <w:spacing w:after="0"/>
              <w:rPr>
                <w:sz w:val="20"/>
                <w:szCs w:val="20"/>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31F20"/>
              </w:rPr>
              <w:t>26.0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231F20"/>
              </w:rPr>
              <w:t>40.4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27"/>
              <w:spacing w:after="0"/>
              <w:rPr>
                <w:sz w:val="20"/>
                <w:szCs w:val="20"/>
                <w:color w:val="auto"/>
              </w:rPr>
            </w:pPr>
            <w:r>
              <w:rPr>
                <w:rFonts w:ascii="Times New Roman" w:cs="Times New Roman" w:eastAsia="Times New Roman" w:hAnsi="Times New Roman"/>
                <w:sz w:val="19"/>
                <w:szCs w:val="19"/>
                <w:color w:val="231F20"/>
              </w:rPr>
              <w:t>66.4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31F20"/>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31F20"/>
              </w:rPr>
              <w:t>67.4</w:t>
            </w:r>
          </w:p>
        </w:tc>
      </w:tr>
      <w:tr>
        <w:trPr>
          <w:trHeight w:val="233"/>
        </w:trPr>
        <w:tc>
          <w:tcPr>
            <w:tcW w:w="434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19"/>
                <w:szCs w:val="19"/>
                <w:color w:val="231F20"/>
              </w:rPr>
              <w:t>Other Segment Expenses (Income)</w:t>
            </w:r>
          </w:p>
        </w:tc>
        <w:tc>
          <w:tcPr>
            <w:tcW w:w="140" w:type="dxa"/>
            <w:vAlign w:val="bottom"/>
            <w:shd w:val="clear" w:color="auto" w:fill="E6E7E8"/>
          </w:tcPr>
          <w:p>
            <w:pPr>
              <w:spacing w:after="0"/>
              <w:rPr>
                <w:sz w:val="20"/>
                <w:szCs w:val="20"/>
                <w:color w:val="auto"/>
              </w:rPr>
            </w:pPr>
          </w:p>
        </w:tc>
        <w:tc>
          <w:tcPr>
            <w:tcW w:w="860" w:type="dxa"/>
            <w:vAlign w:val="bottom"/>
            <w:shd w:val="clear" w:color="auto" w:fill="E6E7E8"/>
          </w:tcPr>
          <w:p>
            <w:pPr>
              <w:jc w:val="right"/>
              <w:ind w:right="6"/>
              <w:spacing w:after="0"/>
              <w:rPr>
                <w:sz w:val="20"/>
                <w:szCs w:val="20"/>
                <w:color w:val="auto"/>
              </w:rPr>
            </w:pPr>
            <w:r>
              <w:rPr>
                <w:rFonts w:ascii="Times New Roman" w:cs="Times New Roman" w:eastAsia="Times New Roman" w:hAnsi="Times New Roman"/>
                <w:sz w:val="19"/>
                <w:szCs w:val="19"/>
                <w:color w:val="231F20"/>
              </w:rPr>
              <w:t>13.1</w:t>
            </w:r>
          </w:p>
        </w:tc>
        <w:tc>
          <w:tcPr>
            <w:tcW w:w="100" w:type="dxa"/>
            <w:vAlign w:val="bottom"/>
            <w:shd w:val="clear" w:color="auto" w:fill="E6E7E8"/>
          </w:tcPr>
          <w:p>
            <w:pPr>
              <w:spacing w:after="0"/>
              <w:rPr>
                <w:sz w:val="20"/>
                <w:szCs w:val="20"/>
                <w:color w:val="auto"/>
              </w:rPr>
            </w:pPr>
          </w:p>
        </w:tc>
        <w:tc>
          <w:tcPr>
            <w:tcW w:w="200" w:type="dxa"/>
            <w:vAlign w:val="bottom"/>
            <w:shd w:val="clear" w:color="auto" w:fill="E6E7E8"/>
          </w:tcPr>
          <w:p>
            <w:pPr>
              <w:spacing w:after="0"/>
              <w:rPr>
                <w:sz w:val="20"/>
                <w:szCs w:val="20"/>
                <w:color w:val="auto"/>
              </w:rPr>
            </w:pPr>
          </w:p>
        </w:tc>
        <w:tc>
          <w:tcPr>
            <w:tcW w:w="800" w:type="dxa"/>
            <w:vAlign w:val="bottom"/>
            <w:shd w:val="clear" w:color="auto" w:fill="E6E7E8"/>
          </w:tcPr>
          <w:p>
            <w:pPr>
              <w:jc w:val="right"/>
              <w:ind w:right="26"/>
              <w:spacing w:after="0"/>
              <w:rPr>
                <w:sz w:val="20"/>
                <w:szCs w:val="20"/>
                <w:color w:val="auto"/>
              </w:rPr>
            </w:pPr>
            <w:r>
              <w:rPr>
                <w:rFonts w:ascii="Times New Roman" w:cs="Times New Roman" w:eastAsia="Times New Roman" w:hAnsi="Times New Roman"/>
                <w:sz w:val="19"/>
                <w:szCs w:val="19"/>
                <w:color w:val="231F20"/>
              </w:rPr>
              <w:t>16.9</w:t>
            </w:r>
          </w:p>
        </w:tc>
        <w:tc>
          <w:tcPr>
            <w:tcW w:w="80" w:type="dxa"/>
            <w:vAlign w:val="bottom"/>
            <w:shd w:val="clear" w:color="auto" w:fill="E6E7E8"/>
          </w:tcPr>
          <w:p>
            <w:pPr>
              <w:spacing w:after="0"/>
              <w:rPr>
                <w:sz w:val="20"/>
                <w:szCs w:val="20"/>
                <w:color w:val="auto"/>
              </w:rPr>
            </w:pPr>
          </w:p>
        </w:tc>
        <w:tc>
          <w:tcPr>
            <w:tcW w:w="120" w:type="dxa"/>
            <w:vAlign w:val="bottom"/>
            <w:shd w:val="clear" w:color="auto" w:fill="E6E7E8"/>
          </w:tcPr>
          <w:p>
            <w:pPr>
              <w:spacing w:after="0"/>
              <w:rPr>
                <w:sz w:val="20"/>
                <w:szCs w:val="20"/>
                <w:color w:val="auto"/>
              </w:rPr>
            </w:pPr>
          </w:p>
        </w:tc>
        <w:tc>
          <w:tcPr>
            <w:tcW w:w="920" w:type="dxa"/>
            <w:vAlign w:val="bottom"/>
            <w:shd w:val="clear" w:color="auto" w:fill="E6E7E8"/>
          </w:tcPr>
          <w:p>
            <w:pPr>
              <w:jc w:val="right"/>
              <w:ind w:right="27"/>
              <w:spacing w:after="0"/>
              <w:rPr>
                <w:sz w:val="20"/>
                <w:szCs w:val="20"/>
                <w:color w:val="auto"/>
              </w:rPr>
            </w:pPr>
            <w:r>
              <w:rPr>
                <w:rFonts w:ascii="Times New Roman" w:cs="Times New Roman" w:eastAsia="Times New Roman" w:hAnsi="Times New Roman"/>
                <w:sz w:val="19"/>
                <w:szCs w:val="19"/>
                <w:color w:val="231F20"/>
              </w:rPr>
              <w:t>30.0</w:t>
            </w:r>
          </w:p>
        </w:tc>
        <w:tc>
          <w:tcPr>
            <w:tcW w:w="100" w:type="dxa"/>
            <w:vAlign w:val="bottom"/>
            <w:shd w:val="clear" w:color="auto" w:fill="E6E7E8"/>
          </w:tcPr>
          <w:p>
            <w:pPr>
              <w:spacing w:after="0"/>
              <w:rPr>
                <w:sz w:val="20"/>
                <w:szCs w:val="20"/>
                <w:color w:val="auto"/>
              </w:rPr>
            </w:pPr>
          </w:p>
        </w:tc>
        <w:tc>
          <w:tcPr>
            <w:tcW w:w="160" w:type="dxa"/>
            <w:vAlign w:val="bottom"/>
            <w:shd w:val="clear" w:color="auto" w:fill="E6E7E8"/>
          </w:tcPr>
          <w:p>
            <w:pPr>
              <w:spacing w:after="0"/>
              <w:rPr>
                <w:sz w:val="20"/>
                <w:szCs w:val="20"/>
                <w:color w:val="auto"/>
              </w:rPr>
            </w:pPr>
          </w:p>
        </w:tc>
        <w:tc>
          <w:tcPr>
            <w:tcW w:w="8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(1.5)</w:t>
            </w:r>
          </w:p>
        </w:tc>
        <w:tc>
          <w:tcPr>
            <w:tcW w:w="10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800" w:type="dxa"/>
            <w:vAlign w:val="bottom"/>
            <w:shd w:val="clear" w:color="auto" w:fill="E6E7E8"/>
          </w:tcPr>
          <w:p>
            <w:pPr>
              <w:jc w:val="right"/>
              <w:ind w:right="6"/>
              <w:spacing w:after="0"/>
              <w:rPr>
                <w:sz w:val="20"/>
                <w:szCs w:val="20"/>
                <w:color w:val="auto"/>
              </w:rPr>
            </w:pPr>
            <w:r>
              <w:rPr>
                <w:rFonts w:ascii="Times New Roman" w:cs="Times New Roman" w:eastAsia="Times New Roman" w:hAnsi="Times New Roman"/>
                <w:sz w:val="19"/>
                <w:szCs w:val="19"/>
                <w:color w:val="231F20"/>
              </w:rPr>
              <w:t>28.5</w:t>
            </w:r>
          </w:p>
        </w:tc>
      </w:tr>
      <w:tr>
        <w:trPr>
          <w:trHeight w:val="233"/>
        </w:trPr>
        <w:tc>
          <w:tcPr>
            <w:tcW w:w="434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Interest Income</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(6.2)</w:t>
            </w:r>
          </w:p>
        </w:tc>
      </w:tr>
      <w:tr>
        <w:trPr>
          <w:trHeight w:val="233"/>
        </w:trPr>
        <w:tc>
          <w:tcPr>
            <w:tcW w:w="434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19"/>
                <w:szCs w:val="19"/>
                <w:color w:val="231F20"/>
              </w:rPr>
              <w:t>Interest Expense</w:t>
            </w:r>
          </w:p>
        </w:tc>
        <w:tc>
          <w:tcPr>
            <w:tcW w:w="140" w:type="dxa"/>
            <w:vAlign w:val="bottom"/>
            <w:shd w:val="clear" w:color="auto" w:fill="E6E7E8"/>
          </w:tcPr>
          <w:p>
            <w:pPr>
              <w:spacing w:after="0"/>
              <w:rPr>
                <w:sz w:val="20"/>
                <w:szCs w:val="20"/>
                <w:color w:val="auto"/>
              </w:rPr>
            </w:pPr>
          </w:p>
        </w:tc>
        <w:tc>
          <w:tcPr>
            <w:tcW w:w="860" w:type="dxa"/>
            <w:vAlign w:val="bottom"/>
            <w:shd w:val="clear" w:color="auto" w:fill="E6E7E8"/>
          </w:tcPr>
          <w:p>
            <w:pPr>
              <w:jc w:val="right"/>
              <w:ind w:right="6"/>
              <w:spacing w:after="0"/>
              <w:rPr>
                <w:sz w:val="20"/>
                <w:szCs w:val="20"/>
                <w:color w:val="auto"/>
              </w:rPr>
            </w:pPr>
            <w:r>
              <w:rPr>
                <w:rFonts w:ascii="Times New Roman" w:cs="Times New Roman" w:eastAsia="Times New Roman" w:hAnsi="Times New Roman"/>
                <w:sz w:val="19"/>
                <w:szCs w:val="19"/>
                <w:color w:val="231F20"/>
              </w:rPr>
              <w:t>11.2</w:t>
            </w:r>
          </w:p>
        </w:tc>
        <w:tc>
          <w:tcPr>
            <w:tcW w:w="100" w:type="dxa"/>
            <w:vAlign w:val="bottom"/>
            <w:shd w:val="clear" w:color="auto" w:fill="E6E7E8"/>
          </w:tcPr>
          <w:p>
            <w:pPr>
              <w:spacing w:after="0"/>
              <w:rPr>
                <w:sz w:val="20"/>
                <w:szCs w:val="20"/>
                <w:color w:val="auto"/>
              </w:rPr>
            </w:pPr>
          </w:p>
        </w:tc>
        <w:tc>
          <w:tcPr>
            <w:tcW w:w="200" w:type="dxa"/>
            <w:vAlign w:val="bottom"/>
            <w:shd w:val="clear" w:color="auto" w:fill="E6E7E8"/>
          </w:tcPr>
          <w:p>
            <w:pPr>
              <w:spacing w:after="0"/>
              <w:rPr>
                <w:sz w:val="20"/>
                <w:szCs w:val="20"/>
                <w:color w:val="auto"/>
              </w:rPr>
            </w:pPr>
          </w:p>
        </w:tc>
        <w:tc>
          <w:tcPr>
            <w:tcW w:w="800" w:type="dxa"/>
            <w:vAlign w:val="bottom"/>
            <w:shd w:val="clear" w:color="auto" w:fill="E6E7E8"/>
          </w:tcPr>
          <w:p>
            <w:pPr>
              <w:jc w:val="right"/>
              <w:ind w:right="26"/>
              <w:spacing w:after="0"/>
              <w:rPr>
                <w:sz w:val="20"/>
                <w:szCs w:val="20"/>
                <w:color w:val="auto"/>
              </w:rPr>
            </w:pPr>
            <w:r>
              <w:rPr>
                <w:rFonts w:ascii="Times New Roman" w:cs="Times New Roman" w:eastAsia="Times New Roman" w:hAnsi="Times New Roman"/>
                <w:sz w:val="19"/>
                <w:szCs w:val="19"/>
                <w:color w:val="231F20"/>
              </w:rPr>
              <w:t>20.7</w:t>
            </w:r>
          </w:p>
        </w:tc>
        <w:tc>
          <w:tcPr>
            <w:tcW w:w="80" w:type="dxa"/>
            <w:vAlign w:val="bottom"/>
            <w:shd w:val="clear" w:color="auto" w:fill="E6E7E8"/>
          </w:tcPr>
          <w:p>
            <w:pPr>
              <w:spacing w:after="0"/>
              <w:rPr>
                <w:sz w:val="20"/>
                <w:szCs w:val="20"/>
                <w:color w:val="auto"/>
              </w:rPr>
            </w:pPr>
          </w:p>
        </w:tc>
        <w:tc>
          <w:tcPr>
            <w:tcW w:w="120" w:type="dxa"/>
            <w:vAlign w:val="bottom"/>
            <w:shd w:val="clear" w:color="auto" w:fill="E6E7E8"/>
          </w:tcPr>
          <w:p>
            <w:pPr>
              <w:spacing w:after="0"/>
              <w:rPr>
                <w:sz w:val="20"/>
                <w:szCs w:val="20"/>
                <w:color w:val="auto"/>
              </w:rPr>
            </w:pPr>
          </w:p>
        </w:tc>
        <w:tc>
          <w:tcPr>
            <w:tcW w:w="920" w:type="dxa"/>
            <w:vAlign w:val="bottom"/>
            <w:shd w:val="clear" w:color="auto" w:fill="E6E7E8"/>
          </w:tcPr>
          <w:p>
            <w:pPr>
              <w:jc w:val="right"/>
              <w:ind w:right="27"/>
              <w:spacing w:after="0"/>
              <w:rPr>
                <w:sz w:val="20"/>
                <w:szCs w:val="20"/>
                <w:color w:val="auto"/>
              </w:rPr>
            </w:pPr>
            <w:r>
              <w:rPr>
                <w:rFonts w:ascii="Times New Roman" w:cs="Times New Roman" w:eastAsia="Times New Roman" w:hAnsi="Times New Roman"/>
                <w:sz w:val="19"/>
                <w:szCs w:val="19"/>
                <w:color w:val="231F20"/>
              </w:rPr>
              <w:t>31.9</w:t>
            </w:r>
          </w:p>
        </w:tc>
        <w:tc>
          <w:tcPr>
            <w:tcW w:w="100" w:type="dxa"/>
            <w:vAlign w:val="bottom"/>
            <w:shd w:val="clear" w:color="auto" w:fill="E6E7E8"/>
          </w:tcPr>
          <w:p>
            <w:pPr>
              <w:spacing w:after="0"/>
              <w:rPr>
                <w:sz w:val="20"/>
                <w:szCs w:val="20"/>
                <w:color w:val="auto"/>
              </w:rPr>
            </w:pPr>
          </w:p>
        </w:tc>
        <w:tc>
          <w:tcPr>
            <w:tcW w:w="160" w:type="dxa"/>
            <w:vAlign w:val="bottom"/>
            <w:shd w:val="clear" w:color="auto" w:fill="E6E7E8"/>
          </w:tcPr>
          <w:p>
            <w:pPr>
              <w:spacing w:after="0"/>
              <w:rPr>
                <w:sz w:val="20"/>
                <w:szCs w:val="20"/>
                <w:color w:val="auto"/>
              </w:rPr>
            </w:pPr>
          </w:p>
        </w:tc>
        <w:tc>
          <w:tcPr>
            <w:tcW w:w="820" w:type="dxa"/>
            <w:vAlign w:val="bottom"/>
            <w:shd w:val="clear" w:color="auto" w:fill="E6E7E8"/>
          </w:tcPr>
          <w:p>
            <w:pPr>
              <w:jc w:val="right"/>
              <w:ind w:right="6"/>
              <w:spacing w:after="0"/>
              <w:rPr>
                <w:sz w:val="20"/>
                <w:szCs w:val="20"/>
                <w:color w:val="auto"/>
              </w:rPr>
            </w:pPr>
            <w:r>
              <w:rPr>
                <w:rFonts w:ascii="Times New Roman" w:cs="Times New Roman" w:eastAsia="Times New Roman" w:hAnsi="Times New Roman"/>
                <w:sz w:val="19"/>
                <w:szCs w:val="19"/>
                <w:color w:val="231F20"/>
              </w:rPr>
              <w:t>3.0</w:t>
            </w:r>
          </w:p>
        </w:tc>
        <w:tc>
          <w:tcPr>
            <w:tcW w:w="10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800" w:type="dxa"/>
            <w:vAlign w:val="bottom"/>
            <w:shd w:val="clear" w:color="auto" w:fill="E6E7E8"/>
          </w:tcPr>
          <w:p>
            <w:pPr>
              <w:jc w:val="right"/>
              <w:ind w:right="6"/>
              <w:spacing w:after="0"/>
              <w:rPr>
                <w:sz w:val="20"/>
                <w:szCs w:val="20"/>
                <w:color w:val="auto"/>
              </w:rPr>
            </w:pPr>
            <w:r>
              <w:rPr>
                <w:rFonts w:ascii="Times New Roman" w:cs="Times New Roman" w:eastAsia="Times New Roman" w:hAnsi="Times New Roman"/>
                <w:sz w:val="19"/>
                <w:szCs w:val="19"/>
                <w:color w:val="231F20"/>
              </w:rPr>
              <w:t>34.9</w:t>
            </w:r>
          </w:p>
        </w:tc>
      </w:tr>
      <w:tr>
        <w:trPr>
          <w:trHeight w:val="232"/>
        </w:trPr>
        <w:tc>
          <w:tcPr>
            <w:tcW w:w="4340" w:type="dxa"/>
            <w:vAlign w:val="bottom"/>
            <w:tcBorders>
              <w:bottom w:val="single" w:sz="8" w:color="E6E7E8"/>
            </w:tcBorders>
            <w:gridSpan w:val="2"/>
          </w:tcPr>
          <w:p>
            <w:pPr>
              <w:spacing w:after="0"/>
              <w:rPr>
                <w:sz w:val="20"/>
                <w:szCs w:val="20"/>
                <w:color w:val="auto"/>
              </w:rPr>
            </w:pPr>
            <w:r>
              <w:rPr>
                <w:rFonts w:ascii="Times New Roman" w:cs="Times New Roman" w:eastAsia="Times New Roman" w:hAnsi="Times New Roman"/>
                <w:sz w:val="19"/>
                <w:szCs w:val="19"/>
                <w:color w:val="231F20"/>
              </w:rPr>
              <w:t>Provision for Income Taxes</w:t>
            </w:r>
          </w:p>
        </w:tc>
        <w:tc>
          <w:tcPr>
            <w:tcW w:w="140" w:type="dxa"/>
            <w:vAlign w:val="bottom"/>
            <w:tcBorders>
              <w:bottom w:val="single" w:sz="8" w:color="231F20"/>
            </w:tcBorders>
          </w:tcPr>
          <w:p>
            <w:pPr>
              <w:spacing w:after="0"/>
              <w:rPr>
                <w:sz w:val="20"/>
                <w:szCs w:val="20"/>
                <w:color w:val="auto"/>
              </w:rPr>
            </w:pPr>
          </w:p>
        </w:tc>
        <w:tc>
          <w:tcPr>
            <w:tcW w:w="860" w:type="dxa"/>
            <w:vAlign w:val="bottom"/>
            <w:tcBorders>
              <w:bottom w:val="single" w:sz="8" w:color="231F20"/>
            </w:tcBorders>
          </w:tcPr>
          <w:p>
            <w:pPr>
              <w:jc w:val="right"/>
              <w:ind w:right="6"/>
              <w:spacing w:after="0"/>
              <w:rPr>
                <w:sz w:val="20"/>
                <w:szCs w:val="20"/>
                <w:color w:val="auto"/>
              </w:rPr>
            </w:pPr>
            <w:r>
              <w:rPr>
                <w:rFonts w:ascii="Times New Roman" w:cs="Times New Roman" w:eastAsia="Times New Roman" w:hAnsi="Times New Roman"/>
                <w:sz w:val="19"/>
                <w:szCs w:val="19"/>
                <w:color w:val="231F20"/>
              </w:rPr>
              <w:t>4.0</w:t>
            </w:r>
          </w:p>
        </w:tc>
        <w:tc>
          <w:tcPr>
            <w:tcW w:w="100" w:type="dxa"/>
            <w:vAlign w:val="bottom"/>
            <w:tcBorders>
              <w:bottom w:val="single" w:sz="8" w:color="E6E7E8"/>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tcPr>
          <w:p>
            <w:pPr>
              <w:jc w:val="right"/>
              <w:ind w:right="26"/>
              <w:spacing w:after="0"/>
              <w:rPr>
                <w:sz w:val="20"/>
                <w:szCs w:val="20"/>
                <w:color w:val="auto"/>
              </w:rPr>
            </w:pPr>
            <w:r>
              <w:rPr>
                <w:rFonts w:ascii="Times New Roman" w:cs="Times New Roman" w:eastAsia="Times New Roman" w:hAnsi="Times New Roman"/>
                <w:sz w:val="19"/>
                <w:szCs w:val="19"/>
                <w:color w:val="231F20"/>
              </w:rPr>
              <w:t>9.4</w:t>
            </w:r>
          </w:p>
        </w:tc>
        <w:tc>
          <w:tcPr>
            <w:tcW w:w="80" w:type="dxa"/>
            <w:vAlign w:val="bottom"/>
            <w:tcBorders>
              <w:bottom w:val="single" w:sz="8" w:color="E6E7E8"/>
            </w:tcBorders>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27"/>
              <w:spacing w:after="0"/>
              <w:rPr>
                <w:sz w:val="20"/>
                <w:szCs w:val="20"/>
                <w:color w:val="auto"/>
              </w:rPr>
            </w:pPr>
            <w:r>
              <w:rPr>
                <w:rFonts w:ascii="Times New Roman" w:cs="Times New Roman" w:eastAsia="Times New Roman" w:hAnsi="Times New Roman"/>
                <w:sz w:val="19"/>
                <w:szCs w:val="19"/>
                <w:color w:val="231F20"/>
              </w:rPr>
              <w:t>13.4</w:t>
            </w:r>
          </w:p>
        </w:tc>
        <w:tc>
          <w:tcPr>
            <w:tcW w:w="100" w:type="dxa"/>
            <w:vAlign w:val="bottom"/>
            <w:tcBorders>
              <w:bottom w:val="single" w:sz="8" w:color="E6E7E8"/>
            </w:tcBorders>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(0.2)</w:t>
            </w:r>
          </w:p>
        </w:tc>
        <w:tc>
          <w:tcPr>
            <w:tcW w:w="100" w:type="dxa"/>
            <w:vAlign w:val="bottom"/>
            <w:tcBorders>
              <w:bottom w:val="single" w:sz="8" w:color="E6E7E8"/>
            </w:tcBorders>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tcPr>
          <w:p>
            <w:pPr>
              <w:jc w:val="right"/>
              <w:ind w:right="6"/>
              <w:spacing w:after="0"/>
              <w:rPr>
                <w:sz w:val="20"/>
                <w:szCs w:val="20"/>
                <w:color w:val="auto"/>
              </w:rPr>
            </w:pPr>
            <w:r>
              <w:rPr>
                <w:rFonts w:ascii="Times New Roman" w:cs="Times New Roman" w:eastAsia="Times New Roman" w:hAnsi="Times New Roman"/>
                <w:sz w:val="19"/>
                <w:szCs w:val="19"/>
                <w:color w:val="231F20"/>
              </w:rPr>
              <w:t>13.2</w:t>
            </w:r>
          </w:p>
        </w:tc>
      </w:tr>
      <w:tr>
        <w:trPr>
          <w:trHeight w:val="228"/>
        </w:trPr>
        <w:tc>
          <w:tcPr>
            <w:tcW w:w="434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19"/>
                <w:szCs w:val="19"/>
                <w:color w:val="231F20"/>
              </w:rPr>
              <w:t>Net Income Attributable to Commons Shares</w:t>
            </w:r>
          </w:p>
        </w:tc>
        <w:tc>
          <w:tcPr>
            <w:tcW w:w="140" w:type="dxa"/>
            <w:vAlign w:val="bottom"/>
            <w:shd w:val="clear" w:color="auto" w:fill="E6E7E8"/>
          </w:tcPr>
          <w:p>
            <w:pPr>
              <w:spacing w:after="0"/>
              <w:rPr>
                <w:sz w:val="19"/>
                <w:szCs w:val="19"/>
                <w:color w:val="auto"/>
              </w:rPr>
            </w:pPr>
          </w:p>
        </w:tc>
        <w:tc>
          <w:tcPr>
            <w:tcW w:w="860" w:type="dxa"/>
            <w:vAlign w:val="bottom"/>
            <w:shd w:val="clear" w:color="auto" w:fill="E6E7E8"/>
          </w:tcPr>
          <w:p>
            <w:pPr>
              <w:jc w:val="right"/>
              <w:ind w:right="6"/>
              <w:spacing w:after="0"/>
              <w:rPr>
                <w:sz w:val="20"/>
                <w:szCs w:val="20"/>
                <w:color w:val="auto"/>
              </w:rPr>
            </w:pPr>
            <w:r>
              <w:rPr>
                <w:rFonts w:ascii="Times New Roman" w:cs="Times New Roman" w:eastAsia="Times New Roman" w:hAnsi="Times New Roman"/>
                <w:sz w:val="19"/>
                <w:szCs w:val="19"/>
                <w:color w:val="231F20"/>
              </w:rPr>
              <w:t>17.9</w:t>
            </w:r>
          </w:p>
        </w:tc>
        <w:tc>
          <w:tcPr>
            <w:tcW w:w="10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c>
          <w:tcPr>
            <w:tcW w:w="800" w:type="dxa"/>
            <w:vAlign w:val="bottom"/>
            <w:shd w:val="clear" w:color="auto" w:fill="E6E7E8"/>
          </w:tcPr>
          <w:p>
            <w:pPr>
              <w:jc w:val="right"/>
              <w:ind w:right="26"/>
              <w:spacing w:after="0"/>
              <w:rPr>
                <w:sz w:val="20"/>
                <w:szCs w:val="20"/>
                <w:color w:val="auto"/>
              </w:rPr>
            </w:pPr>
            <w:r>
              <w:rPr>
                <w:rFonts w:ascii="Times New Roman" w:cs="Times New Roman" w:eastAsia="Times New Roman" w:hAnsi="Times New Roman"/>
                <w:sz w:val="19"/>
                <w:szCs w:val="19"/>
                <w:color w:val="231F20"/>
              </w:rPr>
              <w:t>28.8</w:t>
            </w:r>
          </w:p>
        </w:tc>
        <w:tc>
          <w:tcPr>
            <w:tcW w:w="8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920" w:type="dxa"/>
            <w:vAlign w:val="bottom"/>
            <w:shd w:val="clear" w:color="auto" w:fill="E6E7E8"/>
          </w:tcPr>
          <w:p>
            <w:pPr>
              <w:jc w:val="right"/>
              <w:ind w:right="27"/>
              <w:spacing w:after="0"/>
              <w:rPr>
                <w:sz w:val="20"/>
                <w:szCs w:val="20"/>
                <w:color w:val="auto"/>
              </w:rPr>
            </w:pPr>
            <w:r>
              <w:rPr>
                <w:rFonts w:ascii="Times New Roman" w:cs="Times New Roman" w:eastAsia="Times New Roman" w:hAnsi="Times New Roman"/>
                <w:sz w:val="19"/>
                <w:szCs w:val="19"/>
                <w:color w:val="231F20"/>
              </w:rPr>
              <w:t>46.7</w:t>
            </w:r>
          </w:p>
        </w:tc>
        <w:tc>
          <w:tcPr>
            <w:tcW w:w="100" w:type="dxa"/>
            <w:vAlign w:val="bottom"/>
            <w:shd w:val="clear" w:color="auto" w:fill="E6E7E8"/>
          </w:tcPr>
          <w:p>
            <w:pPr>
              <w:spacing w:after="0"/>
              <w:rPr>
                <w:sz w:val="19"/>
                <w:szCs w:val="19"/>
                <w:color w:val="auto"/>
              </w:rPr>
            </w:pPr>
          </w:p>
        </w:tc>
        <w:tc>
          <w:tcPr>
            <w:tcW w:w="160" w:type="dxa"/>
            <w:vAlign w:val="bottom"/>
            <w:shd w:val="clear" w:color="auto" w:fill="E6E7E8"/>
          </w:tcPr>
          <w:p>
            <w:pPr>
              <w:spacing w:after="0"/>
              <w:rPr>
                <w:sz w:val="19"/>
                <w:szCs w:val="19"/>
                <w:color w:val="auto"/>
              </w:rPr>
            </w:pPr>
          </w:p>
        </w:tc>
        <w:tc>
          <w:tcPr>
            <w:tcW w:w="8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(1.5)</w:t>
            </w:r>
          </w:p>
        </w:tc>
        <w:tc>
          <w:tcPr>
            <w:tcW w:w="100" w:type="dxa"/>
            <w:vAlign w:val="bottom"/>
            <w:shd w:val="clear" w:color="auto" w:fill="E6E7E8"/>
          </w:tcPr>
          <w:p>
            <w:pPr>
              <w:spacing w:after="0"/>
              <w:rPr>
                <w:sz w:val="19"/>
                <w:szCs w:val="19"/>
                <w:color w:val="auto"/>
              </w:rPr>
            </w:pPr>
          </w:p>
        </w:tc>
        <w:tc>
          <w:tcPr>
            <w:tcW w:w="180" w:type="dxa"/>
            <w:vAlign w:val="bottom"/>
            <w:shd w:val="clear" w:color="auto" w:fill="E6E7E8"/>
          </w:tcPr>
          <w:p>
            <w:pPr>
              <w:spacing w:after="0"/>
              <w:rPr>
                <w:sz w:val="19"/>
                <w:szCs w:val="19"/>
                <w:color w:val="auto"/>
              </w:rPr>
            </w:pPr>
          </w:p>
        </w:tc>
        <w:tc>
          <w:tcPr>
            <w:tcW w:w="800" w:type="dxa"/>
            <w:vAlign w:val="bottom"/>
            <w:shd w:val="clear" w:color="auto" w:fill="E6E7E8"/>
          </w:tcPr>
          <w:p>
            <w:pPr>
              <w:jc w:val="right"/>
              <w:ind w:right="6"/>
              <w:spacing w:after="0"/>
              <w:rPr>
                <w:sz w:val="20"/>
                <w:szCs w:val="20"/>
                <w:color w:val="auto"/>
              </w:rPr>
            </w:pPr>
            <w:r>
              <w:rPr>
                <w:rFonts w:ascii="Times New Roman" w:cs="Times New Roman" w:eastAsia="Times New Roman" w:hAnsi="Times New Roman"/>
                <w:sz w:val="19"/>
                <w:szCs w:val="19"/>
                <w:color w:val="231F20"/>
              </w:rPr>
              <w:t>45.2</w:t>
            </w:r>
          </w:p>
        </w:tc>
      </w:tr>
      <w:tr>
        <w:trPr>
          <w:trHeight w:val="465"/>
        </w:trPr>
        <w:tc>
          <w:tcPr>
            <w:tcW w:w="434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Segment Assets</w:t>
            </w:r>
          </w:p>
        </w:tc>
        <w:tc>
          <w:tcPr>
            <w:tcW w:w="140" w:type="dxa"/>
            <w:vAlign w:val="bottom"/>
          </w:tcPr>
          <w:p>
            <w:pPr>
              <w:spacing w:after="0"/>
              <w:rPr>
                <w:sz w:val="24"/>
                <w:szCs w:val="24"/>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31F20"/>
              </w:rPr>
              <w:t>612.6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231F20"/>
              </w:rPr>
              <w:t>1,031.8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27"/>
              <w:spacing w:after="0"/>
              <w:rPr>
                <w:sz w:val="20"/>
                <w:szCs w:val="20"/>
                <w:color w:val="auto"/>
              </w:rPr>
            </w:pPr>
            <w:r>
              <w:rPr>
                <w:rFonts w:ascii="Times New Roman" w:cs="Times New Roman" w:eastAsia="Times New Roman" w:hAnsi="Times New Roman"/>
                <w:sz w:val="19"/>
                <w:szCs w:val="19"/>
                <w:color w:val="231F20"/>
              </w:rPr>
              <w:t>1,644.4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31F20"/>
              </w:rPr>
              <w:t>26.0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31F20"/>
              </w:rPr>
              <w:t>1,670.4</w:t>
            </w:r>
          </w:p>
        </w:tc>
      </w:tr>
      <w:tr>
        <w:trPr>
          <w:trHeight w:val="233"/>
        </w:trPr>
        <w:tc>
          <w:tcPr>
            <w:tcW w:w="434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19"/>
                <w:szCs w:val="19"/>
                <w:color w:val="231F20"/>
              </w:rPr>
              <w:t>Capital Expenditures</w:t>
            </w:r>
          </w:p>
        </w:tc>
        <w:tc>
          <w:tcPr>
            <w:tcW w:w="140" w:type="dxa"/>
            <w:vAlign w:val="bottom"/>
            <w:shd w:val="clear" w:color="auto" w:fill="E6E7E8"/>
          </w:tcPr>
          <w:p>
            <w:pPr>
              <w:spacing w:after="0"/>
              <w:rPr>
                <w:sz w:val="20"/>
                <w:szCs w:val="20"/>
                <w:color w:val="auto"/>
              </w:rPr>
            </w:pPr>
          </w:p>
        </w:tc>
        <w:tc>
          <w:tcPr>
            <w:tcW w:w="860" w:type="dxa"/>
            <w:vAlign w:val="bottom"/>
            <w:shd w:val="clear" w:color="auto" w:fill="E6E7E8"/>
          </w:tcPr>
          <w:p>
            <w:pPr>
              <w:jc w:val="right"/>
              <w:ind w:right="6"/>
              <w:spacing w:after="0"/>
              <w:rPr>
                <w:sz w:val="20"/>
                <w:szCs w:val="20"/>
                <w:color w:val="auto"/>
              </w:rPr>
            </w:pPr>
            <w:r>
              <w:rPr>
                <w:rFonts w:ascii="Times New Roman" w:cs="Times New Roman" w:eastAsia="Times New Roman" w:hAnsi="Times New Roman"/>
                <w:sz w:val="19"/>
                <w:szCs w:val="19"/>
                <w:color w:val="231F20"/>
              </w:rPr>
              <w:t>44.2</w:t>
            </w:r>
          </w:p>
        </w:tc>
        <w:tc>
          <w:tcPr>
            <w:tcW w:w="100" w:type="dxa"/>
            <w:vAlign w:val="bottom"/>
            <w:shd w:val="clear" w:color="auto" w:fill="E6E7E8"/>
          </w:tcPr>
          <w:p>
            <w:pPr>
              <w:spacing w:after="0"/>
              <w:rPr>
                <w:sz w:val="20"/>
                <w:szCs w:val="20"/>
                <w:color w:val="auto"/>
              </w:rPr>
            </w:pPr>
          </w:p>
        </w:tc>
        <w:tc>
          <w:tcPr>
            <w:tcW w:w="200" w:type="dxa"/>
            <w:vAlign w:val="bottom"/>
            <w:shd w:val="clear" w:color="auto" w:fill="E6E7E8"/>
          </w:tcPr>
          <w:p>
            <w:pPr>
              <w:spacing w:after="0"/>
              <w:rPr>
                <w:sz w:val="20"/>
                <w:szCs w:val="20"/>
                <w:color w:val="auto"/>
              </w:rPr>
            </w:pPr>
          </w:p>
        </w:tc>
        <w:tc>
          <w:tcPr>
            <w:tcW w:w="800" w:type="dxa"/>
            <w:vAlign w:val="bottom"/>
            <w:shd w:val="clear" w:color="auto" w:fill="E6E7E8"/>
          </w:tcPr>
          <w:p>
            <w:pPr>
              <w:jc w:val="right"/>
              <w:ind w:right="26"/>
              <w:spacing w:after="0"/>
              <w:rPr>
                <w:sz w:val="20"/>
                <w:szCs w:val="20"/>
                <w:color w:val="auto"/>
              </w:rPr>
            </w:pPr>
            <w:r>
              <w:rPr>
                <w:rFonts w:ascii="Times New Roman" w:cs="Times New Roman" w:eastAsia="Times New Roman" w:hAnsi="Times New Roman"/>
                <w:sz w:val="19"/>
                <w:szCs w:val="19"/>
                <w:color w:val="231F20"/>
              </w:rPr>
              <w:t>92.7</w:t>
            </w:r>
          </w:p>
        </w:tc>
        <w:tc>
          <w:tcPr>
            <w:tcW w:w="80" w:type="dxa"/>
            <w:vAlign w:val="bottom"/>
            <w:shd w:val="clear" w:color="auto" w:fill="E6E7E8"/>
          </w:tcPr>
          <w:p>
            <w:pPr>
              <w:spacing w:after="0"/>
              <w:rPr>
                <w:sz w:val="20"/>
                <w:szCs w:val="20"/>
                <w:color w:val="auto"/>
              </w:rPr>
            </w:pPr>
          </w:p>
        </w:tc>
        <w:tc>
          <w:tcPr>
            <w:tcW w:w="120" w:type="dxa"/>
            <w:vAlign w:val="bottom"/>
            <w:shd w:val="clear" w:color="auto" w:fill="E6E7E8"/>
          </w:tcPr>
          <w:p>
            <w:pPr>
              <w:spacing w:after="0"/>
              <w:rPr>
                <w:sz w:val="20"/>
                <w:szCs w:val="20"/>
                <w:color w:val="auto"/>
              </w:rPr>
            </w:pPr>
          </w:p>
        </w:tc>
        <w:tc>
          <w:tcPr>
            <w:tcW w:w="920" w:type="dxa"/>
            <w:vAlign w:val="bottom"/>
            <w:shd w:val="clear" w:color="auto" w:fill="E6E7E8"/>
          </w:tcPr>
          <w:p>
            <w:pPr>
              <w:jc w:val="right"/>
              <w:ind w:right="27"/>
              <w:spacing w:after="0"/>
              <w:rPr>
                <w:sz w:val="20"/>
                <w:szCs w:val="20"/>
                <w:color w:val="auto"/>
              </w:rPr>
            </w:pPr>
            <w:r>
              <w:rPr>
                <w:rFonts w:ascii="Times New Roman" w:cs="Times New Roman" w:eastAsia="Times New Roman" w:hAnsi="Times New Roman"/>
                <w:sz w:val="19"/>
                <w:szCs w:val="19"/>
                <w:color w:val="231F20"/>
              </w:rPr>
              <w:t>136.9</w:t>
            </w:r>
          </w:p>
        </w:tc>
        <w:tc>
          <w:tcPr>
            <w:tcW w:w="100" w:type="dxa"/>
            <w:vAlign w:val="bottom"/>
            <w:shd w:val="clear" w:color="auto" w:fill="E6E7E8"/>
          </w:tcPr>
          <w:p>
            <w:pPr>
              <w:spacing w:after="0"/>
              <w:rPr>
                <w:sz w:val="20"/>
                <w:szCs w:val="20"/>
                <w:color w:val="auto"/>
              </w:rPr>
            </w:pPr>
          </w:p>
        </w:tc>
        <w:tc>
          <w:tcPr>
            <w:tcW w:w="160" w:type="dxa"/>
            <w:vAlign w:val="bottom"/>
            <w:shd w:val="clear" w:color="auto" w:fill="E6E7E8"/>
          </w:tcPr>
          <w:p>
            <w:pPr>
              <w:spacing w:after="0"/>
              <w:rPr>
                <w:sz w:val="20"/>
                <w:szCs w:val="20"/>
                <w:color w:val="auto"/>
              </w:rPr>
            </w:pPr>
          </w:p>
        </w:tc>
        <w:tc>
          <w:tcPr>
            <w:tcW w:w="820" w:type="dxa"/>
            <w:vAlign w:val="bottom"/>
            <w:shd w:val="clear" w:color="auto" w:fill="E6E7E8"/>
          </w:tcPr>
          <w:p>
            <w:pPr>
              <w:jc w:val="right"/>
              <w:ind w:right="6"/>
              <w:spacing w:after="0"/>
              <w:rPr>
                <w:sz w:val="20"/>
                <w:szCs w:val="20"/>
                <w:color w:val="auto"/>
              </w:rPr>
            </w:pPr>
            <w:r>
              <w:rPr>
                <w:rFonts w:ascii="Times New Roman" w:cs="Times New Roman" w:eastAsia="Times New Roman" w:hAnsi="Times New Roman"/>
                <w:sz w:val="19"/>
                <w:szCs w:val="19"/>
                <w:color w:val="231F20"/>
              </w:rPr>
              <w:t>4.1</w:t>
            </w:r>
          </w:p>
        </w:tc>
        <w:tc>
          <w:tcPr>
            <w:tcW w:w="10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800" w:type="dxa"/>
            <w:vAlign w:val="bottom"/>
            <w:shd w:val="clear" w:color="auto" w:fill="E6E7E8"/>
          </w:tcPr>
          <w:p>
            <w:pPr>
              <w:jc w:val="right"/>
              <w:ind w:right="6"/>
              <w:spacing w:after="0"/>
              <w:rPr>
                <w:sz w:val="20"/>
                <w:szCs w:val="20"/>
                <w:color w:val="auto"/>
              </w:rPr>
            </w:pPr>
            <w:r>
              <w:rPr>
                <w:rFonts w:ascii="Times New Roman" w:cs="Times New Roman" w:eastAsia="Times New Roman" w:hAnsi="Times New Roman"/>
                <w:sz w:val="19"/>
                <w:szCs w:val="19"/>
                <w:color w:val="231F20"/>
              </w:rPr>
              <w:t>141.0</w:t>
            </w: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Note 3: Allowance for Doubtful Accounts</w:t>
      </w:r>
    </w:p>
    <w:p>
      <w:pPr>
        <w:spacing w:after="0" w:line="244"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1"/>
          <w:szCs w:val="21"/>
          <w:color w:val="231F20"/>
        </w:rPr>
        <w:t>Unitil’s distribution utilities which are under traditional cost of service regulation are authorized by regulators to recover the costs of their energy commodity portion of bad debts through rate mechanisms. In 2025, 2024 and 2023, the Company recorded provisions for the energy commodity portion of bad debts of $2.6 million, $1.6 million and $3.8 million, respectively. These provisions were recognized in Cost of Electric Sales and Cost of Gas Sales expense as the associated electric and gas utility revenues were billed. Cost of Electric Sales and Cost of Gas Sales costs are recovered from customers through periodic rate reconciling mechanisms. Also, the electric and gas divisions of Fitchburg are authorized to recover through rates past due amounts associated with hardship accounts that are protected from shut-off. As of December 31, 2025 and 2024, the Company has recorded $8.9 million and $7.9 million, respectively, of hardship accounts in Regulatory Assets. The Company currently receives recovery in rates or expects to receive recovery of these hardship accounts in future rate cases.</w:t>
      </w:r>
    </w:p>
    <w:p>
      <w:pPr>
        <w:spacing w:after="0" w:line="204" w:lineRule="exact"/>
        <w:rPr>
          <w:sz w:val="20"/>
          <w:szCs w:val="20"/>
          <w:color w:val="auto"/>
        </w:rPr>
      </w:pPr>
    </w:p>
    <w:p>
      <w:pPr>
        <w:ind w:right="120" w:firstLine="612"/>
        <w:spacing w:after="0" w:line="253" w:lineRule="auto"/>
        <w:rPr>
          <w:sz w:val="20"/>
          <w:szCs w:val="20"/>
          <w:color w:val="auto"/>
        </w:rPr>
      </w:pPr>
      <w:r>
        <w:rPr>
          <w:rFonts w:ascii="Times New Roman" w:cs="Times New Roman" w:eastAsia="Times New Roman" w:hAnsi="Times New Roman"/>
          <w:sz w:val="21"/>
          <w:szCs w:val="21"/>
          <w:color w:val="231F20"/>
        </w:rPr>
        <w:t>Accounts Receivable, Net includes $2.1 million and $2.3 million of the Allowance for Doubtful Accounts at December 31, 2025 and December 31, 2024, respectively. Unbilled Revenues, net (a component of Accrued Revenue) includes less than $0.1 million and $0.1 million of the Allowance for Doubtful Accounts at December 31, 2025 and December 31, 2024, respectively.</w:t>
      </w:r>
    </w:p>
    <w:p>
      <w:pPr>
        <w:sectPr>
          <w:pgSz w:w="12240" w:h="15840" w:orient="portrait"/>
          <w:cols w:equalWidth="0" w:num="1">
            <w:col w:w="10760"/>
          </w:cols>
          <w:pgMar w:left="720" w:top="944" w:right="76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56</w:t>
      </w:r>
    </w:p>
    <w:p>
      <w:pPr>
        <w:sectPr>
          <w:pgSz w:w="12240" w:h="15840" w:orient="portrait"/>
          <w:cols w:equalWidth="0" w:num="1">
            <w:col w:w="10760"/>
          </w:cols>
          <w:pgMar w:left="720" w:top="944" w:right="760" w:bottom="188" w:gutter="0" w:footer="0" w:header="0"/>
          <w:type w:val="continuous"/>
        </w:sectPr>
      </w:pPr>
    </w:p>
    <w:bookmarkStart w:id="76" w:name="page77"/>
    <w:bookmarkEnd w:id="76"/>
    <w:p>
      <w:pPr>
        <w:ind w:right="80" w:firstLine="612"/>
        <w:spacing w:after="0" w:line="279" w:lineRule="auto"/>
        <w:rPr>
          <w:sz w:val="20"/>
          <w:szCs w:val="20"/>
          <w:color w:val="auto"/>
        </w:rPr>
      </w:pPr>
      <w:r>
        <w:rPr>
          <w:rFonts w:ascii="Times New Roman" w:cs="Times New Roman" w:eastAsia="Times New Roman" w:hAnsi="Times New Roman"/>
          <w:sz w:val="21"/>
          <w:szCs w:val="21"/>
          <w:color w:val="231F20"/>
        </w:rPr>
        <w:t>The following table shows the balances and activity in the Company’s Allowance for Doubtful Accounts for 2025, 2024 and 2023 (millions):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231F20"/>
        </w:rPr>
        <w:t>ALLOWANCE FOR DOUBTFUL ACCOUNTS</w:t>
      </w:r>
    </w:p>
    <w:p>
      <w:pPr>
        <w:spacing w:after="0" w:line="296"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Balance at</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Accounts</w:t>
            </w:r>
          </w:p>
        </w:tc>
        <w:tc>
          <w:tcPr>
            <w:tcW w:w="1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Balance at</w:t>
            </w:r>
          </w:p>
        </w:tc>
        <w:tc>
          <w:tcPr>
            <w:tcW w:w="60" w:type="dxa"/>
            <w:vAlign w:val="bottom"/>
          </w:tcPr>
          <w:p>
            <w:pPr>
              <w:spacing w:after="0"/>
              <w:rPr>
                <w:sz w:val="16"/>
                <w:szCs w:val="16"/>
                <w:color w:val="auto"/>
              </w:rPr>
            </w:pPr>
          </w:p>
        </w:tc>
      </w:tr>
      <w:tr>
        <w:trPr>
          <w:trHeight w:val="184"/>
        </w:trPr>
        <w:tc>
          <w:tcPr>
            <w:tcW w:w="43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Beginning</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Written</w:t>
            </w:r>
          </w:p>
        </w:tc>
        <w:tc>
          <w:tcPr>
            <w:tcW w:w="1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End of</w:t>
            </w:r>
          </w:p>
        </w:tc>
        <w:tc>
          <w:tcPr>
            <w:tcW w:w="60" w:type="dxa"/>
            <w:vAlign w:val="bottom"/>
          </w:tcPr>
          <w:p>
            <w:pPr>
              <w:spacing w:after="0"/>
              <w:rPr>
                <w:sz w:val="16"/>
                <w:szCs w:val="16"/>
                <w:color w:val="auto"/>
              </w:rPr>
            </w:pPr>
          </w:p>
        </w:tc>
      </w:tr>
      <w:tr>
        <w:trPr>
          <w:trHeight w:val="203"/>
        </w:trPr>
        <w:tc>
          <w:tcPr>
            <w:tcW w:w="4300" w:type="dxa"/>
            <w:vAlign w:val="bottom"/>
            <w:tcBorders>
              <w:bottom w:val="single" w:sz="8" w:color="E6E7E8"/>
            </w:tcBorders>
          </w:tcPr>
          <w:p>
            <w:pPr>
              <w:spacing w:after="0"/>
              <w:rPr>
                <w:sz w:val="17"/>
                <w:szCs w:val="17"/>
                <w:color w:val="auto"/>
              </w:rPr>
            </w:pPr>
          </w:p>
        </w:tc>
        <w:tc>
          <w:tcPr>
            <w:tcW w:w="9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of Period</w:t>
            </w:r>
          </w:p>
        </w:tc>
        <w:tc>
          <w:tcPr>
            <w:tcW w:w="200" w:type="dxa"/>
            <w:vAlign w:val="bottom"/>
            <w:tcBorders>
              <w:bottom w:val="single" w:sz="8" w:color="E6E7E8"/>
            </w:tcBorders>
          </w:tcPr>
          <w:p>
            <w:pPr>
              <w:spacing w:after="0"/>
              <w:rPr>
                <w:sz w:val="17"/>
                <w:szCs w:val="17"/>
                <w:color w:val="auto"/>
              </w:rPr>
            </w:pPr>
          </w:p>
        </w:tc>
        <w:tc>
          <w:tcPr>
            <w:tcW w:w="920" w:type="dxa"/>
            <w:vAlign w:val="bottom"/>
            <w:tcBorders>
              <w:bottom w:val="single" w:sz="8" w:color="231F20"/>
            </w:tcBorders>
          </w:tcPr>
          <w:p>
            <w:pPr>
              <w:ind w:left="120"/>
              <w:spacing w:after="0"/>
              <w:rPr>
                <w:sz w:val="20"/>
                <w:szCs w:val="20"/>
                <w:color w:val="auto"/>
              </w:rPr>
            </w:pPr>
            <w:r>
              <w:rPr>
                <w:rFonts w:ascii="Times New Roman" w:cs="Times New Roman" w:eastAsia="Times New Roman" w:hAnsi="Times New Roman"/>
                <w:sz w:val="16"/>
                <w:szCs w:val="16"/>
                <w:b w:val="1"/>
                <w:bCs w:val="1"/>
                <w:color w:val="231F20"/>
              </w:rPr>
              <w:t>Provision</w:t>
            </w:r>
          </w:p>
        </w:tc>
        <w:tc>
          <w:tcPr>
            <w:tcW w:w="180" w:type="dxa"/>
            <w:vAlign w:val="bottom"/>
            <w:tcBorders>
              <w:bottom w:val="single" w:sz="8" w:color="E6E7E8"/>
            </w:tcBorders>
          </w:tcPr>
          <w:p>
            <w:pPr>
              <w:spacing w:after="0"/>
              <w:rPr>
                <w:sz w:val="17"/>
                <w:szCs w:val="17"/>
                <w:color w:val="auto"/>
              </w:rPr>
            </w:pPr>
          </w:p>
        </w:tc>
        <w:tc>
          <w:tcPr>
            <w:tcW w:w="920" w:type="dxa"/>
            <w:vAlign w:val="bottom"/>
            <w:tcBorders>
              <w:bottom w:val="single" w:sz="8" w:color="231F20"/>
            </w:tcBorders>
          </w:tcPr>
          <w:p>
            <w:pPr>
              <w:ind w:left="80"/>
              <w:spacing w:after="0"/>
              <w:rPr>
                <w:sz w:val="20"/>
                <w:szCs w:val="20"/>
                <w:color w:val="auto"/>
              </w:rPr>
            </w:pPr>
            <w:r>
              <w:rPr>
                <w:rFonts w:ascii="Times New Roman" w:cs="Times New Roman" w:eastAsia="Times New Roman" w:hAnsi="Times New Roman"/>
                <w:sz w:val="16"/>
                <w:szCs w:val="16"/>
                <w:b w:val="1"/>
                <w:bCs w:val="1"/>
                <w:color w:val="231F20"/>
              </w:rPr>
              <w:t>Recoveries</w:t>
            </w:r>
          </w:p>
        </w:tc>
        <w:tc>
          <w:tcPr>
            <w:tcW w:w="200" w:type="dxa"/>
            <w:vAlign w:val="bottom"/>
            <w:tcBorders>
              <w:bottom w:val="single" w:sz="8" w:color="E6E7E8"/>
            </w:tcBorders>
          </w:tcPr>
          <w:p>
            <w:pPr>
              <w:spacing w:after="0"/>
              <w:rPr>
                <w:sz w:val="17"/>
                <w:szCs w:val="17"/>
                <w:color w:val="auto"/>
              </w:rPr>
            </w:pPr>
          </w:p>
        </w:tc>
        <w:tc>
          <w:tcPr>
            <w:tcW w:w="9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5"/>
              </w:rPr>
              <w:t>Off</w:t>
            </w:r>
          </w:p>
        </w:tc>
        <w:tc>
          <w:tcPr>
            <w:tcW w:w="180" w:type="dxa"/>
            <w:vAlign w:val="bottom"/>
            <w:tcBorders>
              <w:bottom w:val="single" w:sz="8" w:color="E6E7E8"/>
            </w:tcBorders>
          </w:tcPr>
          <w:p>
            <w:pPr>
              <w:spacing w:after="0"/>
              <w:rPr>
                <w:sz w:val="17"/>
                <w:szCs w:val="17"/>
                <w:color w:val="auto"/>
              </w:rPr>
            </w:pPr>
          </w:p>
        </w:tc>
        <w:tc>
          <w:tcPr>
            <w:tcW w:w="9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Period</w:t>
            </w:r>
          </w:p>
        </w:tc>
        <w:tc>
          <w:tcPr>
            <w:tcW w:w="60" w:type="dxa"/>
            <w:vAlign w:val="bottom"/>
            <w:tcBorders>
              <w:bottom w:val="single" w:sz="8" w:color="E6E7E8"/>
            </w:tcBorders>
          </w:tcPr>
          <w:p>
            <w:pPr>
              <w:spacing w:after="0"/>
              <w:rPr>
                <w:sz w:val="17"/>
                <w:szCs w:val="17"/>
                <w:color w:val="auto"/>
              </w:rPr>
            </w:pPr>
          </w:p>
        </w:tc>
      </w:tr>
      <w:tr>
        <w:trPr>
          <w:trHeight w:val="228"/>
        </w:trPr>
        <w:tc>
          <w:tcPr>
            <w:tcW w:w="4300" w:type="dxa"/>
            <w:vAlign w:val="bottom"/>
            <w:shd w:val="clear" w:color="auto" w:fill="E6E7E8"/>
          </w:tcPr>
          <w:p>
            <w:pPr>
              <w:spacing w:after="0"/>
              <w:rPr>
                <w:sz w:val="20"/>
                <w:szCs w:val="20"/>
                <w:color w:val="auto"/>
              </w:rPr>
            </w:pPr>
            <w:r>
              <w:rPr>
                <w:rFonts w:ascii="Times New Roman" w:cs="Times New Roman" w:eastAsia="Times New Roman" w:hAnsi="Times New Roman"/>
                <w:sz w:val="16"/>
                <w:szCs w:val="16"/>
                <w:b w:val="1"/>
                <w:bCs w:val="1"/>
                <w:color w:val="231F20"/>
              </w:rPr>
              <w:t>Year Ended December 31, 2025</w:t>
            </w:r>
          </w:p>
        </w:tc>
        <w:tc>
          <w:tcPr>
            <w:tcW w:w="92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c>
          <w:tcPr>
            <w:tcW w:w="920" w:type="dxa"/>
            <w:vAlign w:val="bottom"/>
            <w:shd w:val="clear" w:color="auto" w:fill="E6E7E8"/>
          </w:tcPr>
          <w:p>
            <w:pPr>
              <w:spacing w:after="0"/>
              <w:rPr>
                <w:sz w:val="19"/>
                <w:szCs w:val="19"/>
                <w:color w:val="auto"/>
              </w:rPr>
            </w:pPr>
          </w:p>
        </w:tc>
        <w:tc>
          <w:tcPr>
            <w:tcW w:w="180" w:type="dxa"/>
            <w:vAlign w:val="bottom"/>
            <w:shd w:val="clear" w:color="auto" w:fill="E6E7E8"/>
          </w:tcPr>
          <w:p>
            <w:pPr>
              <w:spacing w:after="0"/>
              <w:rPr>
                <w:sz w:val="19"/>
                <w:szCs w:val="19"/>
                <w:color w:val="auto"/>
              </w:rPr>
            </w:pPr>
          </w:p>
        </w:tc>
        <w:tc>
          <w:tcPr>
            <w:tcW w:w="92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c>
          <w:tcPr>
            <w:tcW w:w="920" w:type="dxa"/>
            <w:vAlign w:val="bottom"/>
            <w:shd w:val="clear" w:color="auto" w:fill="E6E7E8"/>
          </w:tcPr>
          <w:p>
            <w:pPr>
              <w:spacing w:after="0"/>
              <w:rPr>
                <w:sz w:val="19"/>
                <w:szCs w:val="19"/>
                <w:color w:val="auto"/>
              </w:rPr>
            </w:pPr>
          </w:p>
        </w:tc>
        <w:tc>
          <w:tcPr>
            <w:tcW w:w="180" w:type="dxa"/>
            <w:vAlign w:val="bottom"/>
            <w:shd w:val="clear" w:color="auto" w:fill="E6E7E8"/>
          </w:tcPr>
          <w:p>
            <w:pPr>
              <w:spacing w:after="0"/>
              <w:rPr>
                <w:sz w:val="19"/>
                <w:szCs w:val="19"/>
                <w:color w:val="auto"/>
              </w:rPr>
            </w:pPr>
          </w:p>
        </w:tc>
        <w:tc>
          <w:tcPr>
            <w:tcW w:w="920" w:type="dxa"/>
            <w:vAlign w:val="bottom"/>
            <w:shd w:val="clear" w:color="auto" w:fill="E6E7E8"/>
          </w:tcPr>
          <w:p>
            <w:pPr>
              <w:spacing w:after="0"/>
              <w:rPr>
                <w:sz w:val="19"/>
                <w:szCs w:val="19"/>
                <w:color w:val="auto"/>
              </w:rPr>
            </w:pPr>
          </w:p>
        </w:tc>
        <w:tc>
          <w:tcPr>
            <w:tcW w:w="60" w:type="dxa"/>
            <w:vAlign w:val="bottom"/>
            <w:shd w:val="clear" w:color="auto" w:fill="E6E7E8"/>
          </w:tcPr>
          <w:p>
            <w:pPr>
              <w:spacing w:after="0"/>
              <w:rPr>
                <w:sz w:val="19"/>
                <w:szCs w:val="19"/>
                <w:color w:val="auto"/>
              </w:rPr>
            </w:pPr>
          </w:p>
        </w:tc>
      </w:tr>
    </w:tbl>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233"/>
        </w:trPr>
        <w:tc>
          <w:tcPr>
            <w:tcW w:w="430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Electric</w:t>
            </w:r>
          </w:p>
        </w:tc>
        <w:tc>
          <w:tcPr>
            <w:tcW w:w="380" w:type="dxa"/>
            <w:vAlign w:val="bottom"/>
            <w:gridSpan w:val="2"/>
          </w:tcPr>
          <w:p>
            <w:pPr>
              <w:jc w:val="right"/>
              <w:ind w:right="196"/>
              <w:spacing w:after="0"/>
              <w:rPr>
                <w:sz w:val="20"/>
                <w:szCs w:val="20"/>
                <w:color w:val="auto"/>
              </w:rPr>
            </w:pPr>
            <w:r>
              <w:rPr>
                <w:rFonts w:ascii="Times New Roman" w:cs="Times New Roman" w:eastAsia="Times New Roman" w:hAnsi="Times New Roman"/>
                <w:sz w:val="19"/>
                <w:szCs w:val="19"/>
                <w:b w:val="1"/>
                <w:bCs w:val="1"/>
                <w:color w:val="231F20"/>
                <w:w w:val="8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1.4</w:t>
            </w:r>
          </w:p>
        </w:tc>
        <w:tc>
          <w:tcPr>
            <w:tcW w:w="580" w:type="dxa"/>
            <w:vAlign w:val="bottom"/>
            <w:gridSpan w:val="2"/>
          </w:tcPr>
          <w:p>
            <w:pPr>
              <w:jc w:val="right"/>
              <w:ind w:right="185"/>
              <w:spacing w:after="0"/>
              <w:rPr>
                <w:sz w:val="20"/>
                <w:szCs w:val="20"/>
                <w:color w:val="auto"/>
              </w:rPr>
            </w:pPr>
            <w:r>
              <w:rPr>
                <w:rFonts w:ascii="Times New Roman" w:cs="Times New Roman" w:eastAsia="Times New Roman" w:hAnsi="Times New Roman"/>
                <w:sz w:val="19"/>
                <w:szCs w:val="19"/>
                <w:b w:val="1"/>
                <w:bCs w:val="1"/>
                <w:color w:val="231F2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3.4</w:t>
            </w:r>
          </w:p>
        </w:tc>
        <w:tc>
          <w:tcPr>
            <w:tcW w:w="560" w:type="dxa"/>
            <w:vAlign w:val="bottom"/>
            <w:gridSpan w:val="2"/>
          </w:tcPr>
          <w:p>
            <w:pPr>
              <w:jc w:val="right"/>
              <w:ind w:right="185"/>
              <w:spacing w:after="0"/>
              <w:rPr>
                <w:sz w:val="20"/>
                <w:szCs w:val="20"/>
                <w:color w:val="auto"/>
              </w:rPr>
            </w:pPr>
            <w:r>
              <w:rPr>
                <w:rFonts w:ascii="Times New Roman" w:cs="Times New Roman" w:eastAsia="Times New Roman" w:hAnsi="Times New Roman"/>
                <w:sz w:val="19"/>
                <w:szCs w:val="19"/>
                <w:b w:val="1"/>
                <w:bCs w:val="1"/>
                <w:color w:val="231F2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0.2</w:t>
            </w:r>
          </w:p>
        </w:tc>
        <w:tc>
          <w:tcPr>
            <w:tcW w:w="580" w:type="dxa"/>
            <w:vAlign w:val="bottom"/>
            <w:gridSpan w:val="2"/>
          </w:tcPr>
          <w:p>
            <w:pPr>
              <w:jc w:val="right"/>
              <w:ind w:right="185"/>
              <w:spacing w:after="0"/>
              <w:rPr>
                <w:sz w:val="20"/>
                <w:szCs w:val="20"/>
                <w:color w:val="auto"/>
              </w:rPr>
            </w:pPr>
            <w:r>
              <w:rPr>
                <w:rFonts w:ascii="Times New Roman" w:cs="Times New Roman" w:eastAsia="Times New Roman" w:hAnsi="Times New Roman"/>
                <w:sz w:val="19"/>
                <w:szCs w:val="19"/>
                <w:b w:val="1"/>
                <w:bCs w:val="1"/>
                <w:color w:val="231F2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4.2</w:t>
            </w:r>
          </w:p>
        </w:tc>
        <w:tc>
          <w:tcPr>
            <w:tcW w:w="560" w:type="dxa"/>
            <w:vAlign w:val="bottom"/>
            <w:gridSpan w:val="2"/>
          </w:tcPr>
          <w:p>
            <w:pPr>
              <w:jc w:val="right"/>
              <w:ind w:right="185"/>
              <w:spacing w:after="0"/>
              <w:rPr>
                <w:sz w:val="20"/>
                <w:szCs w:val="20"/>
                <w:color w:val="auto"/>
              </w:rPr>
            </w:pPr>
            <w:r>
              <w:rPr>
                <w:rFonts w:ascii="Times New Roman" w:cs="Times New Roman" w:eastAsia="Times New Roman" w:hAnsi="Times New Roman"/>
                <w:sz w:val="19"/>
                <w:szCs w:val="19"/>
                <w:b w:val="1"/>
                <w:bCs w:val="1"/>
                <w:color w:val="231F2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0.8</w:t>
            </w:r>
          </w:p>
        </w:tc>
        <w:tc>
          <w:tcPr>
            <w:tcW w:w="60" w:type="dxa"/>
            <w:vAlign w:val="bottom"/>
          </w:tcPr>
          <w:p>
            <w:pPr>
              <w:spacing w:after="0"/>
              <w:rPr>
                <w:sz w:val="20"/>
                <w:szCs w:val="20"/>
                <w:color w:val="auto"/>
              </w:rPr>
            </w:pPr>
          </w:p>
        </w:tc>
      </w:tr>
      <w:tr>
        <w:trPr>
          <w:trHeight w:val="233"/>
        </w:trPr>
        <w:tc>
          <w:tcPr>
            <w:tcW w:w="430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Gas</w:t>
            </w:r>
          </w:p>
        </w:tc>
        <w:tc>
          <w:tcPr>
            <w:tcW w:w="20" w:type="dxa"/>
            <w:vAlign w:val="bottom"/>
            <w:shd w:val="clear" w:color="auto" w:fill="E6E7E8"/>
          </w:tcPr>
          <w:p>
            <w:pPr>
              <w:spacing w:after="0"/>
              <w:rPr>
                <w:sz w:val="20"/>
                <w:szCs w:val="20"/>
                <w:color w:val="auto"/>
              </w:rPr>
            </w:pPr>
          </w:p>
        </w:tc>
        <w:tc>
          <w:tcPr>
            <w:tcW w:w="360" w:type="dxa"/>
            <w:vAlign w:val="bottom"/>
            <w:tcBorders>
              <w:bottom w:val="single" w:sz="8" w:color="231F20"/>
            </w:tcBorders>
            <w:shd w:val="clear" w:color="auto" w:fill="E6E7E8"/>
          </w:tcPr>
          <w:p>
            <w:pPr>
              <w:spacing w:after="0"/>
              <w:rPr>
                <w:sz w:val="20"/>
                <w:szCs w:val="20"/>
                <w:color w:val="auto"/>
              </w:rPr>
            </w:pPr>
          </w:p>
        </w:tc>
        <w:tc>
          <w:tcPr>
            <w:tcW w:w="54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1.0</w:t>
            </w:r>
          </w:p>
        </w:tc>
        <w:tc>
          <w:tcPr>
            <w:tcW w:w="200" w:type="dxa"/>
            <w:vAlign w:val="bottom"/>
            <w:shd w:val="clear" w:color="auto" w:fill="E6E7E8"/>
          </w:tcPr>
          <w:p>
            <w:pPr>
              <w:spacing w:after="0"/>
              <w:rPr>
                <w:sz w:val="20"/>
                <w:szCs w:val="20"/>
                <w:color w:val="auto"/>
              </w:rPr>
            </w:pPr>
          </w:p>
        </w:tc>
        <w:tc>
          <w:tcPr>
            <w:tcW w:w="380" w:type="dxa"/>
            <w:vAlign w:val="bottom"/>
            <w:tcBorders>
              <w:bottom w:val="single" w:sz="8" w:color="231F20"/>
            </w:tcBorders>
            <w:shd w:val="clear" w:color="auto" w:fill="E6E7E8"/>
          </w:tcPr>
          <w:p>
            <w:pPr>
              <w:spacing w:after="0"/>
              <w:rPr>
                <w:sz w:val="20"/>
                <w:szCs w:val="20"/>
                <w:color w:val="auto"/>
              </w:rPr>
            </w:pPr>
          </w:p>
        </w:tc>
        <w:tc>
          <w:tcPr>
            <w:tcW w:w="54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3.6</w:t>
            </w:r>
          </w:p>
        </w:tc>
        <w:tc>
          <w:tcPr>
            <w:tcW w:w="180" w:type="dxa"/>
            <w:vAlign w:val="bottom"/>
            <w:shd w:val="clear" w:color="auto" w:fill="E6E7E8"/>
          </w:tcPr>
          <w:p>
            <w:pPr>
              <w:spacing w:after="0"/>
              <w:rPr>
                <w:sz w:val="20"/>
                <w:szCs w:val="20"/>
                <w:color w:val="auto"/>
              </w:rPr>
            </w:pPr>
          </w:p>
        </w:tc>
        <w:tc>
          <w:tcPr>
            <w:tcW w:w="380" w:type="dxa"/>
            <w:vAlign w:val="bottom"/>
            <w:tcBorders>
              <w:bottom w:val="single" w:sz="8" w:color="231F20"/>
            </w:tcBorders>
            <w:shd w:val="clear" w:color="auto" w:fill="E6E7E8"/>
          </w:tcPr>
          <w:p>
            <w:pPr>
              <w:spacing w:after="0"/>
              <w:rPr>
                <w:sz w:val="20"/>
                <w:szCs w:val="20"/>
                <w:color w:val="auto"/>
              </w:rPr>
            </w:pPr>
          </w:p>
        </w:tc>
        <w:tc>
          <w:tcPr>
            <w:tcW w:w="54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0.4</w:t>
            </w:r>
          </w:p>
        </w:tc>
        <w:tc>
          <w:tcPr>
            <w:tcW w:w="200" w:type="dxa"/>
            <w:vAlign w:val="bottom"/>
            <w:shd w:val="clear" w:color="auto" w:fill="E6E7E8"/>
          </w:tcPr>
          <w:p>
            <w:pPr>
              <w:spacing w:after="0"/>
              <w:rPr>
                <w:sz w:val="20"/>
                <w:szCs w:val="20"/>
                <w:color w:val="auto"/>
              </w:rPr>
            </w:pPr>
          </w:p>
        </w:tc>
        <w:tc>
          <w:tcPr>
            <w:tcW w:w="380" w:type="dxa"/>
            <w:vAlign w:val="bottom"/>
            <w:tcBorders>
              <w:bottom w:val="single" w:sz="8" w:color="231F20"/>
            </w:tcBorders>
            <w:shd w:val="clear" w:color="auto" w:fill="E6E7E8"/>
          </w:tcPr>
          <w:p>
            <w:pPr>
              <w:spacing w:after="0"/>
              <w:rPr>
                <w:sz w:val="20"/>
                <w:szCs w:val="20"/>
                <w:color w:val="auto"/>
              </w:rPr>
            </w:pPr>
          </w:p>
        </w:tc>
        <w:tc>
          <w:tcPr>
            <w:tcW w:w="54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3.6</w:t>
            </w:r>
          </w:p>
        </w:tc>
        <w:tc>
          <w:tcPr>
            <w:tcW w:w="180" w:type="dxa"/>
            <w:vAlign w:val="bottom"/>
            <w:shd w:val="clear" w:color="auto" w:fill="E6E7E8"/>
          </w:tcPr>
          <w:p>
            <w:pPr>
              <w:spacing w:after="0"/>
              <w:rPr>
                <w:sz w:val="20"/>
                <w:szCs w:val="20"/>
                <w:color w:val="auto"/>
              </w:rPr>
            </w:pPr>
          </w:p>
        </w:tc>
        <w:tc>
          <w:tcPr>
            <w:tcW w:w="380" w:type="dxa"/>
            <w:vAlign w:val="bottom"/>
            <w:tcBorders>
              <w:bottom w:val="single" w:sz="8" w:color="231F20"/>
            </w:tcBorders>
            <w:shd w:val="clear" w:color="auto" w:fill="E6E7E8"/>
          </w:tcPr>
          <w:p>
            <w:pPr>
              <w:spacing w:after="0"/>
              <w:rPr>
                <w:sz w:val="20"/>
                <w:szCs w:val="20"/>
                <w:color w:val="auto"/>
              </w:rPr>
            </w:pPr>
          </w:p>
        </w:tc>
        <w:tc>
          <w:tcPr>
            <w:tcW w:w="54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1.4</w:t>
            </w:r>
          </w:p>
        </w:tc>
        <w:tc>
          <w:tcPr>
            <w:tcW w:w="60" w:type="dxa"/>
            <w:vAlign w:val="bottom"/>
            <w:shd w:val="clear" w:color="auto" w:fill="E6E7E8"/>
          </w:tcPr>
          <w:p>
            <w:pPr>
              <w:spacing w:after="0"/>
              <w:rPr>
                <w:sz w:val="20"/>
                <w:szCs w:val="20"/>
                <w:color w:val="auto"/>
              </w:rPr>
            </w:pPr>
          </w:p>
        </w:tc>
      </w:tr>
      <w:tr>
        <w:trPr>
          <w:trHeight w:val="268"/>
        </w:trPr>
        <w:tc>
          <w:tcPr>
            <w:tcW w:w="4300" w:type="dxa"/>
            <w:vAlign w:val="bottom"/>
            <w:tcBorders>
              <w:bottom w:val="single" w:sz="8" w:color="E6E7E8"/>
            </w:tcBorders>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Borders>
              <w:bottom w:val="single" w:sz="8" w:color="231F20"/>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2.4</w:t>
            </w:r>
          </w:p>
        </w:tc>
        <w:tc>
          <w:tcPr>
            <w:tcW w:w="200" w:type="dxa"/>
            <w:vAlign w:val="bottom"/>
            <w:tcBorders>
              <w:bottom w:val="single" w:sz="8" w:color="E6E7E8"/>
            </w:tcBorders>
          </w:tcPr>
          <w:p>
            <w:pPr>
              <w:spacing w:after="0"/>
              <w:rPr>
                <w:sz w:val="23"/>
                <w:szCs w:val="23"/>
                <w:color w:val="auto"/>
              </w:rPr>
            </w:pPr>
          </w:p>
        </w:tc>
        <w:tc>
          <w:tcPr>
            <w:tcW w:w="380" w:type="dxa"/>
            <w:vAlign w:val="bottom"/>
            <w:tcBorders>
              <w:bottom w:val="single" w:sz="8" w:color="231F20"/>
            </w:tcBorders>
          </w:tcPr>
          <w:p>
            <w:pPr>
              <w:jc w:val="right"/>
              <w:ind w:right="185"/>
              <w:spacing w:after="0"/>
              <w:rPr>
                <w:sz w:val="20"/>
                <w:szCs w:val="20"/>
                <w:color w:val="auto"/>
              </w:rPr>
            </w:pPr>
            <w:r>
              <w:rPr>
                <w:rFonts w:ascii="Times New Roman" w:cs="Times New Roman" w:eastAsia="Times New Roman" w:hAnsi="Times New Roman"/>
                <w:sz w:val="19"/>
                <w:szCs w:val="19"/>
                <w:b w:val="1"/>
                <w:bCs w:val="1"/>
                <w:color w:val="231F20"/>
                <w:w w:val="83"/>
              </w:rPr>
              <w:t>$</w:t>
            </w: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7.0</w:t>
            </w:r>
          </w:p>
        </w:tc>
        <w:tc>
          <w:tcPr>
            <w:tcW w:w="180" w:type="dxa"/>
            <w:vAlign w:val="bottom"/>
            <w:tcBorders>
              <w:bottom w:val="single" w:sz="8" w:color="E6E7E8"/>
            </w:tcBorders>
          </w:tcPr>
          <w:p>
            <w:pPr>
              <w:spacing w:after="0"/>
              <w:rPr>
                <w:sz w:val="23"/>
                <w:szCs w:val="23"/>
                <w:color w:val="auto"/>
              </w:rPr>
            </w:pPr>
          </w:p>
        </w:tc>
        <w:tc>
          <w:tcPr>
            <w:tcW w:w="380" w:type="dxa"/>
            <w:vAlign w:val="bottom"/>
            <w:tcBorders>
              <w:bottom w:val="single" w:sz="8" w:color="231F20"/>
            </w:tcBorders>
          </w:tcPr>
          <w:p>
            <w:pPr>
              <w:jc w:val="right"/>
              <w:ind w:right="185"/>
              <w:spacing w:after="0"/>
              <w:rPr>
                <w:sz w:val="20"/>
                <w:szCs w:val="20"/>
                <w:color w:val="auto"/>
              </w:rPr>
            </w:pPr>
            <w:r>
              <w:rPr>
                <w:rFonts w:ascii="Times New Roman" w:cs="Times New Roman" w:eastAsia="Times New Roman" w:hAnsi="Times New Roman"/>
                <w:sz w:val="19"/>
                <w:szCs w:val="19"/>
                <w:b w:val="1"/>
                <w:bCs w:val="1"/>
                <w:color w:val="231F20"/>
                <w:w w:val="83"/>
              </w:rPr>
              <w:t>$</w:t>
            </w: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0.6</w:t>
            </w:r>
          </w:p>
        </w:tc>
        <w:tc>
          <w:tcPr>
            <w:tcW w:w="200" w:type="dxa"/>
            <w:vAlign w:val="bottom"/>
            <w:tcBorders>
              <w:bottom w:val="single" w:sz="8" w:color="E6E7E8"/>
            </w:tcBorders>
          </w:tcPr>
          <w:p>
            <w:pPr>
              <w:spacing w:after="0"/>
              <w:rPr>
                <w:sz w:val="23"/>
                <w:szCs w:val="23"/>
                <w:color w:val="auto"/>
              </w:rPr>
            </w:pPr>
          </w:p>
        </w:tc>
        <w:tc>
          <w:tcPr>
            <w:tcW w:w="380" w:type="dxa"/>
            <w:vAlign w:val="bottom"/>
            <w:tcBorders>
              <w:bottom w:val="single" w:sz="8" w:color="231F20"/>
            </w:tcBorders>
          </w:tcPr>
          <w:p>
            <w:pPr>
              <w:jc w:val="right"/>
              <w:ind w:right="185"/>
              <w:spacing w:after="0"/>
              <w:rPr>
                <w:sz w:val="20"/>
                <w:szCs w:val="20"/>
                <w:color w:val="auto"/>
              </w:rPr>
            </w:pPr>
            <w:r>
              <w:rPr>
                <w:rFonts w:ascii="Times New Roman" w:cs="Times New Roman" w:eastAsia="Times New Roman" w:hAnsi="Times New Roman"/>
                <w:sz w:val="19"/>
                <w:szCs w:val="19"/>
                <w:b w:val="1"/>
                <w:bCs w:val="1"/>
                <w:color w:val="231F20"/>
                <w:w w:val="83"/>
              </w:rPr>
              <w:t>$</w:t>
            </w: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7.8</w:t>
            </w:r>
          </w:p>
        </w:tc>
        <w:tc>
          <w:tcPr>
            <w:tcW w:w="180" w:type="dxa"/>
            <w:vAlign w:val="bottom"/>
            <w:tcBorders>
              <w:bottom w:val="single" w:sz="8" w:color="E6E7E8"/>
            </w:tcBorders>
          </w:tcPr>
          <w:p>
            <w:pPr>
              <w:spacing w:after="0"/>
              <w:rPr>
                <w:sz w:val="23"/>
                <w:szCs w:val="23"/>
                <w:color w:val="auto"/>
              </w:rPr>
            </w:pPr>
          </w:p>
        </w:tc>
        <w:tc>
          <w:tcPr>
            <w:tcW w:w="380" w:type="dxa"/>
            <w:vAlign w:val="bottom"/>
            <w:tcBorders>
              <w:bottom w:val="single" w:sz="8" w:color="231F20"/>
            </w:tcBorders>
          </w:tcPr>
          <w:p>
            <w:pPr>
              <w:jc w:val="right"/>
              <w:ind w:right="185"/>
              <w:spacing w:after="0"/>
              <w:rPr>
                <w:sz w:val="20"/>
                <w:szCs w:val="20"/>
                <w:color w:val="auto"/>
              </w:rPr>
            </w:pPr>
            <w:r>
              <w:rPr>
                <w:rFonts w:ascii="Times New Roman" w:cs="Times New Roman" w:eastAsia="Times New Roman" w:hAnsi="Times New Roman"/>
                <w:sz w:val="19"/>
                <w:szCs w:val="19"/>
                <w:b w:val="1"/>
                <w:bCs w:val="1"/>
                <w:color w:val="231F20"/>
                <w:w w:val="83"/>
              </w:rPr>
              <w:t>$</w:t>
            </w: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2.2</w:t>
            </w:r>
          </w:p>
        </w:tc>
        <w:tc>
          <w:tcPr>
            <w:tcW w:w="60" w:type="dxa"/>
            <w:vAlign w:val="bottom"/>
            <w:tcBorders>
              <w:bottom w:val="single" w:sz="8" w:color="E6E7E8"/>
            </w:tcBorders>
          </w:tcPr>
          <w:p>
            <w:pPr>
              <w:spacing w:after="0"/>
              <w:rPr>
                <w:sz w:val="23"/>
                <w:szCs w:val="23"/>
                <w:color w:val="auto"/>
              </w:rPr>
            </w:pPr>
          </w:p>
        </w:tc>
      </w:tr>
      <w:tr>
        <w:trPr>
          <w:trHeight w:val="218"/>
        </w:trPr>
        <w:tc>
          <w:tcPr>
            <w:tcW w:w="4300" w:type="dxa"/>
            <w:vAlign w:val="bottom"/>
            <w:shd w:val="clear" w:color="auto" w:fill="E6E7E8"/>
          </w:tcPr>
          <w:p>
            <w:pPr>
              <w:spacing w:after="0"/>
              <w:rPr>
                <w:sz w:val="20"/>
                <w:szCs w:val="20"/>
                <w:color w:val="auto"/>
              </w:rPr>
            </w:pPr>
            <w:r>
              <w:rPr>
                <w:rFonts w:ascii="Times New Roman" w:cs="Times New Roman" w:eastAsia="Times New Roman" w:hAnsi="Times New Roman"/>
                <w:sz w:val="16"/>
                <w:szCs w:val="16"/>
                <w:b w:val="1"/>
                <w:bCs w:val="1"/>
                <w:color w:val="231F20"/>
              </w:rPr>
              <w:t>Year Ended December 31, 2024</w:t>
            </w:r>
          </w:p>
        </w:tc>
        <w:tc>
          <w:tcPr>
            <w:tcW w:w="20" w:type="dxa"/>
            <w:vAlign w:val="bottom"/>
          </w:tcPr>
          <w:p>
            <w:pPr>
              <w:spacing w:after="0"/>
              <w:rPr>
                <w:sz w:val="18"/>
                <w:szCs w:val="18"/>
                <w:color w:val="auto"/>
              </w:rPr>
            </w:pPr>
          </w:p>
        </w:tc>
        <w:tc>
          <w:tcPr>
            <w:tcW w:w="360" w:type="dxa"/>
            <w:vAlign w:val="bottom"/>
            <w:shd w:val="clear" w:color="auto" w:fill="E6E7E8"/>
          </w:tcPr>
          <w:p>
            <w:pPr>
              <w:spacing w:after="0"/>
              <w:rPr>
                <w:sz w:val="18"/>
                <w:szCs w:val="18"/>
                <w:color w:val="auto"/>
              </w:rPr>
            </w:pPr>
          </w:p>
        </w:tc>
        <w:tc>
          <w:tcPr>
            <w:tcW w:w="540" w:type="dxa"/>
            <w:vAlign w:val="bottom"/>
            <w:shd w:val="clear" w:color="auto" w:fill="E6E7E8"/>
          </w:tcPr>
          <w:p>
            <w:pPr>
              <w:spacing w:after="0"/>
              <w:rPr>
                <w:sz w:val="18"/>
                <w:szCs w:val="18"/>
                <w:color w:val="auto"/>
              </w:rPr>
            </w:pPr>
          </w:p>
        </w:tc>
        <w:tc>
          <w:tcPr>
            <w:tcW w:w="200" w:type="dxa"/>
            <w:vAlign w:val="bottom"/>
            <w:shd w:val="clear" w:color="auto" w:fill="E6E7E8"/>
          </w:tcPr>
          <w:p>
            <w:pPr>
              <w:spacing w:after="0"/>
              <w:rPr>
                <w:sz w:val="18"/>
                <w:szCs w:val="18"/>
                <w:color w:val="auto"/>
              </w:rPr>
            </w:pPr>
          </w:p>
        </w:tc>
        <w:tc>
          <w:tcPr>
            <w:tcW w:w="380" w:type="dxa"/>
            <w:vAlign w:val="bottom"/>
            <w:shd w:val="clear" w:color="auto" w:fill="E6E7E8"/>
          </w:tcPr>
          <w:p>
            <w:pPr>
              <w:spacing w:after="0"/>
              <w:rPr>
                <w:sz w:val="18"/>
                <w:szCs w:val="18"/>
                <w:color w:val="auto"/>
              </w:rPr>
            </w:pPr>
          </w:p>
        </w:tc>
        <w:tc>
          <w:tcPr>
            <w:tcW w:w="540" w:type="dxa"/>
            <w:vAlign w:val="bottom"/>
            <w:shd w:val="clear" w:color="auto" w:fill="E6E7E8"/>
          </w:tcPr>
          <w:p>
            <w:pPr>
              <w:spacing w:after="0"/>
              <w:rPr>
                <w:sz w:val="18"/>
                <w:szCs w:val="18"/>
                <w:color w:val="auto"/>
              </w:rPr>
            </w:pPr>
          </w:p>
        </w:tc>
        <w:tc>
          <w:tcPr>
            <w:tcW w:w="180" w:type="dxa"/>
            <w:vAlign w:val="bottom"/>
            <w:shd w:val="clear" w:color="auto" w:fill="E6E7E8"/>
          </w:tcPr>
          <w:p>
            <w:pPr>
              <w:spacing w:after="0"/>
              <w:rPr>
                <w:sz w:val="18"/>
                <w:szCs w:val="18"/>
                <w:color w:val="auto"/>
              </w:rPr>
            </w:pPr>
          </w:p>
        </w:tc>
        <w:tc>
          <w:tcPr>
            <w:tcW w:w="380" w:type="dxa"/>
            <w:vAlign w:val="bottom"/>
            <w:shd w:val="clear" w:color="auto" w:fill="E6E7E8"/>
          </w:tcPr>
          <w:p>
            <w:pPr>
              <w:spacing w:after="0"/>
              <w:rPr>
                <w:sz w:val="18"/>
                <w:szCs w:val="18"/>
                <w:color w:val="auto"/>
              </w:rPr>
            </w:pPr>
          </w:p>
        </w:tc>
        <w:tc>
          <w:tcPr>
            <w:tcW w:w="540" w:type="dxa"/>
            <w:vAlign w:val="bottom"/>
            <w:shd w:val="clear" w:color="auto" w:fill="E6E7E8"/>
          </w:tcPr>
          <w:p>
            <w:pPr>
              <w:spacing w:after="0"/>
              <w:rPr>
                <w:sz w:val="18"/>
                <w:szCs w:val="18"/>
                <w:color w:val="auto"/>
              </w:rPr>
            </w:pPr>
          </w:p>
        </w:tc>
        <w:tc>
          <w:tcPr>
            <w:tcW w:w="200" w:type="dxa"/>
            <w:vAlign w:val="bottom"/>
            <w:shd w:val="clear" w:color="auto" w:fill="E6E7E8"/>
          </w:tcPr>
          <w:p>
            <w:pPr>
              <w:spacing w:after="0"/>
              <w:rPr>
                <w:sz w:val="18"/>
                <w:szCs w:val="18"/>
                <w:color w:val="auto"/>
              </w:rPr>
            </w:pPr>
          </w:p>
        </w:tc>
        <w:tc>
          <w:tcPr>
            <w:tcW w:w="380" w:type="dxa"/>
            <w:vAlign w:val="bottom"/>
            <w:shd w:val="clear" w:color="auto" w:fill="E6E7E8"/>
          </w:tcPr>
          <w:p>
            <w:pPr>
              <w:spacing w:after="0"/>
              <w:rPr>
                <w:sz w:val="18"/>
                <w:szCs w:val="18"/>
                <w:color w:val="auto"/>
              </w:rPr>
            </w:pPr>
          </w:p>
        </w:tc>
        <w:tc>
          <w:tcPr>
            <w:tcW w:w="540" w:type="dxa"/>
            <w:vAlign w:val="bottom"/>
            <w:shd w:val="clear" w:color="auto" w:fill="E6E7E8"/>
          </w:tcPr>
          <w:p>
            <w:pPr>
              <w:spacing w:after="0"/>
              <w:rPr>
                <w:sz w:val="18"/>
                <w:szCs w:val="18"/>
                <w:color w:val="auto"/>
              </w:rPr>
            </w:pPr>
          </w:p>
        </w:tc>
        <w:tc>
          <w:tcPr>
            <w:tcW w:w="180" w:type="dxa"/>
            <w:vAlign w:val="bottom"/>
            <w:shd w:val="clear" w:color="auto" w:fill="E6E7E8"/>
          </w:tcPr>
          <w:p>
            <w:pPr>
              <w:spacing w:after="0"/>
              <w:rPr>
                <w:sz w:val="18"/>
                <w:szCs w:val="18"/>
                <w:color w:val="auto"/>
              </w:rPr>
            </w:pPr>
          </w:p>
        </w:tc>
        <w:tc>
          <w:tcPr>
            <w:tcW w:w="380" w:type="dxa"/>
            <w:vAlign w:val="bottom"/>
            <w:shd w:val="clear" w:color="auto" w:fill="E6E7E8"/>
          </w:tcPr>
          <w:p>
            <w:pPr>
              <w:spacing w:after="0"/>
              <w:rPr>
                <w:sz w:val="18"/>
                <w:szCs w:val="18"/>
                <w:color w:val="auto"/>
              </w:rPr>
            </w:pPr>
          </w:p>
        </w:tc>
        <w:tc>
          <w:tcPr>
            <w:tcW w:w="540" w:type="dxa"/>
            <w:vAlign w:val="bottom"/>
            <w:shd w:val="clear" w:color="auto" w:fill="E6E7E8"/>
          </w:tcPr>
          <w:p>
            <w:pPr>
              <w:spacing w:after="0"/>
              <w:rPr>
                <w:sz w:val="18"/>
                <w:szCs w:val="18"/>
                <w:color w:val="auto"/>
              </w:rPr>
            </w:pPr>
          </w:p>
        </w:tc>
        <w:tc>
          <w:tcPr>
            <w:tcW w:w="60" w:type="dxa"/>
            <w:vAlign w:val="bottom"/>
            <w:shd w:val="clear" w:color="auto" w:fill="E6E7E8"/>
          </w:tcPr>
          <w:p>
            <w:pPr>
              <w:spacing w:after="0"/>
              <w:rPr>
                <w:sz w:val="18"/>
                <w:szCs w:val="18"/>
                <w:color w:val="auto"/>
              </w:rPr>
            </w:pPr>
          </w:p>
        </w:tc>
      </w:tr>
      <w:tr>
        <w:trPr>
          <w:trHeight w:val="233"/>
        </w:trPr>
        <w:tc>
          <w:tcPr>
            <w:tcW w:w="430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Electric</w:t>
            </w:r>
          </w:p>
        </w:tc>
        <w:tc>
          <w:tcPr>
            <w:tcW w:w="20" w:type="dxa"/>
            <w:vAlign w:val="bottom"/>
          </w:tcPr>
          <w:p>
            <w:pPr>
              <w:spacing w:after="0"/>
              <w:rPr>
                <w:sz w:val="20"/>
                <w:szCs w:val="20"/>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231F20"/>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1.5</w:t>
            </w:r>
          </w:p>
        </w:tc>
        <w:tc>
          <w:tcPr>
            <w:tcW w:w="200" w:type="dxa"/>
            <w:vAlign w:val="bottom"/>
          </w:tcPr>
          <w:p>
            <w:pPr>
              <w:spacing w:after="0"/>
              <w:rPr>
                <w:sz w:val="20"/>
                <w:szCs w:val="20"/>
                <w:color w:val="auto"/>
              </w:rPr>
            </w:pPr>
          </w:p>
        </w:tc>
        <w:tc>
          <w:tcPr>
            <w:tcW w:w="38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231F20"/>
                <w:w w:val="8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2.0</w:t>
            </w:r>
          </w:p>
        </w:tc>
        <w:tc>
          <w:tcPr>
            <w:tcW w:w="180" w:type="dxa"/>
            <w:vAlign w:val="bottom"/>
          </w:tcPr>
          <w:p>
            <w:pPr>
              <w:spacing w:after="0"/>
              <w:rPr>
                <w:sz w:val="20"/>
                <w:szCs w:val="20"/>
                <w:color w:val="auto"/>
              </w:rPr>
            </w:pPr>
          </w:p>
        </w:tc>
        <w:tc>
          <w:tcPr>
            <w:tcW w:w="38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231F20"/>
                <w:w w:val="8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0.2</w:t>
            </w:r>
          </w:p>
        </w:tc>
        <w:tc>
          <w:tcPr>
            <w:tcW w:w="200" w:type="dxa"/>
            <w:vAlign w:val="bottom"/>
          </w:tcPr>
          <w:p>
            <w:pPr>
              <w:spacing w:after="0"/>
              <w:rPr>
                <w:sz w:val="20"/>
                <w:szCs w:val="20"/>
                <w:color w:val="auto"/>
              </w:rPr>
            </w:pPr>
          </w:p>
        </w:tc>
        <w:tc>
          <w:tcPr>
            <w:tcW w:w="38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231F20"/>
                <w:w w:val="8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2.3</w:t>
            </w:r>
          </w:p>
        </w:tc>
        <w:tc>
          <w:tcPr>
            <w:tcW w:w="180" w:type="dxa"/>
            <w:vAlign w:val="bottom"/>
          </w:tcPr>
          <w:p>
            <w:pPr>
              <w:spacing w:after="0"/>
              <w:rPr>
                <w:sz w:val="20"/>
                <w:szCs w:val="20"/>
                <w:color w:val="auto"/>
              </w:rPr>
            </w:pPr>
          </w:p>
        </w:tc>
        <w:tc>
          <w:tcPr>
            <w:tcW w:w="38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231F20"/>
                <w:w w:val="8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1.4</w:t>
            </w:r>
          </w:p>
        </w:tc>
        <w:tc>
          <w:tcPr>
            <w:tcW w:w="60" w:type="dxa"/>
            <w:vAlign w:val="bottom"/>
          </w:tcPr>
          <w:p>
            <w:pPr>
              <w:spacing w:after="0"/>
              <w:rPr>
                <w:sz w:val="20"/>
                <w:szCs w:val="20"/>
                <w:color w:val="auto"/>
              </w:rPr>
            </w:pPr>
          </w:p>
        </w:tc>
      </w:tr>
      <w:tr>
        <w:trPr>
          <w:trHeight w:val="233"/>
        </w:trPr>
        <w:tc>
          <w:tcPr>
            <w:tcW w:w="430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Gas</w:t>
            </w:r>
          </w:p>
        </w:tc>
        <w:tc>
          <w:tcPr>
            <w:tcW w:w="20" w:type="dxa"/>
            <w:vAlign w:val="bottom"/>
            <w:shd w:val="clear" w:color="auto" w:fill="E6E7E8"/>
          </w:tcPr>
          <w:p>
            <w:pPr>
              <w:spacing w:after="0"/>
              <w:rPr>
                <w:sz w:val="20"/>
                <w:szCs w:val="20"/>
                <w:color w:val="auto"/>
              </w:rPr>
            </w:pPr>
          </w:p>
        </w:tc>
        <w:tc>
          <w:tcPr>
            <w:tcW w:w="360" w:type="dxa"/>
            <w:vAlign w:val="bottom"/>
            <w:tcBorders>
              <w:bottom w:val="single" w:sz="8" w:color="231F20"/>
            </w:tcBorders>
            <w:shd w:val="clear" w:color="auto" w:fill="E6E7E8"/>
          </w:tcPr>
          <w:p>
            <w:pPr>
              <w:spacing w:after="0"/>
              <w:rPr>
                <w:sz w:val="20"/>
                <w:szCs w:val="20"/>
                <w:color w:val="auto"/>
              </w:rPr>
            </w:pPr>
          </w:p>
        </w:tc>
        <w:tc>
          <w:tcPr>
            <w:tcW w:w="54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0.9</w:t>
            </w:r>
          </w:p>
        </w:tc>
        <w:tc>
          <w:tcPr>
            <w:tcW w:w="200" w:type="dxa"/>
            <w:vAlign w:val="bottom"/>
            <w:shd w:val="clear" w:color="auto" w:fill="E6E7E8"/>
          </w:tcPr>
          <w:p>
            <w:pPr>
              <w:spacing w:after="0"/>
              <w:rPr>
                <w:sz w:val="20"/>
                <w:szCs w:val="20"/>
                <w:color w:val="auto"/>
              </w:rPr>
            </w:pPr>
          </w:p>
        </w:tc>
        <w:tc>
          <w:tcPr>
            <w:tcW w:w="380" w:type="dxa"/>
            <w:vAlign w:val="bottom"/>
            <w:tcBorders>
              <w:bottom w:val="single" w:sz="8" w:color="231F20"/>
            </w:tcBorders>
            <w:shd w:val="clear" w:color="auto" w:fill="E6E7E8"/>
          </w:tcPr>
          <w:p>
            <w:pPr>
              <w:spacing w:after="0"/>
              <w:rPr>
                <w:sz w:val="20"/>
                <w:szCs w:val="20"/>
                <w:color w:val="auto"/>
              </w:rPr>
            </w:pPr>
          </w:p>
        </w:tc>
        <w:tc>
          <w:tcPr>
            <w:tcW w:w="54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2.3</w:t>
            </w:r>
          </w:p>
        </w:tc>
        <w:tc>
          <w:tcPr>
            <w:tcW w:w="180" w:type="dxa"/>
            <w:vAlign w:val="bottom"/>
            <w:shd w:val="clear" w:color="auto" w:fill="E6E7E8"/>
          </w:tcPr>
          <w:p>
            <w:pPr>
              <w:spacing w:after="0"/>
              <w:rPr>
                <w:sz w:val="20"/>
                <w:szCs w:val="20"/>
                <w:color w:val="auto"/>
              </w:rPr>
            </w:pPr>
          </w:p>
        </w:tc>
        <w:tc>
          <w:tcPr>
            <w:tcW w:w="380" w:type="dxa"/>
            <w:vAlign w:val="bottom"/>
            <w:tcBorders>
              <w:bottom w:val="single" w:sz="8" w:color="231F20"/>
            </w:tcBorders>
            <w:shd w:val="clear" w:color="auto" w:fill="E6E7E8"/>
          </w:tcPr>
          <w:p>
            <w:pPr>
              <w:spacing w:after="0"/>
              <w:rPr>
                <w:sz w:val="20"/>
                <w:szCs w:val="20"/>
                <w:color w:val="auto"/>
              </w:rPr>
            </w:pPr>
          </w:p>
        </w:tc>
        <w:tc>
          <w:tcPr>
            <w:tcW w:w="54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0.3</w:t>
            </w:r>
          </w:p>
        </w:tc>
        <w:tc>
          <w:tcPr>
            <w:tcW w:w="200" w:type="dxa"/>
            <w:vAlign w:val="bottom"/>
            <w:shd w:val="clear" w:color="auto" w:fill="E6E7E8"/>
          </w:tcPr>
          <w:p>
            <w:pPr>
              <w:spacing w:after="0"/>
              <w:rPr>
                <w:sz w:val="20"/>
                <w:szCs w:val="20"/>
                <w:color w:val="auto"/>
              </w:rPr>
            </w:pPr>
          </w:p>
        </w:tc>
        <w:tc>
          <w:tcPr>
            <w:tcW w:w="380" w:type="dxa"/>
            <w:vAlign w:val="bottom"/>
            <w:tcBorders>
              <w:bottom w:val="single" w:sz="8" w:color="231F20"/>
            </w:tcBorders>
            <w:shd w:val="clear" w:color="auto" w:fill="E6E7E8"/>
          </w:tcPr>
          <w:p>
            <w:pPr>
              <w:spacing w:after="0"/>
              <w:rPr>
                <w:sz w:val="20"/>
                <w:szCs w:val="20"/>
                <w:color w:val="auto"/>
              </w:rPr>
            </w:pPr>
          </w:p>
        </w:tc>
        <w:tc>
          <w:tcPr>
            <w:tcW w:w="54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2.5</w:t>
            </w:r>
          </w:p>
        </w:tc>
        <w:tc>
          <w:tcPr>
            <w:tcW w:w="180" w:type="dxa"/>
            <w:vAlign w:val="bottom"/>
            <w:shd w:val="clear" w:color="auto" w:fill="E6E7E8"/>
          </w:tcPr>
          <w:p>
            <w:pPr>
              <w:spacing w:after="0"/>
              <w:rPr>
                <w:sz w:val="20"/>
                <w:szCs w:val="20"/>
                <w:color w:val="auto"/>
              </w:rPr>
            </w:pPr>
          </w:p>
        </w:tc>
        <w:tc>
          <w:tcPr>
            <w:tcW w:w="380" w:type="dxa"/>
            <w:vAlign w:val="bottom"/>
            <w:tcBorders>
              <w:bottom w:val="single" w:sz="8" w:color="231F20"/>
            </w:tcBorders>
            <w:shd w:val="clear" w:color="auto" w:fill="E6E7E8"/>
          </w:tcPr>
          <w:p>
            <w:pPr>
              <w:spacing w:after="0"/>
              <w:rPr>
                <w:sz w:val="20"/>
                <w:szCs w:val="20"/>
                <w:color w:val="auto"/>
              </w:rPr>
            </w:pPr>
          </w:p>
        </w:tc>
        <w:tc>
          <w:tcPr>
            <w:tcW w:w="54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1.0</w:t>
            </w:r>
          </w:p>
        </w:tc>
        <w:tc>
          <w:tcPr>
            <w:tcW w:w="60" w:type="dxa"/>
            <w:vAlign w:val="bottom"/>
            <w:shd w:val="clear" w:color="auto" w:fill="E6E7E8"/>
          </w:tcPr>
          <w:p>
            <w:pPr>
              <w:spacing w:after="0"/>
              <w:rPr>
                <w:sz w:val="20"/>
                <w:szCs w:val="20"/>
                <w:color w:val="auto"/>
              </w:rPr>
            </w:pPr>
          </w:p>
        </w:tc>
      </w:tr>
      <w:tr>
        <w:trPr>
          <w:trHeight w:val="268"/>
        </w:trPr>
        <w:tc>
          <w:tcPr>
            <w:tcW w:w="4300" w:type="dxa"/>
            <w:vAlign w:val="bottom"/>
            <w:tcBorders>
              <w:bottom w:val="single" w:sz="8" w:color="E6E7E8"/>
            </w:tcBorders>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Borders>
              <w:bottom w:val="single" w:sz="8" w:color="231F20"/>
            </w:tcBorders>
          </w:tcPr>
          <w:p>
            <w:pPr>
              <w:jc w:val="right"/>
              <w:ind w:right="196"/>
              <w:spacing w:after="0"/>
              <w:rPr>
                <w:sz w:val="20"/>
                <w:szCs w:val="20"/>
                <w:color w:val="auto"/>
              </w:rPr>
            </w:pPr>
            <w:r>
              <w:rPr>
                <w:rFonts w:ascii="Times New Roman" w:cs="Times New Roman" w:eastAsia="Times New Roman" w:hAnsi="Times New Roman"/>
                <w:sz w:val="17"/>
                <w:szCs w:val="17"/>
                <w:color w:val="231F20"/>
                <w:w w:val="70"/>
              </w:rPr>
              <w:t>$</w:t>
            </w: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2.4</w:t>
            </w:r>
          </w:p>
        </w:tc>
        <w:tc>
          <w:tcPr>
            <w:tcW w:w="200" w:type="dxa"/>
            <w:vAlign w:val="bottom"/>
            <w:tcBorders>
              <w:bottom w:val="single" w:sz="8" w:color="E6E7E8"/>
            </w:tcBorders>
          </w:tcPr>
          <w:p>
            <w:pPr>
              <w:spacing w:after="0"/>
              <w:rPr>
                <w:sz w:val="23"/>
                <w:szCs w:val="23"/>
                <w:color w:val="auto"/>
              </w:rPr>
            </w:pPr>
          </w:p>
        </w:tc>
        <w:tc>
          <w:tcPr>
            <w:tcW w:w="380" w:type="dxa"/>
            <w:vAlign w:val="bottom"/>
            <w:tcBorders>
              <w:bottom w:val="single" w:sz="8" w:color="231F20"/>
            </w:tcBorders>
          </w:tcPr>
          <w:p>
            <w:pPr>
              <w:jc w:val="right"/>
              <w:ind w:right="185"/>
              <w:spacing w:after="0"/>
              <w:rPr>
                <w:sz w:val="20"/>
                <w:szCs w:val="20"/>
                <w:color w:val="auto"/>
              </w:rPr>
            </w:pPr>
            <w:r>
              <w:rPr>
                <w:rFonts w:ascii="Times New Roman" w:cs="Times New Roman" w:eastAsia="Times New Roman" w:hAnsi="Times New Roman"/>
                <w:sz w:val="19"/>
                <w:szCs w:val="19"/>
                <w:color w:val="231F20"/>
                <w:w w:val="83"/>
              </w:rPr>
              <w:t>$</w:t>
            </w: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4.3</w:t>
            </w:r>
          </w:p>
        </w:tc>
        <w:tc>
          <w:tcPr>
            <w:tcW w:w="180" w:type="dxa"/>
            <w:vAlign w:val="bottom"/>
            <w:tcBorders>
              <w:bottom w:val="single" w:sz="8" w:color="E6E7E8"/>
            </w:tcBorders>
          </w:tcPr>
          <w:p>
            <w:pPr>
              <w:spacing w:after="0"/>
              <w:rPr>
                <w:sz w:val="23"/>
                <w:szCs w:val="23"/>
                <w:color w:val="auto"/>
              </w:rPr>
            </w:pPr>
          </w:p>
        </w:tc>
        <w:tc>
          <w:tcPr>
            <w:tcW w:w="380" w:type="dxa"/>
            <w:vAlign w:val="bottom"/>
            <w:tcBorders>
              <w:bottom w:val="single" w:sz="8" w:color="231F20"/>
            </w:tcBorders>
          </w:tcPr>
          <w:p>
            <w:pPr>
              <w:jc w:val="right"/>
              <w:ind w:right="185"/>
              <w:spacing w:after="0"/>
              <w:rPr>
                <w:sz w:val="20"/>
                <w:szCs w:val="20"/>
                <w:color w:val="auto"/>
              </w:rPr>
            </w:pPr>
            <w:r>
              <w:rPr>
                <w:rFonts w:ascii="Times New Roman" w:cs="Times New Roman" w:eastAsia="Times New Roman" w:hAnsi="Times New Roman"/>
                <w:sz w:val="19"/>
                <w:szCs w:val="19"/>
                <w:color w:val="231F20"/>
                <w:w w:val="83"/>
              </w:rPr>
              <w:t>$</w:t>
            </w: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0.5</w:t>
            </w:r>
          </w:p>
        </w:tc>
        <w:tc>
          <w:tcPr>
            <w:tcW w:w="200" w:type="dxa"/>
            <w:vAlign w:val="bottom"/>
            <w:tcBorders>
              <w:bottom w:val="single" w:sz="8" w:color="E6E7E8"/>
            </w:tcBorders>
          </w:tcPr>
          <w:p>
            <w:pPr>
              <w:spacing w:after="0"/>
              <w:rPr>
                <w:sz w:val="23"/>
                <w:szCs w:val="23"/>
                <w:color w:val="auto"/>
              </w:rPr>
            </w:pPr>
          </w:p>
        </w:tc>
        <w:tc>
          <w:tcPr>
            <w:tcW w:w="380" w:type="dxa"/>
            <w:vAlign w:val="bottom"/>
            <w:tcBorders>
              <w:bottom w:val="single" w:sz="8" w:color="231F20"/>
            </w:tcBorders>
          </w:tcPr>
          <w:p>
            <w:pPr>
              <w:jc w:val="right"/>
              <w:ind w:right="185"/>
              <w:spacing w:after="0"/>
              <w:rPr>
                <w:sz w:val="20"/>
                <w:szCs w:val="20"/>
                <w:color w:val="auto"/>
              </w:rPr>
            </w:pPr>
            <w:r>
              <w:rPr>
                <w:rFonts w:ascii="Times New Roman" w:cs="Times New Roman" w:eastAsia="Times New Roman" w:hAnsi="Times New Roman"/>
                <w:sz w:val="19"/>
                <w:szCs w:val="19"/>
                <w:color w:val="231F20"/>
                <w:w w:val="83"/>
              </w:rPr>
              <w:t>$</w:t>
            </w: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4.8</w:t>
            </w:r>
          </w:p>
        </w:tc>
        <w:tc>
          <w:tcPr>
            <w:tcW w:w="180" w:type="dxa"/>
            <w:vAlign w:val="bottom"/>
            <w:tcBorders>
              <w:bottom w:val="single" w:sz="8" w:color="E6E7E8"/>
            </w:tcBorders>
          </w:tcPr>
          <w:p>
            <w:pPr>
              <w:spacing w:after="0"/>
              <w:rPr>
                <w:sz w:val="23"/>
                <w:szCs w:val="23"/>
                <w:color w:val="auto"/>
              </w:rPr>
            </w:pPr>
          </w:p>
        </w:tc>
        <w:tc>
          <w:tcPr>
            <w:tcW w:w="380" w:type="dxa"/>
            <w:vAlign w:val="bottom"/>
            <w:tcBorders>
              <w:bottom w:val="single" w:sz="8" w:color="231F20"/>
            </w:tcBorders>
          </w:tcPr>
          <w:p>
            <w:pPr>
              <w:jc w:val="right"/>
              <w:ind w:right="185"/>
              <w:spacing w:after="0"/>
              <w:rPr>
                <w:sz w:val="20"/>
                <w:szCs w:val="20"/>
                <w:color w:val="auto"/>
              </w:rPr>
            </w:pPr>
            <w:r>
              <w:rPr>
                <w:rFonts w:ascii="Times New Roman" w:cs="Times New Roman" w:eastAsia="Times New Roman" w:hAnsi="Times New Roman"/>
                <w:sz w:val="19"/>
                <w:szCs w:val="19"/>
                <w:color w:val="231F20"/>
                <w:w w:val="83"/>
              </w:rPr>
              <w:t>$</w:t>
            </w: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2.4</w:t>
            </w:r>
          </w:p>
        </w:tc>
        <w:tc>
          <w:tcPr>
            <w:tcW w:w="60" w:type="dxa"/>
            <w:vAlign w:val="bottom"/>
            <w:tcBorders>
              <w:bottom w:val="single" w:sz="8" w:color="E6E7E8"/>
            </w:tcBorders>
          </w:tcPr>
          <w:p>
            <w:pPr>
              <w:spacing w:after="0"/>
              <w:rPr>
                <w:sz w:val="23"/>
                <w:szCs w:val="23"/>
                <w:color w:val="auto"/>
              </w:rPr>
            </w:pPr>
          </w:p>
        </w:tc>
      </w:tr>
      <w:tr>
        <w:trPr>
          <w:trHeight w:val="218"/>
        </w:trPr>
        <w:tc>
          <w:tcPr>
            <w:tcW w:w="4300" w:type="dxa"/>
            <w:vAlign w:val="bottom"/>
            <w:shd w:val="clear" w:color="auto" w:fill="E6E7E8"/>
          </w:tcPr>
          <w:p>
            <w:pPr>
              <w:spacing w:after="0"/>
              <w:rPr>
                <w:sz w:val="20"/>
                <w:szCs w:val="20"/>
                <w:color w:val="auto"/>
              </w:rPr>
            </w:pPr>
            <w:r>
              <w:rPr>
                <w:rFonts w:ascii="Times New Roman" w:cs="Times New Roman" w:eastAsia="Times New Roman" w:hAnsi="Times New Roman"/>
                <w:sz w:val="16"/>
                <w:szCs w:val="16"/>
                <w:b w:val="1"/>
                <w:bCs w:val="1"/>
                <w:color w:val="231F20"/>
              </w:rPr>
              <w:t>Year Ended December 31, 2023</w:t>
            </w:r>
          </w:p>
        </w:tc>
        <w:tc>
          <w:tcPr>
            <w:tcW w:w="20" w:type="dxa"/>
            <w:vAlign w:val="bottom"/>
          </w:tcPr>
          <w:p>
            <w:pPr>
              <w:spacing w:after="0"/>
              <w:rPr>
                <w:sz w:val="18"/>
                <w:szCs w:val="18"/>
                <w:color w:val="auto"/>
              </w:rPr>
            </w:pPr>
          </w:p>
        </w:tc>
        <w:tc>
          <w:tcPr>
            <w:tcW w:w="360" w:type="dxa"/>
            <w:vAlign w:val="bottom"/>
            <w:shd w:val="clear" w:color="auto" w:fill="E6E7E8"/>
          </w:tcPr>
          <w:p>
            <w:pPr>
              <w:spacing w:after="0"/>
              <w:rPr>
                <w:sz w:val="18"/>
                <w:szCs w:val="18"/>
                <w:color w:val="auto"/>
              </w:rPr>
            </w:pPr>
          </w:p>
        </w:tc>
        <w:tc>
          <w:tcPr>
            <w:tcW w:w="540" w:type="dxa"/>
            <w:vAlign w:val="bottom"/>
            <w:shd w:val="clear" w:color="auto" w:fill="E6E7E8"/>
          </w:tcPr>
          <w:p>
            <w:pPr>
              <w:spacing w:after="0"/>
              <w:rPr>
                <w:sz w:val="18"/>
                <w:szCs w:val="18"/>
                <w:color w:val="auto"/>
              </w:rPr>
            </w:pPr>
          </w:p>
        </w:tc>
        <w:tc>
          <w:tcPr>
            <w:tcW w:w="200" w:type="dxa"/>
            <w:vAlign w:val="bottom"/>
            <w:shd w:val="clear" w:color="auto" w:fill="E6E7E8"/>
          </w:tcPr>
          <w:p>
            <w:pPr>
              <w:spacing w:after="0"/>
              <w:rPr>
                <w:sz w:val="18"/>
                <w:szCs w:val="18"/>
                <w:color w:val="auto"/>
              </w:rPr>
            </w:pPr>
          </w:p>
        </w:tc>
        <w:tc>
          <w:tcPr>
            <w:tcW w:w="380" w:type="dxa"/>
            <w:vAlign w:val="bottom"/>
            <w:shd w:val="clear" w:color="auto" w:fill="E6E7E8"/>
          </w:tcPr>
          <w:p>
            <w:pPr>
              <w:spacing w:after="0"/>
              <w:rPr>
                <w:sz w:val="18"/>
                <w:szCs w:val="18"/>
                <w:color w:val="auto"/>
              </w:rPr>
            </w:pPr>
          </w:p>
        </w:tc>
        <w:tc>
          <w:tcPr>
            <w:tcW w:w="540" w:type="dxa"/>
            <w:vAlign w:val="bottom"/>
            <w:shd w:val="clear" w:color="auto" w:fill="E6E7E8"/>
          </w:tcPr>
          <w:p>
            <w:pPr>
              <w:spacing w:after="0"/>
              <w:rPr>
                <w:sz w:val="18"/>
                <w:szCs w:val="18"/>
                <w:color w:val="auto"/>
              </w:rPr>
            </w:pPr>
          </w:p>
        </w:tc>
        <w:tc>
          <w:tcPr>
            <w:tcW w:w="180" w:type="dxa"/>
            <w:vAlign w:val="bottom"/>
            <w:shd w:val="clear" w:color="auto" w:fill="E6E7E8"/>
          </w:tcPr>
          <w:p>
            <w:pPr>
              <w:spacing w:after="0"/>
              <w:rPr>
                <w:sz w:val="18"/>
                <w:szCs w:val="18"/>
                <w:color w:val="auto"/>
              </w:rPr>
            </w:pPr>
          </w:p>
        </w:tc>
        <w:tc>
          <w:tcPr>
            <w:tcW w:w="380" w:type="dxa"/>
            <w:vAlign w:val="bottom"/>
            <w:shd w:val="clear" w:color="auto" w:fill="E6E7E8"/>
          </w:tcPr>
          <w:p>
            <w:pPr>
              <w:spacing w:after="0"/>
              <w:rPr>
                <w:sz w:val="18"/>
                <w:szCs w:val="18"/>
                <w:color w:val="auto"/>
              </w:rPr>
            </w:pPr>
          </w:p>
        </w:tc>
        <w:tc>
          <w:tcPr>
            <w:tcW w:w="540" w:type="dxa"/>
            <w:vAlign w:val="bottom"/>
            <w:shd w:val="clear" w:color="auto" w:fill="E6E7E8"/>
          </w:tcPr>
          <w:p>
            <w:pPr>
              <w:spacing w:after="0"/>
              <w:rPr>
                <w:sz w:val="18"/>
                <w:szCs w:val="18"/>
                <w:color w:val="auto"/>
              </w:rPr>
            </w:pPr>
          </w:p>
        </w:tc>
        <w:tc>
          <w:tcPr>
            <w:tcW w:w="200" w:type="dxa"/>
            <w:vAlign w:val="bottom"/>
            <w:shd w:val="clear" w:color="auto" w:fill="E6E7E8"/>
          </w:tcPr>
          <w:p>
            <w:pPr>
              <w:spacing w:after="0"/>
              <w:rPr>
                <w:sz w:val="18"/>
                <w:szCs w:val="18"/>
                <w:color w:val="auto"/>
              </w:rPr>
            </w:pPr>
          </w:p>
        </w:tc>
        <w:tc>
          <w:tcPr>
            <w:tcW w:w="380" w:type="dxa"/>
            <w:vAlign w:val="bottom"/>
            <w:shd w:val="clear" w:color="auto" w:fill="E6E7E8"/>
          </w:tcPr>
          <w:p>
            <w:pPr>
              <w:spacing w:after="0"/>
              <w:rPr>
                <w:sz w:val="18"/>
                <w:szCs w:val="18"/>
                <w:color w:val="auto"/>
              </w:rPr>
            </w:pPr>
          </w:p>
        </w:tc>
        <w:tc>
          <w:tcPr>
            <w:tcW w:w="540" w:type="dxa"/>
            <w:vAlign w:val="bottom"/>
            <w:shd w:val="clear" w:color="auto" w:fill="E6E7E8"/>
          </w:tcPr>
          <w:p>
            <w:pPr>
              <w:spacing w:after="0"/>
              <w:rPr>
                <w:sz w:val="18"/>
                <w:szCs w:val="18"/>
                <w:color w:val="auto"/>
              </w:rPr>
            </w:pPr>
          </w:p>
        </w:tc>
        <w:tc>
          <w:tcPr>
            <w:tcW w:w="180" w:type="dxa"/>
            <w:vAlign w:val="bottom"/>
            <w:shd w:val="clear" w:color="auto" w:fill="E6E7E8"/>
          </w:tcPr>
          <w:p>
            <w:pPr>
              <w:spacing w:after="0"/>
              <w:rPr>
                <w:sz w:val="18"/>
                <w:szCs w:val="18"/>
                <w:color w:val="auto"/>
              </w:rPr>
            </w:pPr>
          </w:p>
        </w:tc>
        <w:tc>
          <w:tcPr>
            <w:tcW w:w="380" w:type="dxa"/>
            <w:vAlign w:val="bottom"/>
            <w:shd w:val="clear" w:color="auto" w:fill="E6E7E8"/>
          </w:tcPr>
          <w:p>
            <w:pPr>
              <w:spacing w:after="0"/>
              <w:rPr>
                <w:sz w:val="18"/>
                <w:szCs w:val="18"/>
                <w:color w:val="auto"/>
              </w:rPr>
            </w:pPr>
          </w:p>
        </w:tc>
        <w:tc>
          <w:tcPr>
            <w:tcW w:w="540" w:type="dxa"/>
            <w:vAlign w:val="bottom"/>
            <w:shd w:val="clear" w:color="auto" w:fill="E6E7E8"/>
          </w:tcPr>
          <w:p>
            <w:pPr>
              <w:spacing w:after="0"/>
              <w:rPr>
                <w:sz w:val="18"/>
                <w:szCs w:val="18"/>
                <w:color w:val="auto"/>
              </w:rPr>
            </w:pPr>
          </w:p>
        </w:tc>
        <w:tc>
          <w:tcPr>
            <w:tcW w:w="60" w:type="dxa"/>
            <w:vAlign w:val="bottom"/>
            <w:shd w:val="clear" w:color="auto" w:fill="E6E7E8"/>
          </w:tcPr>
          <w:p>
            <w:pPr>
              <w:spacing w:after="0"/>
              <w:rPr>
                <w:sz w:val="18"/>
                <w:szCs w:val="18"/>
                <w:color w:val="auto"/>
              </w:rPr>
            </w:pPr>
          </w:p>
        </w:tc>
      </w:tr>
      <w:tr>
        <w:trPr>
          <w:trHeight w:val="233"/>
        </w:trPr>
        <w:tc>
          <w:tcPr>
            <w:tcW w:w="430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Electric</w:t>
            </w:r>
          </w:p>
        </w:tc>
        <w:tc>
          <w:tcPr>
            <w:tcW w:w="20" w:type="dxa"/>
            <w:vAlign w:val="bottom"/>
          </w:tcPr>
          <w:p>
            <w:pPr>
              <w:spacing w:after="0"/>
              <w:rPr>
                <w:sz w:val="20"/>
                <w:szCs w:val="20"/>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231F20"/>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1.6</w:t>
            </w:r>
          </w:p>
        </w:tc>
        <w:tc>
          <w:tcPr>
            <w:tcW w:w="200" w:type="dxa"/>
            <w:vAlign w:val="bottom"/>
          </w:tcPr>
          <w:p>
            <w:pPr>
              <w:spacing w:after="0"/>
              <w:rPr>
                <w:sz w:val="20"/>
                <w:szCs w:val="20"/>
                <w:color w:val="auto"/>
              </w:rPr>
            </w:pPr>
          </w:p>
        </w:tc>
        <w:tc>
          <w:tcPr>
            <w:tcW w:w="38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231F20"/>
                <w:w w:val="8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3.6</w:t>
            </w:r>
          </w:p>
        </w:tc>
        <w:tc>
          <w:tcPr>
            <w:tcW w:w="180" w:type="dxa"/>
            <w:vAlign w:val="bottom"/>
          </w:tcPr>
          <w:p>
            <w:pPr>
              <w:spacing w:after="0"/>
              <w:rPr>
                <w:sz w:val="20"/>
                <w:szCs w:val="20"/>
                <w:color w:val="auto"/>
              </w:rPr>
            </w:pPr>
          </w:p>
        </w:tc>
        <w:tc>
          <w:tcPr>
            <w:tcW w:w="38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231F20"/>
                <w:w w:val="8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0.2</w:t>
            </w:r>
          </w:p>
        </w:tc>
        <w:tc>
          <w:tcPr>
            <w:tcW w:w="200" w:type="dxa"/>
            <w:vAlign w:val="bottom"/>
          </w:tcPr>
          <w:p>
            <w:pPr>
              <w:spacing w:after="0"/>
              <w:rPr>
                <w:sz w:val="20"/>
                <w:szCs w:val="20"/>
                <w:color w:val="auto"/>
              </w:rPr>
            </w:pPr>
          </w:p>
        </w:tc>
        <w:tc>
          <w:tcPr>
            <w:tcW w:w="38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231F20"/>
                <w:w w:val="8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3.9</w:t>
            </w:r>
          </w:p>
        </w:tc>
        <w:tc>
          <w:tcPr>
            <w:tcW w:w="180" w:type="dxa"/>
            <w:vAlign w:val="bottom"/>
          </w:tcPr>
          <w:p>
            <w:pPr>
              <w:spacing w:after="0"/>
              <w:rPr>
                <w:sz w:val="20"/>
                <w:szCs w:val="20"/>
                <w:color w:val="auto"/>
              </w:rPr>
            </w:pPr>
          </w:p>
        </w:tc>
        <w:tc>
          <w:tcPr>
            <w:tcW w:w="38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231F20"/>
                <w:w w:val="8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1.5</w:t>
            </w:r>
          </w:p>
        </w:tc>
        <w:tc>
          <w:tcPr>
            <w:tcW w:w="60" w:type="dxa"/>
            <w:vAlign w:val="bottom"/>
          </w:tcPr>
          <w:p>
            <w:pPr>
              <w:spacing w:after="0"/>
              <w:rPr>
                <w:sz w:val="20"/>
                <w:szCs w:val="20"/>
                <w:color w:val="auto"/>
              </w:rPr>
            </w:pPr>
          </w:p>
        </w:tc>
      </w:tr>
      <w:tr>
        <w:trPr>
          <w:trHeight w:val="252"/>
        </w:trPr>
        <w:tc>
          <w:tcPr>
            <w:tcW w:w="4300" w:type="dxa"/>
            <w:vAlign w:val="bottom"/>
            <w:tcBorders>
              <w:bottom w:val="single" w:sz="8" w:color="E6E7E8"/>
            </w:tcBorders>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Gas</w:t>
            </w:r>
          </w:p>
        </w:tc>
        <w:tc>
          <w:tcPr>
            <w:tcW w:w="20" w:type="dxa"/>
            <w:vAlign w:val="bottom"/>
            <w:tcBorders>
              <w:bottom w:val="single" w:sz="8" w:color="E6E7E8"/>
            </w:tcBorders>
            <w:shd w:val="clear" w:color="auto" w:fill="E6E7E8"/>
          </w:tcPr>
          <w:p>
            <w:pPr>
              <w:spacing w:after="0"/>
              <w:rPr>
                <w:sz w:val="21"/>
                <w:szCs w:val="21"/>
                <w:color w:val="auto"/>
              </w:rPr>
            </w:pPr>
          </w:p>
        </w:tc>
        <w:tc>
          <w:tcPr>
            <w:tcW w:w="360" w:type="dxa"/>
            <w:vAlign w:val="bottom"/>
            <w:tcBorders>
              <w:bottom w:val="single" w:sz="8" w:color="231F20"/>
            </w:tcBorders>
            <w:shd w:val="clear" w:color="auto" w:fill="E6E7E8"/>
          </w:tcPr>
          <w:p>
            <w:pPr>
              <w:spacing w:after="0"/>
              <w:rPr>
                <w:sz w:val="21"/>
                <w:szCs w:val="21"/>
                <w:color w:val="auto"/>
              </w:rPr>
            </w:pPr>
          </w:p>
        </w:tc>
        <w:tc>
          <w:tcPr>
            <w:tcW w:w="54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1.0</w:t>
            </w:r>
          </w:p>
        </w:tc>
        <w:tc>
          <w:tcPr>
            <w:tcW w:w="200" w:type="dxa"/>
            <w:vAlign w:val="bottom"/>
            <w:tcBorders>
              <w:bottom w:val="single" w:sz="8" w:color="E6E7E8"/>
            </w:tcBorders>
            <w:shd w:val="clear" w:color="auto" w:fill="E6E7E8"/>
          </w:tcPr>
          <w:p>
            <w:pPr>
              <w:spacing w:after="0"/>
              <w:rPr>
                <w:sz w:val="21"/>
                <w:szCs w:val="21"/>
                <w:color w:val="auto"/>
              </w:rPr>
            </w:pPr>
          </w:p>
        </w:tc>
        <w:tc>
          <w:tcPr>
            <w:tcW w:w="380" w:type="dxa"/>
            <w:vAlign w:val="bottom"/>
            <w:tcBorders>
              <w:bottom w:val="single" w:sz="8" w:color="231F20"/>
            </w:tcBorders>
            <w:shd w:val="clear" w:color="auto" w:fill="E6E7E8"/>
          </w:tcPr>
          <w:p>
            <w:pPr>
              <w:spacing w:after="0"/>
              <w:rPr>
                <w:sz w:val="21"/>
                <w:szCs w:val="21"/>
                <w:color w:val="auto"/>
              </w:rPr>
            </w:pPr>
          </w:p>
        </w:tc>
        <w:tc>
          <w:tcPr>
            <w:tcW w:w="54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2.8</w:t>
            </w:r>
          </w:p>
        </w:tc>
        <w:tc>
          <w:tcPr>
            <w:tcW w:w="180" w:type="dxa"/>
            <w:vAlign w:val="bottom"/>
            <w:tcBorders>
              <w:bottom w:val="single" w:sz="8" w:color="E6E7E8"/>
            </w:tcBorders>
            <w:shd w:val="clear" w:color="auto" w:fill="E6E7E8"/>
          </w:tcPr>
          <w:p>
            <w:pPr>
              <w:spacing w:after="0"/>
              <w:rPr>
                <w:sz w:val="21"/>
                <w:szCs w:val="21"/>
                <w:color w:val="auto"/>
              </w:rPr>
            </w:pPr>
          </w:p>
        </w:tc>
        <w:tc>
          <w:tcPr>
            <w:tcW w:w="380" w:type="dxa"/>
            <w:vAlign w:val="bottom"/>
            <w:tcBorders>
              <w:bottom w:val="single" w:sz="8" w:color="231F20"/>
            </w:tcBorders>
            <w:shd w:val="clear" w:color="auto" w:fill="E6E7E8"/>
          </w:tcPr>
          <w:p>
            <w:pPr>
              <w:spacing w:after="0"/>
              <w:rPr>
                <w:sz w:val="21"/>
                <w:szCs w:val="21"/>
                <w:color w:val="auto"/>
              </w:rPr>
            </w:pPr>
          </w:p>
        </w:tc>
        <w:tc>
          <w:tcPr>
            <w:tcW w:w="54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0.4</w:t>
            </w:r>
          </w:p>
        </w:tc>
        <w:tc>
          <w:tcPr>
            <w:tcW w:w="200" w:type="dxa"/>
            <w:vAlign w:val="bottom"/>
            <w:tcBorders>
              <w:bottom w:val="single" w:sz="8" w:color="E6E7E8"/>
            </w:tcBorders>
            <w:shd w:val="clear" w:color="auto" w:fill="E6E7E8"/>
          </w:tcPr>
          <w:p>
            <w:pPr>
              <w:spacing w:after="0"/>
              <w:rPr>
                <w:sz w:val="21"/>
                <w:szCs w:val="21"/>
                <w:color w:val="auto"/>
              </w:rPr>
            </w:pPr>
          </w:p>
        </w:tc>
        <w:tc>
          <w:tcPr>
            <w:tcW w:w="380" w:type="dxa"/>
            <w:vAlign w:val="bottom"/>
            <w:tcBorders>
              <w:bottom w:val="single" w:sz="8" w:color="231F20"/>
            </w:tcBorders>
            <w:shd w:val="clear" w:color="auto" w:fill="E6E7E8"/>
          </w:tcPr>
          <w:p>
            <w:pPr>
              <w:spacing w:after="0"/>
              <w:rPr>
                <w:sz w:val="21"/>
                <w:szCs w:val="21"/>
                <w:color w:val="auto"/>
              </w:rPr>
            </w:pPr>
          </w:p>
        </w:tc>
        <w:tc>
          <w:tcPr>
            <w:tcW w:w="54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3.3</w:t>
            </w:r>
          </w:p>
        </w:tc>
        <w:tc>
          <w:tcPr>
            <w:tcW w:w="180" w:type="dxa"/>
            <w:vAlign w:val="bottom"/>
            <w:tcBorders>
              <w:bottom w:val="single" w:sz="8" w:color="E6E7E8"/>
            </w:tcBorders>
            <w:shd w:val="clear" w:color="auto" w:fill="E6E7E8"/>
          </w:tcPr>
          <w:p>
            <w:pPr>
              <w:spacing w:after="0"/>
              <w:rPr>
                <w:sz w:val="21"/>
                <w:szCs w:val="21"/>
                <w:color w:val="auto"/>
              </w:rPr>
            </w:pPr>
          </w:p>
        </w:tc>
        <w:tc>
          <w:tcPr>
            <w:tcW w:w="380" w:type="dxa"/>
            <w:vAlign w:val="bottom"/>
            <w:tcBorders>
              <w:bottom w:val="single" w:sz="8" w:color="231F20"/>
            </w:tcBorders>
            <w:shd w:val="clear" w:color="auto" w:fill="E6E7E8"/>
          </w:tcPr>
          <w:p>
            <w:pPr>
              <w:spacing w:after="0"/>
              <w:rPr>
                <w:sz w:val="21"/>
                <w:szCs w:val="21"/>
                <w:color w:val="auto"/>
              </w:rPr>
            </w:pPr>
          </w:p>
        </w:tc>
        <w:tc>
          <w:tcPr>
            <w:tcW w:w="54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0.9</w:t>
            </w:r>
          </w:p>
        </w:tc>
        <w:tc>
          <w:tcPr>
            <w:tcW w:w="60" w:type="dxa"/>
            <w:vAlign w:val="bottom"/>
            <w:tcBorders>
              <w:bottom w:val="single" w:sz="8" w:color="E6E7E8"/>
            </w:tcBorders>
            <w:shd w:val="clear" w:color="auto" w:fill="E6E7E8"/>
          </w:tcPr>
          <w:p>
            <w:pPr>
              <w:spacing w:after="0"/>
              <w:rPr>
                <w:sz w:val="21"/>
                <w:szCs w:val="21"/>
                <w:color w:val="auto"/>
              </w:rPr>
            </w:pPr>
          </w:p>
        </w:tc>
      </w:tr>
      <w:tr>
        <w:trPr>
          <w:trHeight w:val="208"/>
        </w:trPr>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231F20"/>
            </w:tcBorders>
          </w:tcPr>
          <w:p>
            <w:pPr>
              <w:jc w:val="right"/>
              <w:ind w:right="196"/>
              <w:spacing w:after="0"/>
              <w:rPr>
                <w:sz w:val="20"/>
                <w:szCs w:val="20"/>
                <w:color w:val="auto"/>
              </w:rPr>
            </w:pPr>
            <w:r>
              <w:rPr>
                <w:rFonts w:ascii="Times New Roman" w:cs="Times New Roman" w:eastAsia="Times New Roman" w:hAnsi="Times New Roman"/>
                <w:sz w:val="17"/>
                <w:szCs w:val="17"/>
                <w:color w:val="231F20"/>
                <w:w w:val="70"/>
              </w:rPr>
              <w:t>$</w:t>
            </w:r>
          </w:p>
        </w:tc>
        <w:tc>
          <w:tcPr>
            <w:tcW w:w="540" w:type="dxa"/>
            <w:vAlign w:val="bottom"/>
            <w:tcBorders>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rPr>
              <w:t>2.6</w:t>
            </w:r>
          </w:p>
        </w:tc>
        <w:tc>
          <w:tcPr>
            <w:tcW w:w="200" w:type="dxa"/>
            <w:vAlign w:val="bottom"/>
          </w:tcPr>
          <w:p>
            <w:pPr>
              <w:spacing w:after="0"/>
              <w:rPr>
                <w:sz w:val="18"/>
                <w:szCs w:val="18"/>
                <w:color w:val="auto"/>
              </w:rPr>
            </w:pPr>
          </w:p>
        </w:tc>
        <w:tc>
          <w:tcPr>
            <w:tcW w:w="380" w:type="dxa"/>
            <w:vAlign w:val="bottom"/>
            <w:tcBorders>
              <w:bottom w:val="single" w:sz="8" w:color="231F20"/>
            </w:tcBorders>
          </w:tcPr>
          <w:p>
            <w:pPr>
              <w:jc w:val="right"/>
              <w:ind w:right="185"/>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540" w:type="dxa"/>
            <w:vAlign w:val="bottom"/>
            <w:tcBorders>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rPr>
              <w:t>6.4</w:t>
            </w:r>
          </w:p>
        </w:tc>
        <w:tc>
          <w:tcPr>
            <w:tcW w:w="180" w:type="dxa"/>
            <w:vAlign w:val="bottom"/>
          </w:tcPr>
          <w:p>
            <w:pPr>
              <w:spacing w:after="0"/>
              <w:rPr>
                <w:sz w:val="18"/>
                <w:szCs w:val="18"/>
                <w:color w:val="auto"/>
              </w:rPr>
            </w:pPr>
          </w:p>
        </w:tc>
        <w:tc>
          <w:tcPr>
            <w:tcW w:w="380" w:type="dxa"/>
            <w:vAlign w:val="bottom"/>
            <w:tcBorders>
              <w:bottom w:val="single" w:sz="8" w:color="231F20"/>
            </w:tcBorders>
          </w:tcPr>
          <w:p>
            <w:pPr>
              <w:jc w:val="right"/>
              <w:ind w:right="185"/>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540" w:type="dxa"/>
            <w:vAlign w:val="bottom"/>
            <w:tcBorders>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rPr>
              <w:t>0.6</w:t>
            </w:r>
          </w:p>
        </w:tc>
        <w:tc>
          <w:tcPr>
            <w:tcW w:w="200" w:type="dxa"/>
            <w:vAlign w:val="bottom"/>
          </w:tcPr>
          <w:p>
            <w:pPr>
              <w:spacing w:after="0"/>
              <w:rPr>
                <w:sz w:val="18"/>
                <w:szCs w:val="18"/>
                <w:color w:val="auto"/>
              </w:rPr>
            </w:pPr>
          </w:p>
        </w:tc>
        <w:tc>
          <w:tcPr>
            <w:tcW w:w="380" w:type="dxa"/>
            <w:vAlign w:val="bottom"/>
            <w:tcBorders>
              <w:bottom w:val="single" w:sz="8" w:color="231F20"/>
            </w:tcBorders>
          </w:tcPr>
          <w:p>
            <w:pPr>
              <w:jc w:val="right"/>
              <w:ind w:right="185"/>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540" w:type="dxa"/>
            <w:vAlign w:val="bottom"/>
            <w:tcBorders>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rPr>
              <w:t>7.2</w:t>
            </w:r>
          </w:p>
        </w:tc>
        <w:tc>
          <w:tcPr>
            <w:tcW w:w="180" w:type="dxa"/>
            <w:vAlign w:val="bottom"/>
          </w:tcPr>
          <w:p>
            <w:pPr>
              <w:spacing w:after="0"/>
              <w:rPr>
                <w:sz w:val="18"/>
                <w:szCs w:val="18"/>
                <w:color w:val="auto"/>
              </w:rPr>
            </w:pPr>
          </w:p>
        </w:tc>
        <w:tc>
          <w:tcPr>
            <w:tcW w:w="380" w:type="dxa"/>
            <w:vAlign w:val="bottom"/>
            <w:tcBorders>
              <w:bottom w:val="single" w:sz="8" w:color="231F20"/>
            </w:tcBorders>
          </w:tcPr>
          <w:p>
            <w:pPr>
              <w:jc w:val="right"/>
              <w:ind w:right="185"/>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540" w:type="dxa"/>
            <w:vAlign w:val="bottom"/>
            <w:tcBorders>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rPr>
              <w:t>2.4</w:t>
            </w:r>
          </w:p>
        </w:tc>
        <w:tc>
          <w:tcPr>
            <w:tcW w:w="60" w:type="dxa"/>
            <w:vAlign w:val="bottom"/>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Note 4: Debt and Financing Arrangements</w:t>
      </w:r>
    </w:p>
    <w:p>
      <w:pPr>
        <w:spacing w:after="0" w:line="244" w:lineRule="exact"/>
        <w:rPr>
          <w:sz w:val="20"/>
          <w:szCs w:val="20"/>
          <w:color w:val="auto"/>
        </w:rPr>
      </w:pPr>
    </w:p>
    <w:p>
      <w:pPr>
        <w:ind w:right="80" w:firstLine="619"/>
        <w:spacing w:after="0" w:line="259" w:lineRule="auto"/>
        <w:rPr>
          <w:sz w:val="20"/>
          <w:szCs w:val="20"/>
          <w:color w:val="auto"/>
        </w:rPr>
      </w:pPr>
      <w:r>
        <w:rPr>
          <w:rFonts w:ascii="Times New Roman" w:cs="Times New Roman" w:eastAsia="Times New Roman" w:hAnsi="Times New Roman"/>
          <w:sz w:val="21"/>
          <w:szCs w:val="21"/>
          <w:color w:val="231F20"/>
        </w:rPr>
        <w:t>The Company funds a portion of its operations through the issuance of long-term debt, and short-term borrowings under its revolving Credit Facility. The Company’s subsidiaries conduct a portion of their operations in leased facilities and lease some of their machinery, vehicles and office equipment.</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Long-Term Debt and Interest Expense</w:t>
      </w:r>
    </w:p>
    <w:p>
      <w:pPr>
        <w:spacing w:after="0" w:line="138" w:lineRule="exact"/>
        <w:rPr>
          <w:sz w:val="20"/>
          <w:szCs w:val="20"/>
          <w:color w:val="auto"/>
        </w:rPr>
      </w:pPr>
    </w:p>
    <w:p>
      <w:pPr>
        <w:ind w:right="80" w:firstLine="619"/>
        <w:spacing w:after="0" w:line="250" w:lineRule="auto"/>
        <w:rPr>
          <w:sz w:val="20"/>
          <w:szCs w:val="20"/>
          <w:color w:val="auto"/>
        </w:rPr>
      </w:pPr>
      <w:r>
        <w:rPr>
          <w:rFonts w:ascii="Times New Roman" w:cs="Times New Roman" w:eastAsia="Times New Roman" w:hAnsi="Times New Roman"/>
          <w:sz w:val="21"/>
          <w:szCs w:val="21"/>
          <w:b w:val="1"/>
          <w:bCs w:val="1"/>
          <w:color w:val="231F20"/>
        </w:rPr>
        <w:t xml:space="preserve">Long-Term Debt Structure and Covenants - </w:t>
      </w:r>
      <w:r>
        <w:rPr>
          <w:rFonts w:ascii="Times New Roman" w:cs="Times New Roman" w:eastAsia="Times New Roman" w:hAnsi="Times New Roman"/>
          <w:sz w:val="21"/>
          <w:szCs w:val="21"/>
          <w:color w:val="231F20"/>
        </w:rPr>
        <w:t>The debt agreements for Unitil and its utility subsidiaries, Unitil Energy,</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Fitchburg, Northern Utilities, Bangor and Granite State, contain various covenants and restrictions. These agreements do not contain any covenants or restrictions pertaining to the maintenance of financial ratios or the issuance of short-term debt. These agreements do contain covenants relating to, among other things, the issuance of additional long-term debt, cross-default provisions and business combinations.</w:t>
      </w:r>
    </w:p>
    <w:p>
      <w:pPr>
        <w:spacing w:after="0" w:line="230"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1"/>
          <w:szCs w:val="21"/>
          <w:color w:val="231F20"/>
        </w:rPr>
        <w:t>The long-term debt of Unitil is issued under Unsecured Promissory Notes with negative pledge provisions. The long-term debt’s negative pledge provisions contain restrictions which, among other things, limit the incursion of additional long-term debt. Accordingly, in order for Unitil to issue new long-term debt, the covenants of the existing long-term agreement(s) must be satisfied, including that Unitil has total funded indebtedness less than 70% of total capitalization, and earnings available for interest equal to at least two times the interest charges for funded indebtedness. Each future senior long-term debt issuance of Unitil will rank pari passu with all other senior unsecured long-term debt issuances. The Unitil long-term debt agreement requires that if Unitil defaults on any other future long-term debt agreement(s), it would constitute a default under Unitil’s present long-term debt agreement. Furthermore, the default provisions are triggered by the defaults of certain Unitil subsidiaries or certain other actions against Unitil subsidiaries.</w:t>
      </w:r>
    </w:p>
    <w:p>
      <w:pPr>
        <w:spacing w:after="0" w:line="240"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21"/>
          <w:szCs w:val="21"/>
          <w:color w:val="231F20"/>
        </w:rPr>
        <w:t>Substantially all of the property of Unitil Energy is subject to liens of indenture under which First Mortgage Bonds (FMB) have been issued. In order to issue new FMB, the customary covenants of the existing Unitil Energy Indenture Agreement must be met, including that Unitil Energy have sufficient available net bondable plant to issue the securities and earnings available for interest charges equal to at least two times the annual interest requirement. The Unitil Energy agreements further require that if Unitil Energy defaults on any Unitil Energy FMB, it would constitute a default for all Unitil Energy FMB. The Unitil Energy default provisions are not triggered by the actions or defaults of Unitil or its other subsidiaries.</w:t>
      </w:r>
    </w:p>
    <w:p>
      <w:pPr>
        <w:spacing w:after="0" w:line="234" w:lineRule="exact"/>
        <w:rPr>
          <w:sz w:val="20"/>
          <w:szCs w:val="20"/>
          <w:color w:val="auto"/>
        </w:rPr>
      </w:pPr>
    </w:p>
    <w:p>
      <w:pPr>
        <w:ind w:right="20" w:firstLine="619"/>
        <w:spacing w:after="0" w:line="305" w:lineRule="auto"/>
        <w:rPr>
          <w:sz w:val="20"/>
          <w:szCs w:val="20"/>
          <w:color w:val="auto"/>
        </w:rPr>
      </w:pPr>
      <w:r>
        <w:rPr>
          <w:rFonts w:ascii="Times New Roman" w:cs="Times New Roman" w:eastAsia="Times New Roman" w:hAnsi="Times New Roman"/>
          <w:sz w:val="20"/>
          <w:szCs w:val="20"/>
          <w:color w:val="231F20"/>
        </w:rPr>
        <w:t>All of the long-term debt of Fitchburg, Northern Utilities, Bangor and Granite State are issued under Unsecured Promissory Notes with negative pledge provisions. Each issue of long-term debt ranks pari passu with its other senior unsecured</w:t>
      </w:r>
    </w:p>
    <w:p>
      <w:pPr>
        <w:sectPr>
          <w:pgSz w:w="12240" w:h="15840" w:orient="portrait"/>
          <w:cols w:equalWidth="0" w:num="1">
            <w:col w:w="10800"/>
          </w:cols>
          <w:pgMar w:left="720" w:top="928" w:right="720" w:bottom="188" w:gutter="0" w:footer="0" w:header="0"/>
        </w:sect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57</w:t>
      </w:r>
    </w:p>
    <w:p>
      <w:pPr>
        <w:sectPr>
          <w:pgSz w:w="12240" w:h="15840" w:orient="portrait"/>
          <w:cols w:equalWidth="0" w:num="1">
            <w:col w:w="10800"/>
          </w:cols>
          <w:pgMar w:left="720" w:top="928" w:right="720" w:bottom="188" w:gutter="0" w:footer="0" w:header="0"/>
          <w:type w:val="continuous"/>
        </w:sectPr>
      </w:pPr>
    </w:p>
    <w:bookmarkStart w:id="77" w:name="page78"/>
    <w:bookmarkEnd w:id="77"/>
    <w:p>
      <w:pPr>
        <w:ind w:right="60"/>
        <w:spacing w:after="0" w:line="244" w:lineRule="auto"/>
        <w:rPr>
          <w:sz w:val="20"/>
          <w:szCs w:val="20"/>
          <w:color w:val="auto"/>
        </w:rPr>
      </w:pPr>
      <w:r>
        <w:rPr>
          <w:rFonts w:ascii="Times New Roman" w:cs="Times New Roman" w:eastAsia="Times New Roman" w:hAnsi="Times New Roman"/>
          <w:sz w:val="21"/>
          <w:szCs w:val="21"/>
          <w:color w:val="231F20"/>
        </w:rPr>
        <w:t>long-term debt within that subsidiary. The long-term debt’s negative pledge provisions contain restrictions which, among other things, limit the incursion of additional long-term debt. Accordingly, in order for Fitchburg, Northern Utilities or Granite State to issue new long-term debt, the covenants of the existing long-term agreements of that subsidiary must be satisfied, including that the subsidiary have total funded indebtedness less than 65% of total capitalization. Additionally, to issue new long-term debt, Fitchburg must maintain earnings available for interest equal to at least two times the interest charges for funded indebtedness. As with the Unitil Energy agreements, the Fitchburg, Northern Utilities, Bangor and Granite State long-term debt agreements each require that if that subsidiary defaults on any of its own long-term debt agreements, it would constitute a default under all of that subsidiary’s long-term debt agreements. None of the Fitchburg, Northern Utilities, Bangor and Granite State default provisions are triggered by the actions or defaults of Unitil or any of its other subsidiaries.</w:t>
      </w:r>
    </w:p>
    <w:p>
      <w:pPr>
        <w:spacing w:after="0" w:line="240" w:lineRule="exact"/>
        <w:rPr>
          <w:sz w:val="20"/>
          <w:szCs w:val="20"/>
          <w:color w:val="auto"/>
        </w:rPr>
      </w:pPr>
    </w:p>
    <w:p>
      <w:pPr>
        <w:ind w:right="600" w:firstLine="619"/>
        <w:spacing w:after="0" w:line="253" w:lineRule="auto"/>
        <w:rPr>
          <w:sz w:val="20"/>
          <w:szCs w:val="20"/>
          <w:color w:val="auto"/>
        </w:rPr>
      </w:pPr>
      <w:r>
        <w:rPr>
          <w:rFonts w:ascii="Times New Roman" w:cs="Times New Roman" w:eastAsia="Times New Roman" w:hAnsi="Times New Roman"/>
          <w:sz w:val="21"/>
          <w:szCs w:val="21"/>
          <w:color w:val="231F20"/>
        </w:rPr>
        <w:t>The Unitil, Unitil Energy, Fitchburg, Northern Utilities, Bangor and Granite State long-term debt instruments and agreements contain covenants restricting the ability of each company to incur liens and to enter into sale and leaseback transactions, and restricting the ability of each company to consolidate with, to merge with or into, or to sell or otherwise dispose of all or substantially all of its assets.</w:t>
      </w:r>
    </w:p>
    <w:p>
      <w:pPr>
        <w:spacing w:after="0" w:line="224" w:lineRule="exact"/>
        <w:rPr>
          <w:sz w:val="20"/>
          <w:szCs w:val="20"/>
          <w:color w:val="auto"/>
        </w:rPr>
      </w:pPr>
    </w:p>
    <w:p>
      <w:pPr>
        <w:ind w:right="80" w:firstLine="619"/>
        <w:spacing w:after="0" w:line="245" w:lineRule="auto"/>
        <w:rPr>
          <w:sz w:val="20"/>
          <w:szCs w:val="20"/>
          <w:color w:val="auto"/>
        </w:rPr>
      </w:pPr>
      <w:r>
        <w:rPr>
          <w:rFonts w:ascii="Times New Roman" w:cs="Times New Roman" w:eastAsia="Times New Roman" w:hAnsi="Times New Roman"/>
          <w:sz w:val="21"/>
          <w:szCs w:val="21"/>
          <w:color w:val="231F20"/>
        </w:rPr>
        <w:t>Unitil Energy, Fitchburg, Northern Utilities, Bangor and Granite State pay common dividends to their sole common shareholder, Unitil Corporation and these common dividends are the primary source of cash for the payment of dividends to Unitil’s common shareholders. The long -term debt issued by the Company and its subsidiaries contains certain covenants that determine the amount that the Company and each of these subsidiary companies has available to pay for dividends. As of December 31, 2025, in accordance with the covenants, these subsidiary companies had a combined amount of $563.1 million available for the payment of dividends and Unitil Corporation had $318.5 million available for the payment of dividends. As of December 31, 2025, the Company’s balance in Retained Earnings was $191.2 million. Therefore, there were no restrictions on the Company’s Retained Earnings at December 31, 2025 for the payment of dividends.</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231F20"/>
        </w:rPr>
        <w:t xml:space="preserve">Issuance of Long-Term Debt - </w:t>
      </w:r>
      <w:r>
        <w:rPr>
          <w:rFonts w:ascii="Times New Roman" w:cs="Times New Roman" w:eastAsia="Times New Roman" w:hAnsi="Times New Roman"/>
          <w:sz w:val="21"/>
          <w:szCs w:val="21"/>
          <w:color w:val="231F20"/>
        </w:rPr>
        <w:t>On July 8, 2025, Bangor issued $14.0 million of Notes due 2030 at 5.70% and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231F20"/>
        </w:rPr>
        <w:t>$18.0 million of Notes due 2035 at 6.31%. Bangor used the net proceeds to refinance existing debt and for general corporate</w:t>
      </w:r>
    </w:p>
    <w:p>
      <w:pPr>
        <w:spacing w:after="0"/>
        <w:rPr>
          <w:sz w:val="20"/>
          <w:szCs w:val="20"/>
          <w:color w:val="auto"/>
        </w:rPr>
      </w:pPr>
      <w:r>
        <w:rPr>
          <w:rFonts w:ascii="Times New Roman" w:cs="Times New Roman" w:eastAsia="Times New Roman" w:hAnsi="Times New Roman"/>
          <w:sz w:val="21"/>
          <w:szCs w:val="21"/>
          <w:color w:val="231F20"/>
        </w:rPr>
        <w:t>purposes. Approximately $0.2 million of costs associated with this issuance were recorded as a reduction of Long-Term Debt</w:t>
      </w:r>
    </w:p>
    <w:p>
      <w:pPr>
        <w:spacing w:after="0"/>
        <w:rPr>
          <w:sz w:val="20"/>
          <w:szCs w:val="20"/>
          <w:color w:val="auto"/>
        </w:rPr>
      </w:pPr>
      <w:r>
        <w:rPr>
          <w:rFonts w:ascii="Times New Roman" w:cs="Times New Roman" w:eastAsia="Times New Roman" w:hAnsi="Times New Roman"/>
          <w:sz w:val="21"/>
          <w:szCs w:val="21"/>
          <w:color w:val="231F20"/>
        </w:rPr>
        <w:t>for presentation purposes on the Consolidated Balance Sheet in the third quarter of 2025.</w:t>
      </w:r>
    </w:p>
    <w:p>
      <w:pPr>
        <w:spacing w:after="0" w:line="212"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21"/>
          <w:szCs w:val="21"/>
          <w:color w:val="231F20"/>
        </w:rPr>
        <w:t>On August 21, 2024, Unitil Corporation issued $20.0 million of Notes due 2034 at 5.99%. Fitchburg issued $12.5 million of Notes due 2034 at 5.54% and $12.5 million of Notes due 2044 at 5.99%. Unitil Energy issued $40.0 million of Bonds due 2054 at 5.69%. Northern Utilities issued $25.0 million of Notes due 2034 at 5.54% and $15.0 million of Notes due 2039 at 5.74%. Granite State issued $10.0 million of Notes due 2034 at 5.74%. The Company used the net proceeds from these offerings to refinance existing debt and for general corporate purposes. Approximately $1.0 million of costs associated with this issuance were recorded as a reduction of Long-Term Debt for presentation purposes on the Consolidated Balance Sheet in the third quarter of 2024.</w:t>
      </w:r>
    </w:p>
    <w:p>
      <w:pPr>
        <w:spacing w:after="0" w:line="195" w:lineRule="exact"/>
        <w:rPr>
          <w:sz w:val="20"/>
          <w:szCs w:val="20"/>
          <w:color w:val="auto"/>
        </w:rPr>
      </w:pPr>
    </w:p>
    <w:p>
      <w:pPr>
        <w:ind w:right="240" w:firstLine="619"/>
        <w:spacing w:after="0" w:line="283" w:lineRule="auto"/>
        <w:rPr>
          <w:sz w:val="20"/>
          <w:szCs w:val="20"/>
          <w:color w:val="auto"/>
        </w:rPr>
      </w:pPr>
      <w:r>
        <w:rPr>
          <w:rFonts w:ascii="Times New Roman" w:cs="Times New Roman" w:eastAsia="Times New Roman" w:hAnsi="Times New Roman"/>
          <w:sz w:val="21"/>
          <w:szCs w:val="21"/>
          <w:b w:val="1"/>
          <w:bCs w:val="1"/>
          <w:color w:val="231F20"/>
        </w:rPr>
        <w:t>Debt Repayment -</w:t>
      </w:r>
      <w:r>
        <w:rPr>
          <w:rFonts w:ascii="Times New Roman" w:cs="Times New Roman" w:eastAsia="Times New Roman" w:hAnsi="Times New Roman"/>
          <w:sz w:val="21"/>
          <w:szCs w:val="21"/>
          <w:color w:val="231F20"/>
        </w:rPr>
        <w:t>The total aggregate amount of debt repayments relating to bond issues and normal scheduled long-term debt repayments amounted to $4.9 million, $4.9 million and $6.9 million in 2025, 2024, and 2023, respectively.</w:t>
      </w:r>
    </w:p>
    <w:p>
      <w:pPr>
        <w:spacing w:after="0" w:line="194" w:lineRule="exact"/>
        <w:rPr>
          <w:sz w:val="20"/>
          <w:szCs w:val="20"/>
          <w:color w:val="auto"/>
        </w:rPr>
      </w:pPr>
    </w:p>
    <w:p>
      <w:pPr>
        <w:ind w:right="20" w:firstLine="619"/>
        <w:spacing w:after="0" w:line="259" w:lineRule="auto"/>
        <w:rPr>
          <w:sz w:val="20"/>
          <w:szCs w:val="20"/>
          <w:color w:val="auto"/>
        </w:rPr>
      </w:pPr>
      <w:r>
        <w:rPr>
          <w:rFonts w:ascii="Times New Roman" w:cs="Times New Roman" w:eastAsia="Times New Roman" w:hAnsi="Times New Roman"/>
          <w:sz w:val="21"/>
          <w:szCs w:val="21"/>
          <w:color w:val="231F20"/>
        </w:rPr>
        <w:t>The aggregate amount of bond repayment requirements and normal scheduled long-term debt repayments for each of the five years following 2025 is: 2026 – $37.9 million; 2027 – $55.7 million; 2028 – $10.7 million; 2029 – $43.7 million; 2030 – $26.5 million and thereafter $499.8 million.</w:t>
      </w:r>
    </w:p>
    <w:p>
      <w:pPr>
        <w:spacing w:after="0" w:line="215"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1"/>
          <w:szCs w:val="21"/>
          <w:b w:val="1"/>
          <w:bCs w:val="1"/>
          <w:color w:val="231F20"/>
        </w:rPr>
        <w:t xml:space="preserve">Fair Value of Long-Term Debt - </w:t>
      </w:r>
      <w:r>
        <w:rPr>
          <w:rFonts w:ascii="Times New Roman" w:cs="Times New Roman" w:eastAsia="Times New Roman" w:hAnsi="Times New Roman"/>
          <w:sz w:val="21"/>
          <w:szCs w:val="21"/>
          <w:color w:val="231F20"/>
        </w:rPr>
        <w:t>Currently, the Company believes that there is no active market in the Company’s</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debt securities, which have all been sold through private placements. If there were an active market for the Company’s debt securities, the fair value of the Company’s long-term debt would be estimated based on the quoted market prices for the same or similar issues, or on the current rates offered to the Company for debt of the same remaining maturities. The fair value of the Company’s long-term debt is estimated using Level 2 inputs (valuations based on quoted prices available in active markets for similar assets or liabilities, quoted prices for identical or similar assets or liabilities in inactive markets, inputs other than quoted prices that are directly observable, and inputs derived principally from market data). In estimating the fair value of the Company’s long-term debt, the assumed market yield reflects the Moody’s Baa Utility Bond Average Yield. Costs, including</w:t>
      </w:r>
    </w:p>
    <w:p>
      <w:pPr>
        <w:sectPr>
          <w:pgSz w:w="12240" w:h="15840" w:orient="portrait"/>
          <w:cols w:equalWidth="0" w:num="1">
            <w:col w:w="10780"/>
          </w:cols>
          <w:pgMar w:left="720" w:top="929" w:right="74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58</w:t>
      </w:r>
    </w:p>
    <w:p>
      <w:pPr>
        <w:sectPr>
          <w:pgSz w:w="12240" w:h="15840" w:orient="portrait"/>
          <w:cols w:equalWidth="0" w:num="1">
            <w:col w:w="10780"/>
          </w:cols>
          <w:pgMar w:left="720" w:top="929" w:right="740" w:bottom="188" w:gutter="0" w:footer="0" w:header="0"/>
          <w:type w:val="continuous"/>
        </w:sectPr>
      </w:pPr>
    </w:p>
    <w:bookmarkStart w:id="78" w:name="page79"/>
    <w:bookmarkEnd w:id="78"/>
    <w:p>
      <w:pPr>
        <w:spacing w:after="0" w:line="279" w:lineRule="auto"/>
        <w:rPr>
          <w:sz w:val="20"/>
          <w:szCs w:val="20"/>
          <w:color w:val="auto"/>
        </w:rPr>
      </w:pPr>
      <w:r>
        <w:rPr>
          <w:rFonts w:ascii="Times New Roman" w:cs="Times New Roman" w:eastAsia="Times New Roman" w:hAnsi="Times New Roman"/>
          <w:sz w:val="21"/>
          <w:szCs w:val="21"/>
          <w:color w:val="231F20"/>
        </w:rPr>
        <w:t>prepayment costs, associated with the early settlement of long-term debt are not taken into consideration in determining fair value.</w:t>
      </w:r>
    </w:p>
    <w:p>
      <w:pPr>
        <w:spacing w:after="0" w:line="199"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Estimated Fair Value of Long-Term Debt (millions)</w:t>
            </w:r>
          </w:p>
        </w:tc>
        <w:tc>
          <w:tcPr>
            <w:tcW w:w="1540" w:type="dxa"/>
            <w:vAlign w:val="bottom"/>
          </w:tcPr>
          <w:p>
            <w:pPr>
              <w:spacing w:after="0"/>
              <w:rPr>
                <w:sz w:val="17"/>
                <w:szCs w:val="17"/>
                <w:color w:val="auto"/>
              </w:rPr>
            </w:pPr>
          </w:p>
        </w:tc>
        <w:tc>
          <w:tcPr>
            <w:tcW w:w="320" w:type="dxa"/>
            <w:vAlign w:val="bottom"/>
            <w:tcBorders>
              <w:bottom w:val="single" w:sz="8" w:color="231F20"/>
            </w:tcBorders>
          </w:tcPr>
          <w:p>
            <w:pPr>
              <w:spacing w:after="0"/>
              <w:rPr>
                <w:sz w:val="17"/>
                <w:szCs w:val="17"/>
                <w:color w:val="auto"/>
              </w:rPr>
            </w:pPr>
          </w:p>
        </w:tc>
        <w:tc>
          <w:tcPr>
            <w:tcW w:w="1780" w:type="dxa"/>
            <w:vAlign w:val="bottom"/>
            <w:tcBorders>
              <w:bottom w:val="single" w:sz="8" w:color="231F20"/>
            </w:tcBorders>
            <w:gridSpan w:val="3"/>
          </w:tcPr>
          <w:p>
            <w:pPr>
              <w:jc w:val="right"/>
              <w:ind w:right="16"/>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960" w:type="dxa"/>
            <w:vAlign w:val="bottom"/>
            <w:tcBorders>
              <w:bottom w:val="single" w:sz="8" w:color="231F20"/>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060" w:type="dxa"/>
            <w:vAlign w:val="bottom"/>
            <w:gridSpan w:val="2"/>
            <w:vMerge w:val="continue"/>
          </w:tcPr>
          <w:p>
            <w:pPr>
              <w:spacing w:after="0"/>
              <w:rPr>
                <w:sz w:val="16"/>
                <w:szCs w:val="16"/>
                <w:color w:val="auto"/>
              </w:rPr>
            </w:pP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55"/>
              <w:spacing w:after="0" w:line="169" w:lineRule="exact"/>
              <w:rPr>
                <w:sz w:val="20"/>
                <w:szCs w:val="20"/>
                <w:color w:val="auto"/>
              </w:rPr>
            </w:pPr>
            <w:r>
              <w:rPr>
                <w:rFonts w:ascii="Times New Roman" w:cs="Times New Roman" w:eastAsia="Times New Roman" w:hAnsi="Times New Roman"/>
                <w:sz w:val="16"/>
                <w:szCs w:val="16"/>
                <w:b w:val="1"/>
                <w:bCs w:val="1"/>
                <w:color w:val="231F20"/>
              </w:rPr>
              <w:t>2025</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453"/>
              <w:spacing w:after="0" w:line="169" w:lineRule="exact"/>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20" w:type="dxa"/>
            <w:vAlign w:val="bottom"/>
            <w:tcBorders>
              <w:top w:val="single" w:sz="8" w:color="231F20"/>
            </w:tcBorders>
            <w:shd w:val="clear" w:color="auto" w:fill="E6E7E8"/>
          </w:tcPr>
          <w:p>
            <w:pPr>
              <w:spacing w:after="0" w:line="204" w:lineRule="exact"/>
              <w:rPr>
                <w:sz w:val="20"/>
                <w:szCs w:val="20"/>
                <w:color w:val="auto"/>
              </w:rPr>
            </w:pPr>
            <w:r>
              <w:rPr>
                <w:rFonts w:ascii="Times New Roman" w:cs="Times New Roman" w:eastAsia="Times New Roman" w:hAnsi="Times New Roman"/>
                <w:sz w:val="19"/>
                <w:szCs w:val="19"/>
                <w:color w:val="231F20"/>
              </w:rPr>
              <w:t>Estimated Fair Value of Long-Term Debt</w:t>
            </w:r>
          </w:p>
        </w:tc>
        <w:tc>
          <w:tcPr>
            <w:tcW w:w="1540" w:type="dxa"/>
            <w:vAlign w:val="bottom"/>
            <w:tcBorders>
              <w:top w:val="single" w:sz="8" w:color="E6E7E8"/>
            </w:tcBorders>
            <w:shd w:val="clear" w:color="auto" w:fill="E6E7E8"/>
          </w:tcPr>
          <w:p>
            <w:pPr>
              <w:spacing w:after="0"/>
              <w:rPr>
                <w:sz w:val="17"/>
                <w:szCs w:val="17"/>
                <w:color w:val="auto"/>
              </w:rPr>
            </w:pPr>
          </w:p>
        </w:tc>
        <w:tc>
          <w:tcPr>
            <w:tcW w:w="1540" w:type="dxa"/>
            <w:vAlign w:val="bottom"/>
            <w:tcBorders>
              <w:top w:val="single" w:sz="8" w:color="E6E7E8"/>
            </w:tcBorders>
            <w:shd w:val="clear" w:color="auto" w:fill="E6E7E8"/>
          </w:tcPr>
          <w:p>
            <w:pPr>
              <w:spacing w:after="0"/>
              <w:rPr>
                <w:sz w:val="17"/>
                <w:szCs w:val="17"/>
                <w:color w:val="auto"/>
              </w:rPr>
            </w:pPr>
          </w:p>
        </w:tc>
        <w:tc>
          <w:tcPr>
            <w:tcW w:w="320" w:type="dxa"/>
            <w:vAlign w:val="bottom"/>
            <w:tcBorders>
              <w:top w:val="single" w:sz="8" w:color="231F20"/>
            </w:tcBorders>
            <w:shd w:val="clear" w:color="auto" w:fill="E6E7E8"/>
          </w:tcPr>
          <w:p>
            <w:pPr>
              <w:jc w:val="right"/>
              <w:ind w:right="156"/>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108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b w:val="1"/>
                <w:bCs w:val="1"/>
                <w:color w:val="231F20"/>
              </w:rPr>
              <w:t>623.4</w:t>
            </w:r>
          </w:p>
        </w:tc>
        <w:tc>
          <w:tcPr>
            <w:tcW w:w="260" w:type="dxa"/>
            <w:vAlign w:val="bottom"/>
            <w:tcBorders>
              <w:top w:val="single" w:sz="8" w:color="E6E7E8"/>
            </w:tcBorders>
            <w:shd w:val="clear" w:color="auto" w:fill="E6E7E8"/>
          </w:tcPr>
          <w:p>
            <w:pPr>
              <w:spacing w:after="0"/>
              <w:rPr>
                <w:sz w:val="17"/>
                <w:szCs w:val="17"/>
                <w:color w:val="auto"/>
              </w:rPr>
            </w:pPr>
          </w:p>
        </w:tc>
        <w:tc>
          <w:tcPr>
            <w:tcW w:w="440" w:type="dxa"/>
            <w:vAlign w:val="bottom"/>
            <w:tcBorders>
              <w:top w:val="single" w:sz="8" w:color="231F20"/>
            </w:tcBorders>
            <w:shd w:val="clear" w:color="auto" w:fill="E6E7E8"/>
          </w:tcPr>
          <w:p>
            <w:pPr>
              <w:jc w:val="right"/>
              <w:ind w:right="276"/>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color w:val="231F20"/>
              </w:rPr>
              <w:t>598.9</w:t>
            </w:r>
          </w:p>
        </w:tc>
        <w:tc>
          <w:tcPr>
            <w:tcW w:w="60" w:type="dxa"/>
            <w:vAlign w:val="bottom"/>
            <w:tcBorders>
              <w:top w:val="single" w:sz="8" w:color="E6E7E8"/>
            </w:tcBorders>
            <w:shd w:val="clear" w:color="auto" w:fill="E6E7E8"/>
          </w:tcPr>
          <w:p>
            <w:pPr>
              <w:spacing w:after="0"/>
              <w:rPr>
                <w:sz w:val="17"/>
                <w:szCs w:val="17"/>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231F20"/>
        </w:rPr>
        <w:t>Details on long-term debt at December 31, 2025 and 2024 are shown below:</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 w:type="dxa"/>
            <w:vAlign w:val="bottom"/>
          </w:tcPr>
          <w:p>
            <w:pPr>
              <w:spacing w:after="0"/>
              <w:rPr>
                <w:sz w:val="17"/>
                <w:szCs w:val="17"/>
                <w:color w:val="auto"/>
              </w:rPr>
            </w:pPr>
          </w:p>
        </w:tc>
        <w:tc>
          <w:tcPr>
            <w:tcW w:w="660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Long-Term Debt (millions)</w:t>
            </w:r>
          </w:p>
        </w:tc>
        <w:tc>
          <w:tcPr>
            <w:tcW w:w="20" w:type="dxa"/>
            <w:vAlign w:val="bottom"/>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1780" w:type="dxa"/>
            <w:vAlign w:val="bottom"/>
            <w:tcBorders>
              <w:bottom w:val="single" w:sz="8" w:color="231F20"/>
            </w:tcBorders>
            <w:gridSpan w:val="3"/>
          </w:tcPr>
          <w:p>
            <w:pPr>
              <w:jc w:val="right"/>
              <w:ind w:right="16"/>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980" w:type="dxa"/>
            <w:vAlign w:val="bottom"/>
            <w:tcBorders>
              <w:bottom w:val="single" w:sz="8" w:color="231F20"/>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660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466"/>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ind w:right="465"/>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1840" w:type="dxa"/>
            <w:vAlign w:val="bottom"/>
            <w:tcBorders>
              <w:top w:val="single" w:sz="8" w:color="231F20"/>
            </w:tcBorders>
            <w:gridSpan w:val="3"/>
            <w:shd w:val="clear" w:color="auto" w:fill="E6E7E8"/>
          </w:tcPr>
          <w:p>
            <w:pPr>
              <w:spacing w:after="0" w:line="217" w:lineRule="exact"/>
              <w:rPr>
                <w:sz w:val="20"/>
                <w:szCs w:val="20"/>
                <w:color w:val="auto"/>
              </w:rPr>
            </w:pPr>
            <w:r>
              <w:rPr>
                <w:rFonts w:ascii="Times New Roman" w:cs="Times New Roman" w:eastAsia="Times New Roman" w:hAnsi="Times New Roman"/>
                <w:sz w:val="19"/>
                <w:szCs w:val="19"/>
                <w:color w:val="231F20"/>
              </w:rPr>
              <w:t>Unitil Corporation:</w:t>
            </w:r>
          </w:p>
        </w:tc>
        <w:tc>
          <w:tcPr>
            <w:tcW w:w="4760" w:type="dxa"/>
            <w:vAlign w:val="bottom"/>
            <w:tcBorders>
              <w:top w:val="single" w:sz="8" w:color="E6E7E8"/>
            </w:tcBorders>
            <w:shd w:val="clear" w:color="auto" w:fill="E6E7E8"/>
          </w:tcPr>
          <w:p>
            <w:pPr>
              <w:spacing w:after="0"/>
              <w:rPr>
                <w:sz w:val="18"/>
                <w:szCs w:val="18"/>
                <w:color w:val="auto"/>
              </w:rPr>
            </w:pPr>
          </w:p>
        </w:tc>
        <w:tc>
          <w:tcPr>
            <w:tcW w:w="20" w:type="dxa"/>
            <w:vAlign w:val="bottom"/>
            <w:tcBorders>
              <w:top w:val="single" w:sz="8" w:color="E6E7E8"/>
            </w:tcBorders>
            <w:shd w:val="clear" w:color="auto" w:fill="E6E7E8"/>
          </w:tcPr>
          <w:p>
            <w:pPr>
              <w:spacing w:after="0"/>
              <w:rPr>
                <w:sz w:val="18"/>
                <w:szCs w:val="18"/>
                <w:color w:val="auto"/>
              </w:rPr>
            </w:pPr>
          </w:p>
        </w:tc>
        <w:tc>
          <w:tcPr>
            <w:tcW w:w="280" w:type="dxa"/>
            <w:vAlign w:val="bottom"/>
            <w:tcBorders>
              <w:top w:val="single" w:sz="8" w:color="231F20"/>
            </w:tcBorders>
            <w:shd w:val="clear" w:color="auto" w:fill="E6E7E8"/>
          </w:tcPr>
          <w:p>
            <w:pPr>
              <w:spacing w:after="0"/>
              <w:rPr>
                <w:sz w:val="18"/>
                <w:szCs w:val="18"/>
                <w:color w:val="auto"/>
              </w:rPr>
            </w:pPr>
          </w:p>
        </w:tc>
        <w:tc>
          <w:tcPr>
            <w:tcW w:w="1100" w:type="dxa"/>
            <w:vAlign w:val="bottom"/>
            <w:tcBorders>
              <w:top w:val="single" w:sz="8" w:color="231F20"/>
            </w:tcBorders>
            <w:shd w:val="clear" w:color="auto" w:fill="E6E7E8"/>
          </w:tcPr>
          <w:p>
            <w:pPr>
              <w:spacing w:after="0"/>
              <w:rPr>
                <w:sz w:val="18"/>
                <w:szCs w:val="18"/>
                <w:color w:val="auto"/>
              </w:rPr>
            </w:pPr>
          </w:p>
        </w:tc>
        <w:tc>
          <w:tcPr>
            <w:tcW w:w="260" w:type="dxa"/>
            <w:vAlign w:val="bottom"/>
            <w:tcBorders>
              <w:top w:val="single" w:sz="8" w:color="E6E7E8"/>
            </w:tcBorders>
            <w:shd w:val="clear" w:color="auto" w:fill="E6E7E8"/>
          </w:tcPr>
          <w:p>
            <w:pPr>
              <w:spacing w:after="0"/>
              <w:rPr>
                <w:sz w:val="18"/>
                <w:szCs w:val="18"/>
                <w:color w:val="auto"/>
              </w:rPr>
            </w:pPr>
          </w:p>
        </w:tc>
        <w:tc>
          <w:tcPr>
            <w:tcW w:w="420" w:type="dxa"/>
            <w:vAlign w:val="bottom"/>
            <w:tcBorders>
              <w:top w:val="single" w:sz="8" w:color="231F20"/>
            </w:tcBorders>
            <w:shd w:val="clear" w:color="auto" w:fill="E6E7E8"/>
          </w:tcPr>
          <w:p>
            <w:pPr>
              <w:spacing w:after="0"/>
              <w:rPr>
                <w:sz w:val="18"/>
                <w:szCs w:val="18"/>
                <w:color w:val="auto"/>
              </w:rPr>
            </w:pPr>
          </w:p>
        </w:tc>
        <w:tc>
          <w:tcPr>
            <w:tcW w:w="980" w:type="dxa"/>
            <w:vAlign w:val="bottom"/>
            <w:tcBorders>
              <w:top w:val="single" w:sz="8" w:color="231F20"/>
            </w:tcBorders>
            <w:shd w:val="clear" w:color="auto" w:fill="E6E7E8"/>
          </w:tcPr>
          <w:p>
            <w:pPr>
              <w:spacing w:after="0"/>
              <w:rPr>
                <w:sz w:val="18"/>
                <w:szCs w:val="18"/>
                <w:color w:val="auto"/>
              </w:rPr>
            </w:pPr>
          </w:p>
        </w:tc>
        <w:tc>
          <w:tcPr>
            <w:tcW w:w="60" w:type="dxa"/>
            <w:vAlign w:val="bottom"/>
            <w:tcBorders>
              <w:top w:val="single" w:sz="8" w:color="E6E7E8"/>
            </w:tcBorders>
            <w:shd w:val="clear" w:color="auto" w:fill="E6E7E8"/>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3.70%</w:t>
            </w: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231F20"/>
              </w:rPr>
              <w:t>Senior Notes, Due August 1, 2026</w:t>
            </w:r>
          </w:p>
        </w:tc>
        <w:tc>
          <w:tcPr>
            <w:tcW w:w="20" w:type="dxa"/>
            <w:vAlign w:val="bottom"/>
          </w:tcPr>
          <w:p>
            <w:pPr>
              <w:spacing w:after="0"/>
              <w:rPr>
                <w:sz w:val="20"/>
                <w:szCs w:val="20"/>
                <w:color w:val="auto"/>
              </w:rPr>
            </w:pPr>
          </w:p>
        </w:tc>
        <w:tc>
          <w:tcPr>
            <w:tcW w:w="280" w:type="dxa"/>
            <w:vAlign w:val="bottom"/>
          </w:tcPr>
          <w:p>
            <w:pPr>
              <w:jc w:val="right"/>
              <w:ind w:right="167"/>
              <w:spacing w:after="0"/>
              <w:rPr>
                <w:sz w:val="20"/>
                <w:szCs w:val="20"/>
                <w:color w:val="auto"/>
              </w:rPr>
            </w:pPr>
            <w:r>
              <w:rPr>
                <w:rFonts w:ascii="Times New Roman" w:cs="Times New Roman" w:eastAsia="Times New Roman" w:hAnsi="Times New Roman"/>
                <w:sz w:val="11"/>
                <w:szCs w:val="11"/>
                <w:b w:val="1"/>
                <w:bCs w:val="1"/>
                <w:color w:val="231F20"/>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30.0</w:t>
            </w:r>
          </w:p>
        </w:tc>
        <w:tc>
          <w:tcPr>
            <w:tcW w:w="260" w:type="dxa"/>
            <w:vAlign w:val="bottom"/>
          </w:tcPr>
          <w:p>
            <w:pPr>
              <w:spacing w:after="0"/>
              <w:rPr>
                <w:sz w:val="20"/>
                <w:szCs w:val="20"/>
                <w:color w:val="auto"/>
              </w:rPr>
            </w:pP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231F20"/>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72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3.43%</w:t>
            </w:r>
          </w:p>
        </w:tc>
        <w:tc>
          <w:tcPr>
            <w:tcW w:w="5880" w:type="dxa"/>
            <w:vAlign w:val="bottom"/>
            <w:gridSpan w:val="2"/>
            <w:shd w:val="clear" w:color="auto" w:fill="E6E7E8"/>
          </w:tcPr>
          <w:p>
            <w:pPr>
              <w:ind w:left="20"/>
              <w:spacing w:after="0"/>
              <w:rPr>
                <w:sz w:val="20"/>
                <w:szCs w:val="20"/>
                <w:color w:val="auto"/>
              </w:rPr>
            </w:pPr>
            <w:r>
              <w:rPr>
                <w:rFonts w:ascii="Times New Roman" w:cs="Times New Roman" w:eastAsia="Times New Roman" w:hAnsi="Times New Roman"/>
                <w:sz w:val="19"/>
                <w:szCs w:val="19"/>
                <w:color w:val="231F20"/>
              </w:rPr>
              <w:t>Senior Notes, Due December 18, 2029</w:t>
            </w:r>
          </w:p>
        </w:tc>
        <w:tc>
          <w:tcPr>
            <w:tcW w:w="2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1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30.0</w:t>
            </w:r>
          </w:p>
        </w:tc>
        <w:tc>
          <w:tcPr>
            <w:tcW w:w="260" w:type="dxa"/>
            <w:vAlign w:val="bottom"/>
            <w:shd w:val="clear" w:color="auto" w:fill="E6E7E8"/>
          </w:tcPr>
          <w:p>
            <w:pPr>
              <w:spacing w:after="0"/>
              <w:rPr>
                <w:sz w:val="20"/>
                <w:szCs w:val="20"/>
                <w:color w:val="auto"/>
              </w:rPr>
            </w:pPr>
          </w:p>
        </w:tc>
        <w:tc>
          <w:tcPr>
            <w:tcW w:w="420" w:type="dxa"/>
            <w:vAlign w:val="bottom"/>
            <w:shd w:val="clear" w:color="auto" w:fill="E6E7E8"/>
          </w:tcPr>
          <w:p>
            <w:pPr>
              <w:spacing w:after="0"/>
              <w:rPr>
                <w:sz w:val="20"/>
                <w:szCs w:val="20"/>
                <w:color w:val="auto"/>
              </w:rPr>
            </w:pPr>
          </w:p>
        </w:tc>
        <w:tc>
          <w:tcPr>
            <w:tcW w:w="9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30.0</w:t>
            </w: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5.99%</w:t>
            </w: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231F20"/>
              </w:rPr>
              <w:t>Senior Notes, Due August 21, 2034</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20.0</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6600" w:type="dxa"/>
            <w:vAlign w:val="bottom"/>
            <w:gridSpan w:val="4"/>
            <w:shd w:val="clear" w:color="auto" w:fill="E6E7E8"/>
          </w:tcPr>
          <w:p>
            <w:pPr>
              <w:spacing w:after="0"/>
              <w:rPr>
                <w:sz w:val="20"/>
                <w:szCs w:val="20"/>
                <w:color w:val="auto"/>
              </w:rPr>
            </w:pPr>
            <w:r>
              <w:rPr>
                <w:rFonts w:ascii="Times New Roman" w:cs="Times New Roman" w:eastAsia="Times New Roman" w:hAnsi="Times New Roman"/>
                <w:sz w:val="19"/>
                <w:szCs w:val="19"/>
                <w:color w:val="231F20"/>
              </w:rPr>
              <w:t>Unitil Energy First Mortgage Bonds:</w:t>
            </w:r>
          </w:p>
        </w:tc>
        <w:tc>
          <w:tcPr>
            <w:tcW w:w="2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100" w:type="dxa"/>
            <w:vAlign w:val="bottom"/>
            <w:shd w:val="clear" w:color="auto" w:fill="E6E7E8"/>
          </w:tcPr>
          <w:p>
            <w:pPr>
              <w:spacing w:after="0"/>
              <w:rPr>
                <w:sz w:val="20"/>
                <w:szCs w:val="20"/>
                <w:color w:val="auto"/>
              </w:rPr>
            </w:pPr>
          </w:p>
        </w:tc>
        <w:tc>
          <w:tcPr>
            <w:tcW w:w="260" w:type="dxa"/>
            <w:vAlign w:val="bottom"/>
            <w:shd w:val="clear" w:color="auto" w:fill="E6E7E8"/>
          </w:tcPr>
          <w:p>
            <w:pPr>
              <w:spacing w:after="0"/>
              <w:rPr>
                <w:sz w:val="20"/>
                <w:szCs w:val="20"/>
                <w:color w:val="auto"/>
              </w:rPr>
            </w:pPr>
          </w:p>
        </w:tc>
        <w:tc>
          <w:tcPr>
            <w:tcW w:w="420" w:type="dxa"/>
            <w:vAlign w:val="bottom"/>
            <w:shd w:val="clear" w:color="auto" w:fill="E6E7E8"/>
          </w:tcPr>
          <w:p>
            <w:pPr>
              <w:spacing w:after="0"/>
              <w:rPr>
                <w:sz w:val="20"/>
                <w:szCs w:val="20"/>
                <w:color w:val="auto"/>
              </w:rPr>
            </w:pPr>
          </w:p>
        </w:tc>
        <w:tc>
          <w:tcPr>
            <w:tcW w:w="980" w:type="dxa"/>
            <w:vAlign w:val="bottom"/>
            <w:shd w:val="clear" w:color="auto" w:fill="E6E7E8"/>
          </w:tcPr>
          <w:p>
            <w:pPr>
              <w:spacing w:after="0"/>
              <w:rPr>
                <w:sz w:val="20"/>
                <w:szCs w:val="20"/>
                <w:color w:val="auto"/>
              </w:rPr>
            </w:pP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6.96%</w:t>
            </w: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231F20"/>
              </w:rPr>
              <w:t>Senior Secured Notes, Due September 1, 2028</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6.0</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72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8.00%</w:t>
            </w:r>
          </w:p>
        </w:tc>
        <w:tc>
          <w:tcPr>
            <w:tcW w:w="5880" w:type="dxa"/>
            <w:vAlign w:val="bottom"/>
            <w:gridSpan w:val="2"/>
            <w:shd w:val="clear" w:color="auto" w:fill="E6E7E8"/>
          </w:tcPr>
          <w:p>
            <w:pPr>
              <w:ind w:left="20"/>
              <w:spacing w:after="0"/>
              <w:rPr>
                <w:sz w:val="20"/>
                <w:szCs w:val="20"/>
                <w:color w:val="auto"/>
              </w:rPr>
            </w:pPr>
            <w:r>
              <w:rPr>
                <w:rFonts w:ascii="Times New Roman" w:cs="Times New Roman" w:eastAsia="Times New Roman" w:hAnsi="Times New Roman"/>
                <w:sz w:val="19"/>
                <w:szCs w:val="19"/>
                <w:color w:val="231F20"/>
              </w:rPr>
              <w:t>Senior Secured Notes, Due May 1, 2031</w:t>
            </w:r>
          </w:p>
        </w:tc>
        <w:tc>
          <w:tcPr>
            <w:tcW w:w="2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1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9.0</w:t>
            </w:r>
          </w:p>
        </w:tc>
        <w:tc>
          <w:tcPr>
            <w:tcW w:w="260" w:type="dxa"/>
            <w:vAlign w:val="bottom"/>
            <w:shd w:val="clear" w:color="auto" w:fill="E6E7E8"/>
          </w:tcPr>
          <w:p>
            <w:pPr>
              <w:spacing w:after="0"/>
              <w:rPr>
                <w:sz w:val="20"/>
                <w:szCs w:val="20"/>
                <w:color w:val="auto"/>
              </w:rPr>
            </w:pPr>
          </w:p>
        </w:tc>
        <w:tc>
          <w:tcPr>
            <w:tcW w:w="420" w:type="dxa"/>
            <w:vAlign w:val="bottom"/>
            <w:shd w:val="clear" w:color="auto" w:fill="E6E7E8"/>
          </w:tcPr>
          <w:p>
            <w:pPr>
              <w:spacing w:after="0"/>
              <w:rPr>
                <w:sz w:val="20"/>
                <w:szCs w:val="20"/>
                <w:color w:val="auto"/>
              </w:rPr>
            </w:pPr>
          </w:p>
        </w:tc>
        <w:tc>
          <w:tcPr>
            <w:tcW w:w="9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10.5</w:t>
            </w: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6.32%</w:t>
            </w: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231F20"/>
              </w:rPr>
              <w:t>Senior Secured Notes, Due September 15, 2036</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15.0</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72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3.58%</w:t>
            </w:r>
          </w:p>
        </w:tc>
        <w:tc>
          <w:tcPr>
            <w:tcW w:w="5880" w:type="dxa"/>
            <w:vAlign w:val="bottom"/>
            <w:gridSpan w:val="2"/>
            <w:shd w:val="clear" w:color="auto" w:fill="E6E7E8"/>
          </w:tcPr>
          <w:p>
            <w:pPr>
              <w:ind w:left="20"/>
              <w:spacing w:after="0"/>
              <w:rPr>
                <w:sz w:val="20"/>
                <w:szCs w:val="20"/>
                <w:color w:val="auto"/>
              </w:rPr>
            </w:pPr>
            <w:r>
              <w:rPr>
                <w:rFonts w:ascii="Times New Roman" w:cs="Times New Roman" w:eastAsia="Times New Roman" w:hAnsi="Times New Roman"/>
                <w:sz w:val="19"/>
                <w:szCs w:val="19"/>
                <w:color w:val="231F20"/>
              </w:rPr>
              <w:t>Senior Secured Notes, Due September 15, 2040</w:t>
            </w:r>
          </w:p>
        </w:tc>
        <w:tc>
          <w:tcPr>
            <w:tcW w:w="2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1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27.5</w:t>
            </w:r>
          </w:p>
        </w:tc>
        <w:tc>
          <w:tcPr>
            <w:tcW w:w="260" w:type="dxa"/>
            <w:vAlign w:val="bottom"/>
            <w:shd w:val="clear" w:color="auto" w:fill="E6E7E8"/>
          </w:tcPr>
          <w:p>
            <w:pPr>
              <w:spacing w:after="0"/>
              <w:rPr>
                <w:sz w:val="20"/>
                <w:szCs w:val="20"/>
                <w:color w:val="auto"/>
              </w:rPr>
            </w:pPr>
          </w:p>
        </w:tc>
        <w:tc>
          <w:tcPr>
            <w:tcW w:w="420" w:type="dxa"/>
            <w:vAlign w:val="bottom"/>
            <w:shd w:val="clear" w:color="auto" w:fill="E6E7E8"/>
          </w:tcPr>
          <w:p>
            <w:pPr>
              <w:spacing w:after="0"/>
              <w:rPr>
                <w:sz w:val="20"/>
                <w:szCs w:val="20"/>
                <w:color w:val="auto"/>
              </w:rPr>
            </w:pPr>
          </w:p>
        </w:tc>
        <w:tc>
          <w:tcPr>
            <w:tcW w:w="9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27.5</w:t>
            </w: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4.18%</w:t>
            </w: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231F20"/>
              </w:rPr>
              <w:t>Senior Secured Notes, Due November 30, 2048</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30.0</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72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5.69%</w:t>
            </w:r>
          </w:p>
        </w:tc>
        <w:tc>
          <w:tcPr>
            <w:tcW w:w="5880" w:type="dxa"/>
            <w:vAlign w:val="bottom"/>
            <w:gridSpan w:val="2"/>
            <w:shd w:val="clear" w:color="auto" w:fill="E6E7E8"/>
          </w:tcPr>
          <w:p>
            <w:pPr>
              <w:ind w:left="20"/>
              <w:spacing w:after="0"/>
              <w:rPr>
                <w:sz w:val="20"/>
                <w:szCs w:val="20"/>
                <w:color w:val="auto"/>
              </w:rPr>
            </w:pPr>
            <w:r>
              <w:rPr>
                <w:rFonts w:ascii="Times New Roman" w:cs="Times New Roman" w:eastAsia="Times New Roman" w:hAnsi="Times New Roman"/>
                <w:sz w:val="19"/>
                <w:szCs w:val="19"/>
                <w:color w:val="231F20"/>
              </w:rPr>
              <w:t>Senior Secured Notes, Due August 21, 2054</w:t>
            </w:r>
          </w:p>
        </w:tc>
        <w:tc>
          <w:tcPr>
            <w:tcW w:w="2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1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40.0</w:t>
            </w:r>
          </w:p>
        </w:tc>
        <w:tc>
          <w:tcPr>
            <w:tcW w:w="260" w:type="dxa"/>
            <w:vAlign w:val="bottom"/>
            <w:shd w:val="clear" w:color="auto" w:fill="E6E7E8"/>
          </w:tcPr>
          <w:p>
            <w:pPr>
              <w:spacing w:after="0"/>
              <w:rPr>
                <w:sz w:val="20"/>
                <w:szCs w:val="20"/>
                <w:color w:val="auto"/>
              </w:rPr>
            </w:pPr>
          </w:p>
        </w:tc>
        <w:tc>
          <w:tcPr>
            <w:tcW w:w="420" w:type="dxa"/>
            <w:vAlign w:val="bottom"/>
            <w:shd w:val="clear" w:color="auto" w:fill="E6E7E8"/>
          </w:tcPr>
          <w:p>
            <w:pPr>
              <w:spacing w:after="0"/>
              <w:rPr>
                <w:sz w:val="20"/>
                <w:szCs w:val="20"/>
                <w:color w:val="auto"/>
              </w:rPr>
            </w:pPr>
          </w:p>
        </w:tc>
        <w:tc>
          <w:tcPr>
            <w:tcW w:w="9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40.0</w:t>
            </w: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6600" w:type="dxa"/>
            <w:vAlign w:val="bottom"/>
            <w:gridSpan w:val="4"/>
          </w:tcPr>
          <w:p>
            <w:pPr>
              <w:spacing w:after="0"/>
              <w:rPr>
                <w:sz w:val="20"/>
                <w:szCs w:val="20"/>
                <w:color w:val="auto"/>
              </w:rPr>
            </w:pPr>
            <w:r>
              <w:rPr>
                <w:rFonts w:ascii="Times New Roman" w:cs="Times New Roman" w:eastAsia="Times New Roman" w:hAnsi="Times New Roman"/>
                <w:sz w:val="19"/>
                <w:szCs w:val="19"/>
                <w:color w:val="231F20"/>
              </w:rPr>
              <w:t>Fitchburg:</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72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3.52%</w:t>
            </w:r>
          </w:p>
        </w:tc>
        <w:tc>
          <w:tcPr>
            <w:tcW w:w="5880" w:type="dxa"/>
            <w:vAlign w:val="bottom"/>
            <w:gridSpan w:val="2"/>
            <w:shd w:val="clear" w:color="auto" w:fill="E6E7E8"/>
          </w:tcPr>
          <w:p>
            <w:pPr>
              <w:ind w:left="20"/>
              <w:spacing w:after="0"/>
              <w:rPr>
                <w:sz w:val="20"/>
                <w:szCs w:val="20"/>
                <w:color w:val="auto"/>
              </w:rPr>
            </w:pPr>
            <w:r>
              <w:rPr>
                <w:rFonts w:ascii="Times New Roman" w:cs="Times New Roman" w:eastAsia="Times New Roman" w:hAnsi="Times New Roman"/>
                <w:sz w:val="19"/>
                <w:szCs w:val="19"/>
                <w:color w:val="231F20"/>
              </w:rPr>
              <w:t>Senior Notes, Due November 1, 2027</w:t>
            </w:r>
          </w:p>
        </w:tc>
        <w:tc>
          <w:tcPr>
            <w:tcW w:w="2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1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10.0</w:t>
            </w:r>
          </w:p>
        </w:tc>
        <w:tc>
          <w:tcPr>
            <w:tcW w:w="260" w:type="dxa"/>
            <w:vAlign w:val="bottom"/>
            <w:shd w:val="clear" w:color="auto" w:fill="E6E7E8"/>
          </w:tcPr>
          <w:p>
            <w:pPr>
              <w:spacing w:after="0"/>
              <w:rPr>
                <w:sz w:val="20"/>
                <w:szCs w:val="20"/>
                <w:color w:val="auto"/>
              </w:rPr>
            </w:pPr>
          </w:p>
        </w:tc>
        <w:tc>
          <w:tcPr>
            <w:tcW w:w="420" w:type="dxa"/>
            <w:vAlign w:val="bottom"/>
            <w:shd w:val="clear" w:color="auto" w:fill="E6E7E8"/>
          </w:tcPr>
          <w:p>
            <w:pPr>
              <w:spacing w:after="0"/>
              <w:rPr>
                <w:sz w:val="20"/>
                <w:szCs w:val="20"/>
                <w:color w:val="auto"/>
              </w:rPr>
            </w:pPr>
          </w:p>
        </w:tc>
        <w:tc>
          <w:tcPr>
            <w:tcW w:w="9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10.0</w:t>
            </w: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7.37%</w:t>
            </w: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231F20"/>
              </w:rPr>
              <w:t>Senior Notes, Due January 15, 2029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4.8</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72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5.90%</w:t>
            </w:r>
          </w:p>
        </w:tc>
        <w:tc>
          <w:tcPr>
            <w:tcW w:w="5880" w:type="dxa"/>
            <w:vAlign w:val="bottom"/>
            <w:gridSpan w:val="2"/>
            <w:shd w:val="clear" w:color="auto" w:fill="E6E7E8"/>
          </w:tcPr>
          <w:p>
            <w:pPr>
              <w:ind w:left="20"/>
              <w:spacing w:after="0"/>
              <w:rPr>
                <w:sz w:val="20"/>
                <w:szCs w:val="20"/>
                <w:color w:val="auto"/>
              </w:rPr>
            </w:pPr>
            <w:r>
              <w:rPr>
                <w:rFonts w:ascii="Times New Roman" w:cs="Times New Roman" w:eastAsia="Times New Roman" w:hAnsi="Times New Roman"/>
                <w:sz w:val="19"/>
                <w:szCs w:val="19"/>
                <w:color w:val="231F20"/>
              </w:rPr>
              <w:t>Senior Notes, Due December 15, 2030</w:t>
            </w:r>
          </w:p>
        </w:tc>
        <w:tc>
          <w:tcPr>
            <w:tcW w:w="2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1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15.0</w:t>
            </w:r>
          </w:p>
        </w:tc>
        <w:tc>
          <w:tcPr>
            <w:tcW w:w="260" w:type="dxa"/>
            <w:vAlign w:val="bottom"/>
            <w:shd w:val="clear" w:color="auto" w:fill="E6E7E8"/>
          </w:tcPr>
          <w:p>
            <w:pPr>
              <w:spacing w:after="0"/>
              <w:rPr>
                <w:sz w:val="20"/>
                <w:szCs w:val="20"/>
                <w:color w:val="auto"/>
              </w:rPr>
            </w:pPr>
          </w:p>
        </w:tc>
        <w:tc>
          <w:tcPr>
            <w:tcW w:w="420" w:type="dxa"/>
            <w:vAlign w:val="bottom"/>
            <w:shd w:val="clear" w:color="auto" w:fill="E6E7E8"/>
          </w:tcPr>
          <w:p>
            <w:pPr>
              <w:spacing w:after="0"/>
              <w:rPr>
                <w:sz w:val="20"/>
                <w:szCs w:val="20"/>
                <w:color w:val="auto"/>
              </w:rPr>
            </w:pPr>
          </w:p>
        </w:tc>
        <w:tc>
          <w:tcPr>
            <w:tcW w:w="9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15.0</w:t>
            </w: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7.98%</w:t>
            </w: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231F20"/>
              </w:rPr>
              <w:t>Senior Notes, Due June 1, 2031</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14.0</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72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5.70%</w:t>
            </w:r>
          </w:p>
        </w:tc>
        <w:tc>
          <w:tcPr>
            <w:tcW w:w="5880" w:type="dxa"/>
            <w:vAlign w:val="bottom"/>
            <w:gridSpan w:val="2"/>
            <w:shd w:val="clear" w:color="auto" w:fill="E6E7E8"/>
          </w:tcPr>
          <w:p>
            <w:pPr>
              <w:ind w:left="20"/>
              <w:spacing w:after="0"/>
              <w:rPr>
                <w:sz w:val="20"/>
                <w:szCs w:val="20"/>
                <w:color w:val="auto"/>
              </w:rPr>
            </w:pPr>
            <w:r>
              <w:rPr>
                <w:rFonts w:ascii="Times New Roman" w:cs="Times New Roman" w:eastAsia="Times New Roman" w:hAnsi="Times New Roman"/>
                <w:sz w:val="19"/>
                <w:szCs w:val="19"/>
                <w:color w:val="231F20"/>
              </w:rPr>
              <w:t>Senior Notes, Due July 2, 2033</w:t>
            </w:r>
          </w:p>
        </w:tc>
        <w:tc>
          <w:tcPr>
            <w:tcW w:w="2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1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12.0</w:t>
            </w:r>
          </w:p>
        </w:tc>
        <w:tc>
          <w:tcPr>
            <w:tcW w:w="260" w:type="dxa"/>
            <w:vAlign w:val="bottom"/>
            <w:shd w:val="clear" w:color="auto" w:fill="E6E7E8"/>
          </w:tcPr>
          <w:p>
            <w:pPr>
              <w:spacing w:after="0"/>
              <w:rPr>
                <w:sz w:val="20"/>
                <w:szCs w:val="20"/>
                <w:color w:val="auto"/>
              </w:rPr>
            </w:pPr>
          </w:p>
        </w:tc>
        <w:tc>
          <w:tcPr>
            <w:tcW w:w="420" w:type="dxa"/>
            <w:vAlign w:val="bottom"/>
            <w:shd w:val="clear" w:color="auto" w:fill="E6E7E8"/>
          </w:tcPr>
          <w:p>
            <w:pPr>
              <w:spacing w:after="0"/>
              <w:rPr>
                <w:sz w:val="20"/>
                <w:szCs w:val="20"/>
                <w:color w:val="auto"/>
              </w:rPr>
            </w:pPr>
          </w:p>
        </w:tc>
        <w:tc>
          <w:tcPr>
            <w:tcW w:w="9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12.0</w:t>
            </w: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5.54%</w:t>
            </w: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231F20"/>
              </w:rPr>
              <w:t>Senior Notes, Due August 21, 2034</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12.5</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72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3.78%</w:t>
            </w:r>
          </w:p>
        </w:tc>
        <w:tc>
          <w:tcPr>
            <w:tcW w:w="5880" w:type="dxa"/>
            <w:vAlign w:val="bottom"/>
            <w:gridSpan w:val="2"/>
            <w:shd w:val="clear" w:color="auto" w:fill="E6E7E8"/>
          </w:tcPr>
          <w:p>
            <w:pPr>
              <w:ind w:left="20"/>
              <w:spacing w:after="0"/>
              <w:rPr>
                <w:sz w:val="20"/>
                <w:szCs w:val="20"/>
                <w:color w:val="auto"/>
              </w:rPr>
            </w:pPr>
            <w:r>
              <w:rPr>
                <w:rFonts w:ascii="Times New Roman" w:cs="Times New Roman" w:eastAsia="Times New Roman" w:hAnsi="Times New Roman"/>
                <w:sz w:val="19"/>
                <w:szCs w:val="19"/>
                <w:color w:val="231F20"/>
              </w:rPr>
              <w:t>Senior Notes, Due September 15, 2040</w:t>
            </w:r>
          </w:p>
        </w:tc>
        <w:tc>
          <w:tcPr>
            <w:tcW w:w="2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1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27.5</w:t>
            </w:r>
          </w:p>
        </w:tc>
        <w:tc>
          <w:tcPr>
            <w:tcW w:w="260" w:type="dxa"/>
            <w:vAlign w:val="bottom"/>
            <w:shd w:val="clear" w:color="auto" w:fill="E6E7E8"/>
          </w:tcPr>
          <w:p>
            <w:pPr>
              <w:spacing w:after="0"/>
              <w:rPr>
                <w:sz w:val="20"/>
                <w:szCs w:val="20"/>
                <w:color w:val="auto"/>
              </w:rPr>
            </w:pPr>
          </w:p>
        </w:tc>
        <w:tc>
          <w:tcPr>
            <w:tcW w:w="420" w:type="dxa"/>
            <w:vAlign w:val="bottom"/>
            <w:shd w:val="clear" w:color="auto" w:fill="E6E7E8"/>
          </w:tcPr>
          <w:p>
            <w:pPr>
              <w:spacing w:after="0"/>
              <w:rPr>
                <w:sz w:val="20"/>
                <w:szCs w:val="20"/>
                <w:color w:val="auto"/>
              </w:rPr>
            </w:pPr>
          </w:p>
        </w:tc>
        <w:tc>
          <w:tcPr>
            <w:tcW w:w="9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27.5</w:t>
            </w: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5.99%</w:t>
            </w: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231F20"/>
              </w:rPr>
              <w:t>Senior Notes, Due August 21, 2044</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12.5</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72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4.32%</w:t>
            </w:r>
          </w:p>
        </w:tc>
        <w:tc>
          <w:tcPr>
            <w:tcW w:w="5880" w:type="dxa"/>
            <w:vAlign w:val="bottom"/>
            <w:gridSpan w:val="2"/>
            <w:shd w:val="clear" w:color="auto" w:fill="E6E7E8"/>
          </w:tcPr>
          <w:p>
            <w:pPr>
              <w:ind w:left="20"/>
              <w:spacing w:after="0"/>
              <w:rPr>
                <w:sz w:val="20"/>
                <w:szCs w:val="20"/>
                <w:color w:val="auto"/>
              </w:rPr>
            </w:pPr>
            <w:r>
              <w:rPr>
                <w:rFonts w:ascii="Times New Roman" w:cs="Times New Roman" w:eastAsia="Times New Roman" w:hAnsi="Times New Roman"/>
                <w:sz w:val="19"/>
                <w:szCs w:val="19"/>
                <w:color w:val="231F20"/>
              </w:rPr>
              <w:t>Senior Notes, Due November 1, 2047</w:t>
            </w:r>
          </w:p>
        </w:tc>
        <w:tc>
          <w:tcPr>
            <w:tcW w:w="2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1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15.0</w:t>
            </w:r>
          </w:p>
        </w:tc>
        <w:tc>
          <w:tcPr>
            <w:tcW w:w="260" w:type="dxa"/>
            <w:vAlign w:val="bottom"/>
            <w:shd w:val="clear" w:color="auto" w:fill="E6E7E8"/>
          </w:tcPr>
          <w:p>
            <w:pPr>
              <w:spacing w:after="0"/>
              <w:rPr>
                <w:sz w:val="20"/>
                <w:szCs w:val="20"/>
                <w:color w:val="auto"/>
              </w:rPr>
            </w:pPr>
          </w:p>
        </w:tc>
        <w:tc>
          <w:tcPr>
            <w:tcW w:w="420" w:type="dxa"/>
            <w:vAlign w:val="bottom"/>
            <w:shd w:val="clear" w:color="auto" w:fill="E6E7E8"/>
          </w:tcPr>
          <w:p>
            <w:pPr>
              <w:spacing w:after="0"/>
              <w:rPr>
                <w:sz w:val="20"/>
                <w:szCs w:val="20"/>
                <w:color w:val="auto"/>
              </w:rPr>
            </w:pPr>
          </w:p>
        </w:tc>
        <w:tc>
          <w:tcPr>
            <w:tcW w:w="9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15.0</w:t>
            </w: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5.96%</w:t>
            </w: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231F20"/>
              </w:rPr>
              <w:t>Senior Notes, Due July 2, 2053</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13.0</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6600" w:type="dxa"/>
            <w:vAlign w:val="bottom"/>
            <w:gridSpan w:val="4"/>
            <w:shd w:val="clear" w:color="auto" w:fill="E6E7E8"/>
          </w:tcPr>
          <w:p>
            <w:pPr>
              <w:spacing w:after="0"/>
              <w:rPr>
                <w:sz w:val="20"/>
                <w:szCs w:val="20"/>
                <w:color w:val="auto"/>
              </w:rPr>
            </w:pPr>
            <w:r>
              <w:rPr>
                <w:rFonts w:ascii="Times New Roman" w:cs="Times New Roman" w:eastAsia="Times New Roman" w:hAnsi="Times New Roman"/>
                <w:sz w:val="19"/>
                <w:szCs w:val="19"/>
                <w:color w:val="231F20"/>
              </w:rPr>
              <w:t>Northern Utilities:</w:t>
            </w:r>
          </w:p>
        </w:tc>
        <w:tc>
          <w:tcPr>
            <w:tcW w:w="2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100" w:type="dxa"/>
            <w:vAlign w:val="bottom"/>
            <w:shd w:val="clear" w:color="auto" w:fill="E6E7E8"/>
          </w:tcPr>
          <w:p>
            <w:pPr>
              <w:spacing w:after="0"/>
              <w:rPr>
                <w:sz w:val="20"/>
                <w:szCs w:val="20"/>
                <w:color w:val="auto"/>
              </w:rPr>
            </w:pPr>
          </w:p>
        </w:tc>
        <w:tc>
          <w:tcPr>
            <w:tcW w:w="260" w:type="dxa"/>
            <w:vAlign w:val="bottom"/>
            <w:shd w:val="clear" w:color="auto" w:fill="E6E7E8"/>
          </w:tcPr>
          <w:p>
            <w:pPr>
              <w:spacing w:after="0"/>
              <w:rPr>
                <w:sz w:val="20"/>
                <w:szCs w:val="20"/>
                <w:color w:val="auto"/>
              </w:rPr>
            </w:pPr>
          </w:p>
        </w:tc>
        <w:tc>
          <w:tcPr>
            <w:tcW w:w="420" w:type="dxa"/>
            <w:vAlign w:val="bottom"/>
            <w:shd w:val="clear" w:color="auto" w:fill="E6E7E8"/>
          </w:tcPr>
          <w:p>
            <w:pPr>
              <w:spacing w:after="0"/>
              <w:rPr>
                <w:sz w:val="20"/>
                <w:szCs w:val="20"/>
                <w:color w:val="auto"/>
              </w:rPr>
            </w:pPr>
          </w:p>
        </w:tc>
        <w:tc>
          <w:tcPr>
            <w:tcW w:w="980" w:type="dxa"/>
            <w:vAlign w:val="bottom"/>
            <w:shd w:val="clear" w:color="auto" w:fill="E6E7E8"/>
          </w:tcPr>
          <w:p>
            <w:pPr>
              <w:spacing w:after="0"/>
              <w:rPr>
                <w:sz w:val="20"/>
                <w:szCs w:val="20"/>
                <w:color w:val="auto"/>
              </w:rPr>
            </w:pP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3.52%</w:t>
            </w: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231F20"/>
              </w:rPr>
              <w:t>Senior Notes, Due November 1, 2027</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20.0</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72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5.54%</w:t>
            </w:r>
          </w:p>
        </w:tc>
        <w:tc>
          <w:tcPr>
            <w:tcW w:w="5880" w:type="dxa"/>
            <w:vAlign w:val="bottom"/>
            <w:gridSpan w:val="2"/>
            <w:shd w:val="clear" w:color="auto" w:fill="E6E7E8"/>
          </w:tcPr>
          <w:p>
            <w:pPr>
              <w:ind w:left="20"/>
              <w:spacing w:after="0"/>
              <w:rPr>
                <w:sz w:val="20"/>
                <w:szCs w:val="20"/>
                <w:color w:val="auto"/>
              </w:rPr>
            </w:pPr>
            <w:r>
              <w:rPr>
                <w:rFonts w:ascii="Times New Roman" w:cs="Times New Roman" w:eastAsia="Times New Roman" w:hAnsi="Times New Roman"/>
                <w:sz w:val="19"/>
                <w:szCs w:val="19"/>
                <w:color w:val="231F20"/>
              </w:rPr>
              <w:t>Senior Notes, Due August 21, 2034</w:t>
            </w:r>
          </w:p>
        </w:tc>
        <w:tc>
          <w:tcPr>
            <w:tcW w:w="2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1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25.0</w:t>
            </w:r>
          </w:p>
        </w:tc>
        <w:tc>
          <w:tcPr>
            <w:tcW w:w="260" w:type="dxa"/>
            <w:vAlign w:val="bottom"/>
            <w:shd w:val="clear" w:color="auto" w:fill="E6E7E8"/>
          </w:tcPr>
          <w:p>
            <w:pPr>
              <w:spacing w:after="0"/>
              <w:rPr>
                <w:sz w:val="20"/>
                <w:szCs w:val="20"/>
                <w:color w:val="auto"/>
              </w:rPr>
            </w:pPr>
          </w:p>
        </w:tc>
        <w:tc>
          <w:tcPr>
            <w:tcW w:w="420" w:type="dxa"/>
            <w:vAlign w:val="bottom"/>
            <w:shd w:val="clear" w:color="auto" w:fill="E6E7E8"/>
          </w:tcPr>
          <w:p>
            <w:pPr>
              <w:spacing w:after="0"/>
              <w:rPr>
                <w:sz w:val="20"/>
                <w:szCs w:val="20"/>
                <w:color w:val="auto"/>
              </w:rPr>
            </w:pPr>
          </w:p>
        </w:tc>
        <w:tc>
          <w:tcPr>
            <w:tcW w:w="9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25.0</w:t>
            </w: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7.72%</w:t>
            </w: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231F20"/>
              </w:rPr>
              <w:t>Senior Notes, Due December 3, 2038</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50.0</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72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5.74%</w:t>
            </w:r>
          </w:p>
        </w:tc>
        <w:tc>
          <w:tcPr>
            <w:tcW w:w="5880" w:type="dxa"/>
            <w:vAlign w:val="bottom"/>
            <w:gridSpan w:val="2"/>
            <w:shd w:val="clear" w:color="auto" w:fill="E6E7E8"/>
          </w:tcPr>
          <w:p>
            <w:pPr>
              <w:ind w:left="20"/>
              <w:spacing w:after="0"/>
              <w:rPr>
                <w:sz w:val="20"/>
                <w:szCs w:val="20"/>
                <w:color w:val="auto"/>
              </w:rPr>
            </w:pPr>
            <w:r>
              <w:rPr>
                <w:rFonts w:ascii="Times New Roman" w:cs="Times New Roman" w:eastAsia="Times New Roman" w:hAnsi="Times New Roman"/>
                <w:sz w:val="19"/>
                <w:szCs w:val="19"/>
                <w:color w:val="231F20"/>
              </w:rPr>
              <w:t>Senior Notes, Due August 21, 2039</w:t>
            </w:r>
          </w:p>
        </w:tc>
        <w:tc>
          <w:tcPr>
            <w:tcW w:w="2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1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15.0</w:t>
            </w:r>
          </w:p>
        </w:tc>
        <w:tc>
          <w:tcPr>
            <w:tcW w:w="260" w:type="dxa"/>
            <w:vAlign w:val="bottom"/>
            <w:shd w:val="clear" w:color="auto" w:fill="E6E7E8"/>
          </w:tcPr>
          <w:p>
            <w:pPr>
              <w:spacing w:after="0"/>
              <w:rPr>
                <w:sz w:val="20"/>
                <w:szCs w:val="20"/>
                <w:color w:val="auto"/>
              </w:rPr>
            </w:pPr>
          </w:p>
        </w:tc>
        <w:tc>
          <w:tcPr>
            <w:tcW w:w="420" w:type="dxa"/>
            <w:vAlign w:val="bottom"/>
            <w:shd w:val="clear" w:color="auto" w:fill="E6E7E8"/>
          </w:tcPr>
          <w:p>
            <w:pPr>
              <w:spacing w:after="0"/>
              <w:rPr>
                <w:sz w:val="20"/>
                <w:szCs w:val="20"/>
                <w:color w:val="auto"/>
              </w:rPr>
            </w:pPr>
          </w:p>
        </w:tc>
        <w:tc>
          <w:tcPr>
            <w:tcW w:w="9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15.0</w:t>
            </w: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3.78%</w:t>
            </w: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231F20"/>
              </w:rPr>
              <w:t>Senior Notes, Due September 15, 2040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40.0</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72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4.42%</w:t>
            </w:r>
          </w:p>
        </w:tc>
        <w:tc>
          <w:tcPr>
            <w:tcW w:w="5880" w:type="dxa"/>
            <w:vAlign w:val="bottom"/>
            <w:gridSpan w:val="2"/>
            <w:shd w:val="clear" w:color="auto" w:fill="E6E7E8"/>
          </w:tcPr>
          <w:p>
            <w:pPr>
              <w:ind w:left="20"/>
              <w:spacing w:after="0"/>
              <w:rPr>
                <w:sz w:val="20"/>
                <w:szCs w:val="20"/>
                <w:color w:val="auto"/>
              </w:rPr>
            </w:pPr>
            <w:r>
              <w:rPr>
                <w:rFonts w:ascii="Times New Roman" w:cs="Times New Roman" w:eastAsia="Times New Roman" w:hAnsi="Times New Roman"/>
                <w:sz w:val="19"/>
                <w:szCs w:val="19"/>
                <w:color w:val="231F20"/>
              </w:rPr>
              <w:t>Senior Notes, Due October 15, 2044</w:t>
            </w:r>
          </w:p>
        </w:tc>
        <w:tc>
          <w:tcPr>
            <w:tcW w:w="2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1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50.0</w:t>
            </w:r>
          </w:p>
        </w:tc>
        <w:tc>
          <w:tcPr>
            <w:tcW w:w="260" w:type="dxa"/>
            <w:vAlign w:val="bottom"/>
            <w:shd w:val="clear" w:color="auto" w:fill="E6E7E8"/>
          </w:tcPr>
          <w:p>
            <w:pPr>
              <w:spacing w:after="0"/>
              <w:rPr>
                <w:sz w:val="20"/>
                <w:szCs w:val="20"/>
                <w:color w:val="auto"/>
              </w:rPr>
            </w:pPr>
          </w:p>
        </w:tc>
        <w:tc>
          <w:tcPr>
            <w:tcW w:w="420" w:type="dxa"/>
            <w:vAlign w:val="bottom"/>
            <w:shd w:val="clear" w:color="auto" w:fill="E6E7E8"/>
          </w:tcPr>
          <w:p>
            <w:pPr>
              <w:spacing w:after="0"/>
              <w:rPr>
                <w:sz w:val="20"/>
                <w:szCs w:val="20"/>
                <w:color w:val="auto"/>
              </w:rPr>
            </w:pPr>
          </w:p>
        </w:tc>
        <w:tc>
          <w:tcPr>
            <w:tcW w:w="9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50.0</w:t>
            </w: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4.32%</w:t>
            </w: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231F20"/>
              </w:rPr>
              <w:t>Senior Notes, Due November 1, 2047</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30.0</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72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4.04%</w:t>
            </w:r>
          </w:p>
        </w:tc>
        <w:tc>
          <w:tcPr>
            <w:tcW w:w="5880" w:type="dxa"/>
            <w:vAlign w:val="bottom"/>
            <w:gridSpan w:val="2"/>
            <w:shd w:val="clear" w:color="auto" w:fill="E6E7E8"/>
          </w:tcPr>
          <w:p>
            <w:pPr>
              <w:ind w:left="20"/>
              <w:spacing w:after="0"/>
              <w:rPr>
                <w:sz w:val="20"/>
                <w:szCs w:val="20"/>
                <w:color w:val="auto"/>
              </w:rPr>
            </w:pPr>
            <w:r>
              <w:rPr>
                <w:rFonts w:ascii="Times New Roman" w:cs="Times New Roman" w:eastAsia="Times New Roman" w:hAnsi="Times New Roman"/>
                <w:sz w:val="19"/>
                <w:szCs w:val="19"/>
                <w:color w:val="231F20"/>
              </w:rPr>
              <w:t>Senior Notes, Due September 12, 2049</w:t>
            </w:r>
          </w:p>
        </w:tc>
        <w:tc>
          <w:tcPr>
            <w:tcW w:w="2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1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40.0</w:t>
            </w:r>
          </w:p>
        </w:tc>
        <w:tc>
          <w:tcPr>
            <w:tcW w:w="260" w:type="dxa"/>
            <w:vAlign w:val="bottom"/>
            <w:shd w:val="clear" w:color="auto" w:fill="E6E7E8"/>
          </w:tcPr>
          <w:p>
            <w:pPr>
              <w:spacing w:after="0"/>
              <w:rPr>
                <w:sz w:val="20"/>
                <w:szCs w:val="20"/>
                <w:color w:val="auto"/>
              </w:rPr>
            </w:pPr>
          </w:p>
        </w:tc>
        <w:tc>
          <w:tcPr>
            <w:tcW w:w="420" w:type="dxa"/>
            <w:vAlign w:val="bottom"/>
            <w:shd w:val="clear" w:color="auto" w:fill="E6E7E8"/>
          </w:tcPr>
          <w:p>
            <w:pPr>
              <w:spacing w:after="0"/>
              <w:rPr>
                <w:sz w:val="20"/>
                <w:szCs w:val="20"/>
                <w:color w:val="auto"/>
              </w:rPr>
            </w:pPr>
          </w:p>
        </w:tc>
        <w:tc>
          <w:tcPr>
            <w:tcW w:w="9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40.0</w:t>
            </w: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Bangor:</w:t>
            </w:r>
          </w:p>
        </w:tc>
        <w:tc>
          <w:tcPr>
            <w:tcW w:w="11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72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5.70%</w:t>
            </w:r>
          </w:p>
        </w:tc>
        <w:tc>
          <w:tcPr>
            <w:tcW w:w="5880" w:type="dxa"/>
            <w:vAlign w:val="bottom"/>
            <w:gridSpan w:val="2"/>
            <w:shd w:val="clear" w:color="auto" w:fill="E6E7E8"/>
          </w:tcPr>
          <w:p>
            <w:pPr>
              <w:ind w:left="20"/>
              <w:spacing w:after="0"/>
              <w:rPr>
                <w:sz w:val="20"/>
                <w:szCs w:val="20"/>
                <w:color w:val="auto"/>
              </w:rPr>
            </w:pPr>
            <w:r>
              <w:rPr>
                <w:rFonts w:ascii="Times New Roman" w:cs="Times New Roman" w:eastAsia="Times New Roman" w:hAnsi="Times New Roman"/>
                <w:sz w:val="19"/>
                <w:szCs w:val="19"/>
                <w:color w:val="231F20"/>
              </w:rPr>
              <w:t>Senior Notes, Due July 8, 2030</w:t>
            </w:r>
          </w:p>
        </w:tc>
        <w:tc>
          <w:tcPr>
            <w:tcW w:w="2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1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14.0</w:t>
            </w:r>
          </w:p>
        </w:tc>
        <w:tc>
          <w:tcPr>
            <w:tcW w:w="260" w:type="dxa"/>
            <w:vAlign w:val="bottom"/>
            <w:shd w:val="clear" w:color="auto" w:fill="E6E7E8"/>
          </w:tcPr>
          <w:p>
            <w:pPr>
              <w:spacing w:after="0"/>
              <w:rPr>
                <w:sz w:val="20"/>
                <w:szCs w:val="20"/>
                <w:color w:val="auto"/>
              </w:rPr>
            </w:pPr>
          </w:p>
        </w:tc>
        <w:tc>
          <w:tcPr>
            <w:tcW w:w="420" w:type="dxa"/>
            <w:vAlign w:val="bottom"/>
            <w:shd w:val="clear" w:color="auto" w:fill="E6E7E8"/>
          </w:tcPr>
          <w:p>
            <w:pPr>
              <w:spacing w:after="0"/>
              <w:rPr>
                <w:sz w:val="20"/>
                <w:szCs w:val="20"/>
                <w:color w:val="auto"/>
              </w:rPr>
            </w:pPr>
          </w:p>
        </w:tc>
        <w:tc>
          <w:tcPr>
            <w:tcW w:w="9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6.31%</w:t>
            </w: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231F20"/>
              </w:rPr>
              <w:t>Senior Notes, Due July 8, 2035</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18.0</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6600" w:type="dxa"/>
            <w:vAlign w:val="bottom"/>
            <w:gridSpan w:val="4"/>
            <w:shd w:val="clear" w:color="auto" w:fill="E6E7E8"/>
          </w:tcPr>
          <w:p>
            <w:pPr>
              <w:spacing w:after="0"/>
              <w:rPr>
                <w:sz w:val="20"/>
                <w:szCs w:val="20"/>
                <w:color w:val="auto"/>
              </w:rPr>
            </w:pPr>
            <w:r>
              <w:rPr>
                <w:rFonts w:ascii="Times New Roman" w:cs="Times New Roman" w:eastAsia="Times New Roman" w:hAnsi="Times New Roman"/>
                <w:sz w:val="19"/>
                <w:szCs w:val="19"/>
                <w:color w:val="231F20"/>
              </w:rPr>
              <w:t>Granite State:</w:t>
            </w:r>
          </w:p>
        </w:tc>
        <w:tc>
          <w:tcPr>
            <w:tcW w:w="2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100" w:type="dxa"/>
            <w:vAlign w:val="bottom"/>
            <w:shd w:val="clear" w:color="auto" w:fill="E6E7E8"/>
          </w:tcPr>
          <w:p>
            <w:pPr>
              <w:spacing w:after="0"/>
              <w:rPr>
                <w:sz w:val="20"/>
                <w:szCs w:val="20"/>
                <w:color w:val="auto"/>
              </w:rPr>
            </w:pPr>
          </w:p>
        </w:tc>
        <w:tc>
          <w:tcPr>
            <w:tcW w:w="260" w:type="dxa"/>
            <w:vAlign w:val="bottom"/>
            <w:shd w:val="clear" w:color="auto" w:fill="E6E7E8"/>
          </w:tcPr>
          <w:p>
            <w:pPr>
              <w:spacing w:after="0"/>
              <w:rPr>
                <w:sz w:val="20"/>
                <w:szCs w:val="20"/>
                <w:color w:val="auto"/>
              </w:rPr>
            </w:pPr>
          </w:p>
        </w:tc>
        <w:tc>
          <w:tcPr>
            <w:tcW w:w="420" w:type="dxa"/>
            <w:vAlign w:val="bottom"/>
            <w:shd w:val="clear" w:color="auto" w:fill="E6E7E8"/>
          </w:tcPr>
          <w:p>
            <w:pPr>
              <w:spacing w:after="0"/>
              <w:rPr>
                <w:sz w:val="20"/>
                <w:szCs w:val="20"/>
                <w:color w:val="auto"/>
              </w:rPr>
            </w:pPr>
          </w:p>
        </w:tc>
        <w:tc>
          <w:tcPr>
            <w:tcW w:w="980" w:type="dxa"/>
            <w:vAlign w:val="bottom"/>
            <w:shd w:val="clear" w:color="auto" w:fill="E6E7E8"/>
          </w:tcPr>
          <w:p>
            <w:pPr>
              <w:spacing w:after="0"/>
              <w:rPr>
                <w:sz w:val="20"/>
                <w:szCs w:val="20"/>
                <w:color w:val="auto"/>
              </w:rPr>
            </w:pP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3.72%</w:t>
            </w: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231F20"/>
              </w:rPr>
              <w:t>Senior Notes, Due November 1, 2027</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15.0</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72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5.74%</w:t>
            </w:r>
          </w:p>
        </w:tc>
        <w:tc>
          <w:tcPr>
            <w:tcW w:w="5880" w:type="dxa"/>
            <w:vAlign w:val="bottom"/>
            <w:gridSpan w:val="2"/>
            <w:shd w:val="clear" w:color="auto" w:fill="E6E7E8"/>
          </w:tcPr>
          <w:p>
            <w:pPr>
              <w:ind w:left="20"/>
              <w:spacing w:after="0"/>
              <w:rPr>
                <w:sz w:val="20"/>
                <w:szCs w:val="20"/>
                <w:color w:val="auto"/>
              </w:rPr>
            </w:pPr>
            <w:r>
              <w:rPr>
                <w:rFonts w:ascii="Times New Roman" w:cs="Times New Roman" w:eastAsia="Times New Roman" w:hAnsi="Times New Roman"/>
                <w:sz w:val="19"/>
                <w:szCs w:val="19"/>
                <w:color w:val="231F20"/>
              </w:rPr>
              <w:t>Senior Notes, Due August 21, 2034</w:t>
            </w:r>
          </w:p>
        </w:tc>
        <w:tc>
          <w:tcPr>
            <w:tcW w:w="2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1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10.0</w:t>
            </w:r>
          </w:p>
        </w:tc>
        <w:tc>
          <w:tcPr>
            <w:tcW w:w="260" w:type="dxa"/>
            <w:vAlign w:val="bottom"/>
            <w:shd w:val="clear" w:color="auto" w:fill="E6E7E8"/>
          </w:tcPr>
          <w:p>
            <w:pPr>
              <w:spacing w:after="0"/>
              <w:rPr>
                <w:sz w:val="20"/>
                <w:szCs w:val="20"/>
                <w:color w:val="auto"/>
              </w:rPr>
            </w:pPr>
          </w:p>
        </w:tc>
        <w:tc>
          <w:tcPr>
            <w:tcW w:w="420" w:type="dxa"/>
            <w:vAlign w:val="bottom"/>
            <w:shd w:val="clear" w:color="auto" w:fill="E6E7E8"/>
          </w:tcPr>
          <w:p>
            <w:pPr>
              <w:spacing w:after="0"/>
              <w:rPr>
                <w:sz w:val="20"/>
                <w:szCs w:val="20"/>
                <w:color w:val="auto"/>
              </w:rPr>
            </w:pPr>
          </w:p>
        </w:tc>
        <w:tc>
          <w:tcPr>
            <w:tcW w:w="9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10.0</w:t>
            </w: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6600" w:type="dxa"/>
            <w:vAlign w:val="bottom"/>
            <w:gridSpan w:val="4"/>
          </w:tcPr>
          <w:p>
            <w:pPr>
              <w:spacing w:after="0"/>
              <w:rPr>
                <w:sz w:val="20"/>
                <w:szCs w:val="20"/>
                <w:color w:val="auto"/>
              </w:rPr>
            </w:pPr>
            <w:r>
              <w:rPr>
                <w:rFonts w:ascii="Times New Roman" w:cs="Times New Roman" w:eastAsia="Times New Roman" w:hAnsi="Times New Roman"/>
                <w:sz w:val="19"/>
                <w:szCs w:val="19"/>
                <w:color w:val="231F20"/>
              </w:rPr>
              <w:t>Unitil Realty Corp.:</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72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2.64%</w:t>
            </w:r>
          </w:p>
        </w:tc>
        <w:tc>
          <w:tcPr>
            <w:tcW w:w="5880" w:type="dxa"/>
            <w:vAlign w:val="bottom"/>
            <w:gridSpan w:val="2"/>
            <w:shd w:val="clear" w:color="auto" w:fill="E6E7E8"/>
          </w:tcPr>
          <w:p>
            <w:pPr>
              <w:ind w:left="20"/>
              <w:spacing w:after="0"/>
              <w:rPr>
                <w:sz w:val="20"/>
                <w:szCs w:val="20"/>
                <w:color w:val="auto"/>
              </w:rPr>
            </w:pPr>
            <w:r>
              <w:rPr>
                <w:rFonts w:ascii="Times New Roman" w:cs="Times New Roman" w:eastAsia="Times New Roman" w:hAnsi="Times New Roman"/>
                <w:sz w:val="19"/>
                <w:szCs w:val="19"/>
                <w:color w:val="231F20"/>
              </w:rPr>
              <w:t>Senior Secured Notes, Due December 18, 2030</w:t>
            </w:r>
          </w:p>
        </w:tc>
        <w:tc>
          <w:tcPr>
            <w:tcW w:w="20" w:type="dxa"/>
            <w:vAlign w:val="bottom"/>
            <w:shd w:val="clear" w:color="auto" w:fill="E6E7E8"/>
          </w:tcPr>
          <w:p>
            <w:pPr>
              <w:spacing w:after="0"/>
              <w:rPr>
                <w:sz w:val="20"/>
                <w:szCs w:val="20"/>
                <w:color w:val="auto"/>
              </w:rPr>
            </w:pPr>
          </w:p>
        </w:tc>
        <w:tc>
          <w:tcPr>
            <w:tcW w:w="280" w:type="dxa"/>
            <w:vAlign w:val="bottom"/>
            <w:tcBorders>
              <w:bottom w:val="single" w:sz="8" w:color="231F20"/>
            </w:tcBorders>
            <w:shd w:val="clear" w:color="auto" w:fill="E6E7E8"/>
          </w:tcPr>
          <w:p>
            <w:pPr>
              <w:spacing w:after="0"/>
              <w:rPr>
                <w:sz w:val="20"/>
                <w:szCs w:val="20"/>
                <w:color w:val="auto"/>
              </w:rPr>
            </w:pPr>
          </w:p>
        </w:tc>
        <w:tc>
          <w:tcPr>
            <w:tcW w:w="110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3.5</w:t>
            </w:r>
          </w:p>
        </w:tc>
        <w:tc>
          <w:tcPr>
            <w:tcW w:w="260" w:type="dxa"/>
            <w:vAlign w:val="bottom"/>
            <w:shd w:val="clear" w:color="auto" w:fill="E6E7E8"/>
          </w:tcPr>
          <w:p>
            <w:pPr>
              <w:spacing w:after="0"/>
              <w:rPr>
                <w:sz w:val="20"/>
                <w:szCs w:val="20"/>
                <w:color w:val="auto"/>
              </w:rPr>
            </w:pPr>
          </w:p>
        </w:tc>
        <w:tc>
          <w:tcPr>
            <w:tcW w:w="420" w:type="dxa"/>
            <w:vAlign w:val="bottom"/>
            <w:tcBorders>
              <w:bottom w:val="single" w:sz="8" w:color="231F20"/>
            </w:tcBorders>
            <w:shd w:val="clear" w:color="auto" w:fill="E6E7E8"/>
          </w:tcPr>
          <w:p>
            <w:pPr>
              <w:spacing w:after="0"/>
              <w:rPr>
                <w:sz w:val="20"/>
                <w:szCs w:val="20"/>
                <w:color w:val="auto"/>
              </w:rPr>
            </w:pPr>
          </w:p>
        </w:tc>
        <w:tc>
          <w:tcPr>
            <w:tcW w:w="98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3.8</w:t>
            </w: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6600" w:type="dxa"/>
            <w:vAlign w:val="bottom"/>
            <w:gridSpan w:val="4"/>
          </w:tcPr>
          <w:p>
            <w:pPr>
              <w:ind w:left="200"/>
              <w:spacing w:after="0"/>
              <w:rPr>
                <w:sz w:val="20"/>
                <w:szCs w:val="20"/>
                <w:color w:val="auto"/>
              </w:rPr>
            </w:pPr>
            <w:r>
              <w:rPr>
                <w:rFonts w:ascii="Times New Roman" w:cs="Times New Roman" w:eastAsia="Times New Roman" w:hAnsi="Times New Roman"/>
                <w:sz w:val="19"/>
                <w:szCs w:val="19"/>
                <w:color w:val="231F20"/>
              </w:rPr>
              <w:t>Total Long-Term Debt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674.3</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647.3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6600" w:type="dxa"/>
            <w:vAlign w:val="bottom"/>
            <w:gridSpan w:val="4"/>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Less: Unamortized Debt Issuance Costs</w:t>
            </w:r>
          </w:p>
        </w:tc>
        <w:tc>
          <w:tcPr>
            <w:tcW w:w="20" w:type="dxa"/>
            <w:vAlign w:val="bottom"/>
            <w:shd w:val="clear" w:color="auto" w:fill="E6E7E8"/>
          </w:tcPr>
          <w:p>
            <w:pPr>
              <w:spacing w:after="0"/>
              <w:rPr>
                <w:sz w:val="20"/>
                <w:szCs w:val="20"/>
                <w:color w:val="auto"/>
              </w:rPr>
            </w:pPr>
          </w:p>
        </w:tc>
        <w:tc>
          <w:tcPr>
            <w:tcW w:w="280" w:type="dxa"/>
            <w:vAlign w:val="bottom"/>
            <w:tcBorders>
              <w:bottom w:val="single" w:sz="8" w:color="231F20"/>
            </w:tcBorders>
            <w:shd w:val="clear" w:color="auto" w:fill="E6E7E8"/>
          </w:tcPr>
          <w:p>
            <w:pPr>
              <w:spacing w:after="0"/>
              <w:rPr>
                <w:sz w:val="20"/>
                <w:szCs w:val="20"/>
                <w:color w:val="auto"/>
              </w:rPr>
            </w:pPr>
          </w:p>
        </w:tc>
        <w:tc>
          <w:tcPr>
            <w:tcW w:w="110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3.8</w:t>
            </w:r>
          </w:p>
        </w:tc>
        <w:tc>
          <w:tcPr>
            <w:tcW w:w="260" w:type="dxa"/>
            <w:vAlign w:val="bottom"/>
            <w:shd w:val="clear" w:color="auto" w:fill="E6E7E8"/>
          </w:tcPr>
          <w:p>
            <w:pPr>
              <w:spacing w:after="0"/>
              <w:rPr>
                <w:sz w:val="20"/>
                <w:szCs w:val="20"/>
                <w:color w:val="auto"/>
              </w:rPr>
            </w:pPr>
          </w:p>
        </w:tc>
        <w:tc>
          <w:tcPr>
            <w:tcW w:w="420" w:type="dxa"/>
            <w:vAlign w:val="bottom"/>
            <w:tcBorders>
              <w:bottom w:val="single" w:sz="8" w:color="231F20"/>
            </w:tcBorders>
            <w:shd w:val="clear" w:color="auto" w:fill="E6E7E8"/>
          </w:tcPr>
          <w:p>
            <w:pPr>
              <w:spacing w:after="0"/>
              <w:rPr>
                <w:sz w:val="20"/>
                <w:szCs w:val="20"/>
                <w:color w:val="auto"/>
              </w:rPr>
            </w:pPr>
          </w:p>
        </w:tc>
        <w:tc>
          <w:tcPr>
            <w:tcW w:w="98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4.0</w:t>
            </w: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6600" w:type="dxa"/>
            <w:vAlign w:val="bottom"/>
            <w:gridSpan w:val="4"/>
          </w:tcPr>
          <w:p>
            <w:pPr>
              <w:ind w:left="200"/>
              <w:spacing w:after="0"/>
              <w:rPr>
                <w:sz w:val="20"/>
                <w:szCs w:val="20"/>
                <w:color w:val="auto"/>
              </w:rPr>
            </w:pPr>
            <w:r>
              <w:rPr>
                <w:rFonts w:ascii="Times New Roman" w:cs="Times New Roman" w:eastAsia="Times New Roman" w:hAnsi="Times New Roman"/>
                <w:sz w:val="19"/>
                <w:szCs w:val="19"/>
                <w:color w:val="231F20"/>
              </w:rPr>
              <w:t>Total Long-Term Debt, net of Unamortized Debt Issuance Costs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670.5</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643.3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6600" w:type="dxa"/>
            <w:vAlign w:val="bottom"/>
            <w:gridSpan w:val="4"/>
            <w:shd w:val="clear" w:color="auto" w:fill="E6E7E8"/>
          </w:tcPr>
          <w:p>
            <w:pPr>
              <w:ind w:left="200"/>
              <w:spacing w:after="0" w:line="233" w:lineRule="exact"/>
              <w:rPr>
                <w:sz w:val="20"/>
                <w:szCs w:val="20"/>
                <w:color w:val="auto"/>
              </w:rPr>
            </w:pPr>
            <w:r>
              <w:rPr>
                <w:rFonts w:ascii="Times New Roman" w:cs="Times New Roman" w:eastAsia="Times New Roman" w:hAnsi="Times New Roman"/>
                <w:sz w:val="19"/>
                <w:szCs w:val="19"/>
                <w:color w:val="231F20"/>
              </w:rPr>
              <w:t>Less: Current Portion</w:t>
            </w:r>
            <w:r>
              <w:rPr>
                <w:rFonts w:ascii="Times New Roman" w:cs="Times New Roman" w:eastAsia="Times New Roman" w:hAnsi="Times New Roman"/>
                <w:sz w:val="24"/>
                <w:szCs w:val="24"/>
                <w:color w:val="231F20"/>
                <w:vertAlign w:val="superscript"/>
              </w:rPr>
              <w:t>(1)</w:t>
            </w:r>
          </w:p>
        </w:tc>
        <w:tc>
          <w:tcPr>
            <w:tcW w:w="20" w:type="dxa"/>
            <w:vAlign w:val="bottom"/>
            <w:shd w:val="clear" w:color="auto" w:fill="E6E7E8"/>
          </w:tcPr>
          <w:p>
            <w:pPr>
              <w:spacing w:after="0"/>
              <w:rPr>
                <w:sz w:val="20"/>
                <w:szCs w:val="20"/>
                <w:color w:val="auto"/>
              </w:rPr>
            </w:pPr>
          </w:p>
        </w:tc>
        <w:tc>
          <w:tcPr>
            <w:tcW w:w="280" w:type="dxa"/>
            <w:vAlign w:val="bottom"/>
            <w:tcBorders>
              <w:bottom w:val="single" w:sz="8" w:color="231F20"/>
            </w:tcBorders>
            <w:shd w:val="clear" w:color="auto" w:fill="E6E7E8"/>
          </w:tcPr>
          <w:p>
            <w:pPr>
              <w:spacing w:after="0"/>
              <w:rPr>
                <w:sz w:val="20"/>
                <w:szCs w:val="20"/>
                <w:color w:val="auto"/>
              </w:rPr>
            </w:pPr>
          </w:p>
        </w:tc>
        <w:tc>
          <w:tcPr>
            <w:tcW w:w="110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37.9</w:t>
            </w:r>
          </w:p>
        </w:tc>
        <w:tc>
          <w:tcPr>
            <w:tcW w:w="260" w:type="dxa"/>
            <w:vAlign w:val="bottom"/>
            <w:shd w:val="clear" w:color="auto" w:fill="E6E7E8"/>
          </w:tcPr>
          <w:p>
            <w:pPr>
              <w:spacing w:after="0"/>
              <w:rPr>
                <w:sz w:val="20"/>
                <w:szCs w:val="20"/>
                <w:color w:val="auto"/>
              </w:rPr>
            </w:pPr>
          </w:p>
        </w:tc>
        <w:tc>
          <w:tcPr>
            <w:tcW w:w="420" w:type="dxa"/>
            <w:vAlign w:val="bottom"/>
            <w:tcBorders>
              <w:bottom w:val="single" w:sz="8" w:color="231F20"/>
            </w:tcBorders>
            <w:shd w:val="clear" w:color="auto" w:fill="E6E7E8"/>
          </w:tcPr>
          <w:p>
            <w:pPr>
              <w:spacing w:after="0"/>
              <w:rPr>
                <w:sz w:val="20"/>
                <w:szCs w:val="20"/>
                <w:color w:val="auto"/>
              </w:rPr>
            </w:pPr>
          </w:p>
        </w:tc>
        <w:tc>
          <w:tcPr>
            <w:tcW w:w="98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4.9</w:t>
            </w: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6600" w:type="dxa"/>
            <w:vAlign w:val="bottom"/>
            <w:gridSpan w:val="4"/>
          </w:tcPr>
          <w:p>
            <w:pPr>
              <w:ind w:left="400"/>
              <w:spacing w:after="0"/>
              <w:rPr>
                <w:sz w:val="20"/>
                <w:szCs w:val="20"/>
                <w:color w:val="auto"/>
              </w:rPr>
            </w:pPr>
            <w:r>
              <w:rPr>
                <w:rFonts w:ascii="Times New Roman" w:cs="Times New Roman" w:eastAsia="Times New Roman" w:hAnsi="Times New Roman"/>
                <w:sz w:val="19"/>
                <w:szCs w:val="19"/>
                <w:color w:val="231F20"/>
              </w:rPr>
              <w:t>Total Long-Term Debt, Less Current Portion</w:t>
            </w:r>
          </w:p>
        </w:tc>
        <w:tc>
          <w:tcPr>
            <w:tcW w:w="20" w:type="dxa"/>
            <w:vAlign w:val="bottom"/>
          </w:tcPr>
          <w:p>
            <w:pPr>
              <w:spacing w:after="0"/>
              <w:rPr>
                <w:sz w:val="19"/>
                <w:szCs w:val="19"/>
                <w:color w:val="auto"/>
              </w:rPr>
            </w:pPr>
          </w:p>
        </w:tc>
        <w:tc>
          <w:tcPr>
            <w:tcW w:w="280" w:type="dxa"/>
            <w:vAlign w:val="bottom"/>
            <w:tcBorders>
              <w:bottom w:val="single" w:sz="8" w:color="231F20"/>
            </w:tcBorders>
          </w:tcPr>
          <w:p>
            <w:pPr>
              <w:jc w:val="right"/>
              <w:ind w:right="167"/>
              <w:spacing w:after="0"/>
              <w:rPr>
                <w:sz w:val="20"/>
                <w:szCs w:val="20"/>
                <w:color w:val="auto"/>
              </w:rPr>
            </w:pPr>
            <w:r>
              <w:rPr>
                <w:rFonts w:ascii="Times New Roman" w:cs="Times New Roman" w:eastAsia="Times New Roman" w:hAnsi="Times New Roman"/>
                <w:sz w:val="11"/>
                <w:szCs w:val="11"/>
                <w:b w:val="1"/>
                <w:bCs w:val="1"/>
                <w:color w:val="231F20"/>
                <w:w w:val="71"/>
              </w:rPr>
              <w:t>$</w:t>
            </w: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632.6</w:t>
            </w:r>
          </w:p>
        </w:tc>
        <w:tc>
          <w:tcPr>
            <w:tcW w:w="260" w:type="dxa"/>
            <w:vAlign w:val="bottom"/>
          </w:tcPr>
          <w:p>
            <w:pPr>
              <w:spacing w:after="0"/>
              <w:rPr>
                <w:sz w:val="19"/>
                <w:szCs w:val="19"/>
                <w:color w:val="auto"/>
              </w:rPr>
            </w:pPr>
          </w:p>
        </w:tc>
        <w:tc>
          <w:tcPr>
            <w:tcW w:w="420" w:type="dxa"/>
            <w:vAlign w:val="bottom"/>
            <w:tcBorders>
              <w:bottom w:val="single" w:sz="8" w:color="231F20"/>
            </w:tcBorders>
          </w:tcPr>
          <w:p>
            <w:pPr>
              <w:jc w:val="right"/>
              <w:ind w:right="256"/>
              <w:spacing w:after="0"/>
              <w:rPr>
                <w:sz w:val="20"/>
                <w:szCs w:val="20"/>
                <w:color w:val="auto"/>
              </w:rPr>
            </w:pPr>
            <w:r>
              <w:rPr>
                <w:rFonts w:ascii="Times New Roman" w:cs="Times New Roman" w:eastAsia="Times New Roman" w:hAnsi="Times New Roman"/>
                <w:sz w:val="17"/>
                <w:szCs w:val="17"/>
                <w:color w:val="231F20"/>
                <w:w w:val="70"/>
              </w:rPr>
              <w:t>$</w:t>
            </w: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638.4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540" w:type="dxa"/>
            <w:vAlign w:val="bottom"/>
            <w:tcBorders>
              <w:bottom w:val="single" w:sz="8" w:color="231F20"/>
            </w:tcBorders>
          </w:tcPr>
          <w:p>
            <w:pPr>
              <w:spacing w:after="0"/>
              <w:rPr>
                <w:sz w:val="10"/>
                <w:szCs w:val="10"/>
                <w:color w:val="auto"/>
              </w:rPr>
            </w:pPr>
          </w:p>
        </w:tc>
        <w:tc>
          <w:tcPr>
            <w:tcW w:w="460" w:type="dxa"/>
            <w:vAlign w:val="bottom"/>
            <w:tcBorders>
              <w:bottom w:val="single" w:sz="8" w:color="231F20"/>
            </w:tcBorders>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480" w:hanging="480"/>
        <w:spacing w:after="0"/>
        <w:tabs>
          <w:tab w:leader="none" w:pos="480" w:val="left"/>
        </w:tabs>
        <w:numPr>
          <w:ilvl w:val="0"/>
          <w:numId w:val="22"/>
        </w:numPr>
        <w:rPr>
          <w:rFonts w:ascii="Times New Roman" w:cs="Times New Roman" w:eastAsia="Times New Roman" w:hAnsi="Times New Roman"/>
          <w:sz w:val="20"/>
          <w:szCs w:val="20"/>
          <w:color w:val="231F20"/>
          <w:vertAlign w:val="superscript"/>
        </w:rPr>
      </w:pPr>
      <w:r>
        <w:rPr>
          <w:rFonts w:ascii="Times New Roman" w:cs="Times New Roman" w:eastAsia="Times New Roman" w:hAnsi="Times New Roman"/>
          <w:sz w:val="16"/>
          <w:szCs w:val="16"/>
          <w:color w:val="231F20"/>
        </w:rPr>
        <w:t>The Current Portion of Long-Term Debt includes sinking fund payments.</w:t>
      </w:r>
    </w:p>
    <w:p>
      <w:pPr>
        <w:sectPr>
          <w:pgSz w:w="12240" w:h="15840" w:orient="portrait"/>
          <w:cols w:equalWidth="0" w:num="1">
            <w:col w:w="10400"/>
          </w:cols>
          <w:pgMar w:left="720" w:top="928" w:right="1120" w:bottom="188"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231F20"/>
        </w:rPr>
        <w:t>59</w:t>
      </w:r>
    </w:p>
    <w:p>
      <w:pPr>
        <w:sectPr>
          <w:pgSz w:w="12240" w:h="15840" w:orient="portrait"/>
          <w:cols w:equalWidth="0" w:num="1">
            <w:col w:w="10400"/>
          </w:cols>
          <w:pgMar w:left="720" w:top="928" w:right="1120" w:bottom="188" w:gutter="0" w:footer="0" w:header="0"/>
          <w:type w:val="continuous"/>
        </w:sectPr>
      </w:pPr>
    </w:p>
    <w:bookmarkStart w:id="79" w:name="page80"/>
    <w:bookmarkEnd w:id="79"/>
    <w:p>
      <w:pPr>
        <w:ind w:firstLine="612"/>
        <w:spacing w:after="0" w:line="254" w:lineRule="auto"/>
        <w:rPr>
          <w:sz w:val="20"/>
          <w:szCs w:val="20"/>
          <w:color w:val="auto"/>
        </w:rPr>
      </w:pPr>
      <w:r>
        <w:rPr>
          <w:rFonts w:ascii="Times New Roman" w:cs="Times New Roman" w:eastAsia="Times New Roman" w:hAnsi="Times New Roman"/>
          <w:sz w:val="21"/>
          <w:szCs w:val="21"/>
          <w:b w:val="1"/>
          <w:bCs w:val="1"/>
          <w:color w:val="231F20"/>
        </w:rPr>
        <w:t>Interest Expense, Net—</w:t>
      </w:r>
      <w:r>
        <w:rPr>
          <w:rFonts w:ascii="Times New Roman" w:cs="Times New Roman" w:eastAsia="Times New Roman" w:hAnsi="Times New Roman"/>
          <w:sz w:val="21"/>
          <w:szCs w:val="21"/>
          <w:color w:val="231F20"/>
        </w:rPr>
        <w:t>Interest expense is presented in the financial statements net of interest income. Interest expense</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is mainly comprised of interest on long-term debt and short-term borrowings. In addition, certain reconciling rate mechanisms used by the Company’s distribution operating utilities give rise to regulatory assets and regulatory liabilities on which interest is calculated.</w:t>
      </w:r>
    </w:p>
    <w:p>
      <w:pPr>
        <w:spacing w:after="0" w:line="188" w:lineRule="exact"/>
        <w:rPr>
          <w:sz w:val="20"/>
          <w:szCs w:val="20"/>
          <w:color w:val="auto"/>
        </w:rPr>
      </w:pPr>
    </w:p>
    <w:p>
      <w:pPr>
        <w:ind w:right="60" w:firstLine="612"/>
        <w:spacing w:after="0" w:line="249" w:lineRule="auto"/>
        <w:rPr>
          <w:sz w:val="20"/>
          <w:szCs w:val="20"/>
          <w:color w:val="auto"/>
        </w:rPr>
      </w:pPr>
      <w:r>
        <w:rPr>
          <w:rFonts w:ascii="Times New Roman" w:cs="Times New Roman" w:eastAsia="Times New Roman" w:hAnsi="Times New Roman"/>
          <w:sz w:val="21"/>
          <w:szCs w:val="21"/>
          <w:color w:val="231F20"/>
        </w:rPr>
        <w:t>Unitil’s utility subsidiaries operate a number of reconciling rate mechanisms to recover specifically identified costs on a pass-through basis. These reconciling rate mechanisms track costs and revenue on a monthly basis. In any given month, this monthly tracking and reconciling process will produce either an under-collected or an over-collected balance of costs. In accordance with the distribution utilities’ rate tariffs, interest is accrued on these balances and will produce either interest income or interest expense.</w:t>
      </w:r>
    </w:p>
    <w:p>
      <w:pPr>
        <w:spacing w:after="0" w:line="195" w:lineRule="exact"/>
        <w:rPr>
          <w:sz w:val="20"/>
          <w:szCs w:val="20"/>
          <w:color w:val="auto"/>
        </w:rPr>
      </w:pPr>
    </w:p>
    <w:p>
      <w:pPr>
        <w:ind w:right="180" w:firstLine="619"/>
        <w:spacing w:after="0" w:line="253" w:lineRule="auto"/>
        <w:rPr>
          <w:sz w:val="20"/>
          <w:szCs w:val="20"/>
          <w:color w:val="auto"/>
        </w:rPr>
      </w:pPr>
      <w:r>
        <w:rPr>
          <w:rFonts w:ascii="Times New Roman" w:cs="Times New Roman" w:eastAsia="Times New Roman" w:hAnsi="Times New Roman"/>
          <w:sz w:val="21"/>
          <w:szCs w:val="21"/>
          <w:color w:val="231F20"/>
        </w:rPr>
        <w:t>Consistent with regulatory precedent, interest income is recorded on an under-collection of costs, which creates a regulatory asset to be recovered in future periods when rates are reset. Interest expense is recorded on an over-collection of costs, which creates a regulatory liability to be refunded in future periods when rates are reset. A summary of interest expense and interest income is provided in the following table:</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214"/>
        </w:trPr>
        <w:tc>
          <w:tcPr>
            <w:tcW w:w="5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Interest Expense, Net (millions)</w:t>
            </w:r>
          </w:p>
        </w:tc>
        <w:tc>
          <w:tcPr>
            <w:tcW w:w="240" w:type="dxa"/>
            <w:vAlign w:val="bottom"/>
          </w:tcPr>
          <w:p>
            <w:pPr>
              <w:spacing w:after="0"/>
              <w:rPr>
                <w:sz w:val="18"/>
                <w:szCs w:val="18"/>
                <w:color w:val="auto"/>
              </w:rPr>
            </w:pPr>
          </w:p>
        </w:tc>
        <w:tc>
          <w:tcPr>
            <w:tcW w:w="920" w:type="dxa"/>
            <w:vAlign w:val="bottom"/>
          </w:tcPr>
          <w:p>
            <w:pPr>
              <w:jc w:val="right"/>
              <w:ind w:right="347"/>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47"/>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47"/>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60" w:type="dxa"/>
            <w:vAlign w:val="bottom"/>
            <w:tcBorders>
              <w:top w:val="single" w:sz="8" w:color="231F20"/>
            </w:tcBorders>
            <w:shd w:val="clear" w:color="auto" w:fill="E6E7E8"/>
          </w:tcPr>
          <w:p>
            <w:pPr>
              <w:spacing w:after="0" w:line="204" w:lineRule="exact"/>
              <w:rPr>
                <w:sz w:val="20"/>
                <w:szCs w:val="20"/>
                <w:color w:val="auto"/>
              </w:rPr>
            </w:pPr>
            <w:r>
              <w:rPr>
                <w:rFonts w:ascii="Times New Roman" w:cs="Times New Roman" w:eastAsia="Times New Roman" w:hAnsi="Times New Roman"/>
                <w:sz w:val="19"/>
                <w:szCs w:val="19"/>
                <w:color w:val="231F20"/>
              </w:rPr>
              <w:t>Interest Expense</w:t>
            </w:r>
          </w:p>
        </w:tc>
        <w:tc>
          <w:tcPr>
            <w:tcW w:w="3520" w:type="dxa"/>
            <w:vAlign w:val="bottom"/>
            <w:tcBorders>
              <w:top w:val="single" w:sz="8" w:color="E6E7E8"/>
              <w:right w:val="single" w:sz="8" w:color="E6E7E8"/>
            </w:tcBorders>
            <w:shd w:val="clear" w:color="auto" w:fill="E6E7E8"/>
          </w:tcPr>
          <w:p>
            <w:pPr>
              <w:spacing w:after="0"/>
              <w:rPr>
                <w:sz w:val="17"/>
                <w:szCs w:val="17"/>
                <w:color w:val="auto"/>
              </w:rPr>
            </w:pPr>
          </w:p>
        </w:tc>
        <w:tc>
          <w:tcPr>
            <w:tcW w:w="240" w:type="dxa"/>
            <w:vAlign w:val="bottom"/>
            <w:tcBorders>
              <w:top w:val="single" w:sz="8" w:color="231F20"/>
            </w:tcBorders>
            <w:shd w:val="clear" w:color="auto" w:fill="E6E7E8"/>
          </w:tcPr>
          <w:p>
            <w:pPr>
              <w:spacing w:after="0"/>
              <w:rPr>
                <w:sz w:val="17"/>
                <w:szCs w:val="17"/>
                <w:color w:val="auto"/>
              </w:rPr>
            </w:pPr>
          </w:p>
        </w:tc>
        <w:tc>
          <w:tcPr>
            <w:tcW w:w="920" w:type="dxa"/>
            <w:vAlign w:val="bottom"/>
            <w:tcBorders>
              <w:top w:val="single" w:sz="8" w:color="231F20"/>
            </w:tcBorders>
            <w:shd w:val="clear" w:color="auto" w:fill="E6E7E8"/>
          </w:tcPr>
          <w:p>
            <w:pPr>
              <w:spacing w:after="0"/>
              <w:rPr>
                <w:sz w:val="17"/>
                <w:szCs w:val="17"/>
                <w:color w:val="auto"/>
              </w:rPr>
            </w:pPr>
          </w:p>
        </w:tc>
        <w:tc>
          <w:tcPr>
            <w:tcW w:w="220" w:type="dxa"/>
            <w:vAlign w:val="bottom"/>
            <w:tcBorders>
              <w:top w:val="single" w:sz="8" w:color="E6E7E8"/>
            </w:tcBorders>
            <w:shd w:val="clear" w:color="auto" w:fill="E6E7E8"/>
          </w:tcPr>
          <w:p>
            <w:pPr>
              <w:spacing w:after="0"/>
              <w:rPr>
                <w:sz w:val="17"/>
                <w:szCs w:val="17"/>
                <w:color w:val="auto"/>
              </w:rPr>
            </w:pPr>
          </w:p>
        </w:tc>
        <w:tc>
          <w:tcPr>
            <w:tcW w:w="260" w:type="dxa"/>
            <w:vAlign w:val="bottom"/>
            <w:tcBorders>
              <w:top w:val="single" w:sz="8" w:color="231F20"/>
            </w:tcBorders>
            <w:shd w:val="clear" w:color="auto" w:fill="E6E7E8"/>
          </w:tcPr>
          <w:p>
            <w:pPr>
              <w:spacing w:after="0"/>
              <w:rPr>
                <w:sz w:val="17"/>
                <w:szCs w:val="17"/>
                <w:color w:val="auto"/>
              </w:rPr>
            </w:pPr>
          </w:p>
        </w:tc>
        <w:tc>
          <w:tcPr>
            <w:tcW w:w="920" w:type="dxa"/>
            <w:vAlign w:val="bottom"/>
            <w:tcBorders>
              <w:top w:val="single" w:sz="8" w:color="231F20"/>
            </w:tcBorders>
            <w:shd w:val="clear" w:color="auto" w:fill="E6E7E8"/>
          </w:tcPr>
          <w:p>
            <w:pPr>
              <w:spacing w:after="0"/>
              <w:rPr>
                <w:sz w:val="17"/>
                <w:szCs w:val="17"/>
                <w:color w:val="auto"/>
              </w:rPr>
            </w:pPr>
          </w:p>
        </w:tc>
        <w:tc>
          <w:tcPr>
            <w:tcW w:w="140" w:type="dxa"/>
            <w:vAlign w:val="bottom"/>
            <w:tcBorders>
              <w:top w:val="single" w:sz="8" w:color="E6E7E8"/>
            </w:tcBorders>
            <w:shd w:val="clear" w:color="auto" w:fill="E6E7E8"/>
          </w:tcPr>
          <w:p>
            <w:pPr>
              <w:spacing w:after="0"/>
              <w:rPr>
                <w:sz w:val="17"/>
                <w:szCs w:val="17"/>
                <w:color w:val="auto"/>
              </w:rPr>
            </w:pPr>
          </w:p>
        </w:tc>
        <w:tc>
          <w:tcPr>
            <w:tcW w:w="80" w:type="dxa"/>
            <w:vAlign w:val="bottom"/>
            <w:tcBorders>
              <w:top w:val="single" w:sz="8" w:color="E6E7E8"/>
            </w:tcBorders>
            <w:shd w:val="clear" w:color="auto" w:fill="E6E7E8"/>
          </w:tcPr>
          <w:p>
            <w:pPr>
              <w:spacing w:after="0"/>
              <w:rPr>
                <w:sz w:val="17"/>
                <w:szCs w:val="17"/>
                <w:color w:val="auto"/>
              </w:rPr>
            </w:pPr>
          </w:p>
        </w:tc>
        <w:tc>
          <w:tcPr>
            <w:tcW w:w="260" w:type="dxa"/>
            <w:vAlign w:val="bottom"/>
            <w:tcBorders>
              <w:top w:val="single" w:sz="8" w:color="231F20"/>
            </w:tcBorders>
            <w:shd w:val="clear" w:color="auto" w:fill="E6E7E8"/>
          </w:tcPr>
          <w:p>
            <w:pPr>
              <w:spacing w:after="0"/>
              <w:rPr>
                <w:sz w:val="17"/>
                <w:szCs w:val="17"/>
                <w:color w:val="auto"/>
              </w:rPr>
            </w:pPr>
          </w:p>
        </w:tc>
        <w:tc>
          <w:tcPr>
            <w:tcW w:w="920" w:type="dxa"/>
            <w:vAlign w:val="bottom"/>
            <w:tcBorders>
              <w:top w:val="single" w:sz="8" w:color="231F20"/>
            </w:tcBorders>
            <w:shd w:val="clear" w:color="auto" w:fill="E6E7E8"/>
          </w:tcPr>
          <w:p>
            <w:pPr>
              <w:spacing w:after="0"/>
              <w:rPr>
                <w:sz w:val="17"/>
                <w:szCs w:val="17"/>
                <w:color w:val="auto"/>
              </w:rPr>
            </w:pPr>
          </w:p>
        </w:tc>
        <w:tc>
          <w:tcPr>
            <w:tcW w:w="80" w:type="dxa"/>
            <w:vAlign w:val="bottom"/>
            <w:tcBorders>
              <w:top w:val="single" w:sz="8" w:color="E6E7E8"/>
            </w:tcBorders>
            <w:shd w:val="clear" w:color="auto" w:fill="E6E7E8"/>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68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Long-Term Debt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33.3</w:t>
            </w:r>
          </w:p>
        </w:tc>
        <w:tc>
          <w:tcPr>
            <w:tcW w:w="220" w:type="dxa"/>
            <w:vAlign w:val="bottom"/>
          </w:tcPr>
          <w:p>
            <w:pPr>
              <w:spacing w:after="0"/>
              <w:rPr>
                <w:sz w:val="19"/>
                <w:szCs w:val="19"/>
                <w:color w:val="auto"/>
              </w:rPr>
            </w:pPr>
          </w:p>
        </w:tc>
        <w:tc>
          <w:tcPr>
            <w:tcW w:w="26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231F20"/>
                <w:w w:val="8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231F20"/>
                <w:w w:val="8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80" w:type="dxa"/>
            <w:vAlign w:val="bottom"/>
            <w:tcBorders>
              <w:right w:val="single" w:sz="8" w:color="E6E7E8"/>
            </w:tcBorders>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Short-Term Debt</w:t>
            </w:r>
          </w:p>
        </w:tc>
        <w:tc>
          <w:tcPr>
            <w:tcW w:w="240" w:type="dxa"/>
            <w:vAlign w:val="bottom"/>
            <w:shd w:val="clear" w:color="auto" w:fill="E6E7E8"/>
          </w:tcPr>
          <w:p>
            <w:pPr>
              <w:spacing w:after="0"/>
              <w:rPr>
                <w:sz w:val="19"/>
                <w:szCs w:val="19"/>
                <w:color w:val="auto"/>
              </w:rPr>
            </w:pPr>
          </w:p>
        </w:tc>
        <w:tc>
          <w:tcPr>
            <w:tcW w:w="9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8.5</w:t>
            </w:r>
          </w:p>
        </w:tc>
        <w:tc>
          <w:tcPr>
            <w:tcW w:w="220" w:type="dxa"/>
            <w:vAlign w:val="bottom"/>
            <w:shd w:val="clear" w:color="auto" w:fill="E6E7E8"/>
          </w:tcPr>
          <w:p>
            <w:pPr>
              <w:spacing w:after="0"/>
              <w:rPr>
                <w:sz w:val="19"/>
                <w:szCs w:val="19"/>
                <w:color w:val="auto"/>
              </w:rPr>
            </w:pPr>
          </w:p>
        </w:tc>
        <w:tc>
          <w:tcPr>
            <w:tcW w:w="260" w:type="dxa"/>
            <w:vAlign w:val="bottom"/>
            <w:shd w:val="clear" w:color="auto" w:fill="E6E7E8"/>
          </w:tcPr>
          <w:p>
            <w:pPr>
              <w:spacing w:after="0"/>
              <w:rPr>
                <w:sz w:val="19"/>
                <w:szCs w:val="19"/>
                <w:color w:val="auto"/>
              </w:rPr>
            </w:pPr>
          </w:p>
        </w:tc>
        <w:tc>
          <w:tcPr>
            <w:tcW w:w="1060" w:type="dxa"/>
            <w:vAlign w:val="bottom"/>
            <w:gridSpan w:val="2"/>
            <w:shd w:val="clear" w:color="auto" w:fill="E6E7E8"/>
          </w:tcPr>
          <w:p>
            <w:pPr>
              <w:jc w:val="right"/>
              <w:ind w:right="140"/>
              <w:spacing w:after="0"/>
              <w:rPr>
                <w:sz w:val="20"/>
                <w:szCs w:val="20"/>
                <w:color w:val="auto"/>
              </w:rPr>
            </w:pPr>
            <w:r>
              <w:rPr>
                <w:rFonts w:ascii="Times New Roman" w:cs="Times New Roman" w:eastAsia="Times New Roman" w:hAnsi="Times New Roman"/>
                <w:sz w:val="19"/>
                <w:szCs w:val="19"/>
                <w:color w:val="231F20"/>
              </w:rPr>
              <w:t>8.4</w:t>
            </w:r>
          </w:p>
        </w:tc>
        <w:tc>
          <w:tcPr>
            <w:tcW w:w="80" w:type="dxa"/>
            <w:vAlign w:val="bottom"/>
            <w:shd w:val="clear" w:color="auto" w:fill="E6E7E8"/>
          </w:tcPr>
          <w:p>
            <w:pPr>
              <w:spacing w:after="0"/>
              <w:rPr>
                <w:sz w:val="19"/>
                <w:szCs w:val="19"/>
                <w:color w:val="auto"/>
              </w:rPr>
            </w:pPr>
          </w:p>
        </w:tc>
        <w:tc>
          <w:tcPr>
            <w:tcW w:w="260" w:type="dxa"/>
            <w:vAlign w:val="bottom"/>
            <w:shd w:val="clear" w:color="auto" w:fill="E6E7E8"/>
          </w:tcPr>
          <w:p>
            <w:pPr>
              <w:spacing w:after="0"/>
              <w:rPr>
                <w:sz w:val="19"/>
                <w:szCs w:val="19"/>
                <w:color w:val="auto"/>
              </w:rPr>
            </w:pPr>
          </w:p>
        </w:tc>
        <w:tc>
          <w:tcPr>
            <w:tcW w:w="9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9.2</w:t>
            </w:r>
          </w:p>
        </w:tc>
        <w:tc>
          <w:tcPr>
            <w:tcW w:w="80" w:type="dxa"/>
            <w:vAlign w:val="bottom"/>
            <w:shd w:val="clear" w:color="auto" w:fill="E6E7E8"/>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68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Regulatory Liabilities &amp; Other</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2.0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231F20"/>
              </w:rPr>
              <w:t>1.5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680" w:type="dxa"/>
            <w:vAlign w:val="bottom"/>
            <w:tcBorders>
              <w:top w:val="single" w:sz="8" w:color="E6E7E8"/>
              <w:right w:val="single" w:sz="8" w:color="E6E7E8"/>
            </w:tcBorders>
            <w:gridSpan w:val="2"/>
            <w:shd w:val="clear" w:color="auto" w:fill="E6E7E8"/>
          </w:tcPr>
          <w:p>
            <w:pPr>
              <w:spacing w:after="0" w:line="214" w:lineRule="exact"/>
              <w:rPr>
                <w:sz w:val="20"/>
                <w:szCs w:val="20"/>
                <w:color w:val="auto"/>
              </w:rPr>
            </w:pPr>
            <w:r>
              <w:rPr>
                <w:rFonts w:ascii="Times New Roman" w:cs="Times New Roman" w:eastAsia="Times New Roman" w:hAnsi="Times New Roman"/>
                <w:sz w:val="19"/>
                <w:szCs w:val="19"/>
                <w:color w:val="231F20"/>
              </w:rPr>
              <w:t>Subtotal Interest Expense</w:t>
            </w:r>
          </w:p>
        </w:tc>
        <w:tc>
          <w:tcPr>
            <w:tcW w:w="240" w:type="dxa"/>
            <w:vAlign w:val="bottom"/>
            <w:tcBorders>
              <w:top w:val="single" w:sz="8" w:color="231F20"/>
              <w:bottom w:val="single" w:sz="8" w:color="231F20"/>
            </w:tcBorders>
            <w:shd w:val="clear" w:color="auto" w:fill="E6E7E8"/>
          </w:tcPr>
          <w:p>
            <w:pPr>
              <w:spacing w:after="0"/>
              <w:rPr>
                <w:sz w:val="18"/>
                <w:szCs w:val="18"/>
                <w:color w:val="auto"/>
              </w:rPr>
            </w:pPr>
          </w:p>
        </w:tc>
        <w:tc>
          <w:tcPr>
            <w:tcW w:w="920" w:type="dxa"/>
            <w:vAlign w:val="bottom"/>
            <w:tcBorders>
              <w:top w:val="single" w:sz="8" w:color="231F20"/>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43.8</w:t>
            </w:r>
          </w:p>
        </w:tc>
        <w:tc>
          <w:tcPr>
            <w:tcW w:w="220" w:type="dxa"/>
            <w:vAlign w:val="bottom"/>
            <w:tcBorders>
              <w:top w:val="single" w:sz="8" w:color="E6E7E8"/>
            </w:tcBorders>
            <w:shd w:val="clear" w:color="auto" w:fill="E6E7E8"/>
          </w:tcPr>
          <w:p>
            <w:pPr>
              <w:spacing w:after="0"/>
              <w:rPr>
                <w:sz w:val="18"/>
                <w:szCs w:val="18"/>
                <w:color w:val="auto"/>
              </w:rPr>
            </w:pPr>
          </w:p>
        </w:tc>
        <w:tc>
          <w:tcPr>
            <w:tcW w:w="260" w:type="dxa"/>
            <w:vAlign w:val="bottom"/>
            <w:tcBorders>
              <w:top w:val="single" w:sz="8" w:color="231F20"/>
              <w:bottom w:val="single" w:sz="8" w:color="231F20"/>
            </w:tcBorders>
            <w:shd w:val="clear" w:color="auto" w:fill="E6E7E8"/>
          </w:tcPr>
          <w:p>
            <w:pPr>
              <w:spacing w:after="0"/>
              <w:rPr>
                <w:sz w:val="18"/>
                <w:szCs w:val="18"/>
                <w:color w:val="auto"/>
              </w:rPr>
            </w:pPr>
          </w:p>
        </w:tc>
        <w:tc>
          <w:tcPr>
            <w:tcW w:w="920" w:type="dxa"/>
            <w:vAlign w:val="bottom"/>
            <w:tcBorders>
              <w:top w:val="single" w:sz="8" w:color="231F20"/>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37.7</w:t>
            </w:r>
          </w:p>
        </w:tc>
        <w:tc>
          <w:tcPr>
            <w:tcW w:w="140" w:type="dxa"/>
            <w:vAlign w:val="bottom"/>
            <w:tcBorders>
              <w:top w:val="single" w:sz="8" w:color="E6E7E8"/>
            </w:tcBorders>
            <w:shd w:val="clear" w:color="auto" w:fill="E6E7E8"/>
          </w:tcPr>
          <w:p>
            <w:pPr>
              <w:spacing w:after="0"/>
              <w:rPr>
                <w:sz w:val="18"/>
                <w:szCs w:val="18"/>
                <w:color w:val="auto"/>
              </w:rPr>
            </w:pPr>
          </w:p>
        </w:tc>
        <w:tc>
          <w:tcPr>
            <w:tcW w:w="80" w:type="dxa"/>
            <w:vAlign w:val="bottom"/>
            <w:tcBorders>
              <w:top w:val="single" w:sz="8" w:color="E6E7E8"/>
            </w:tcBorders>
            <w:shd w:val="clear" w:color="auto" w:fill="E6E7E8"/>
          </w:tcPr>
          <w:p>
            <w:pPr>
              <w:spacing w:after="0"/>
              <w:rPr>
                <w:sz w:val="18"/>
                <w:szCs w:val="18"/>
                <w:color w:val="auto"/>
              </w:rPr>
            </w:pPr>
          </w:p>
        </w:tc>
        <w:tc>
          <w:tcPr>
            <w:tcW w:w="260" w:type="dxa"/>
            <w:vAlign w:val="bottom"/>
            <w:tcBorders>
              <w:top w:val="single" w:sz="8" w:color="231F20"/>
              <w:bottom w:val="single" w:sz="8" w:color="231F20"/>
            </w:tcBorders>
            <w:shd w:val="clear" w:color="auto" w:fill="E6E7E8"/>
          </w:tcPr>
          <w:p>
            <w:pPr>
              <w:spacing w:after="0"/>
              <w:rPr>
                <w:sz w:val="18"/>
                <w:szCs w:val="18"/>
                <w:color w:val="auto"/>
              </w:rPr>
            </w:pPr>
          </w:p>
        </w:tc>
        <w:tc>
          <w:tcPr>
            <w:tcW w:w="920" w:type="dxa"/>
            <w:vAlign w:val="bottom"/>
            <w:tcBorders>
              <w:top w:val="single" w:sz="8" w:color="231F20"/>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34.9</w:t>
            </w:r>
          </w:p>
        </w:tc>
        <w:tc>
          <w:tcPr>
            <w:tcW w:w="80" w:type="dxa"/>
            <w:vAlign w:val="bottom"/>
            <w:tcBorders>
              <w:top w:val="single" w:sz="8" w:color="E6E7E8"/>
            </w:tcBorders>
            <w:shd w:val="clear" w:color="auto" w:fill="E6E7E8"/>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80" w:type="dxa"/>
            <w:vAlign w:val="bottom"/>
            <w:gridSpan w:val="2"/>
          </w:tcPr>
          <w:p>
            <w:pPr>
              <w:spacing w:after="0" w:line="214" w:lineRule="exact"/>
              <w:rPr>
                <w:sz w:val="20"/>
                <w:szCs w:val="20"/>
                <w:color w:val="auto"/>
              </w:rPr>
            </w:pPr>
            <w:r>
              <w:rPr>
                <w:rFonts w:ascii="Times New Roman" w:cs="Times New Roman" w:eastAsia="Times New Roman" w:hAnsi="Times New Roman"/>
                <w:sz w:val="19"/>
                <w:szCs w:val="19"/>
                <w:color w:val="231F20"/>
              </w:rPr>
              <w:t>Interest Income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680" w:type="dxa"/>
            <w:vAlign w:val="bottom"/>
            <w:tcBorders>
              <w:right w:val="single" w:sz="8" w:color="E6E7E8"/>
            </w:tcBorders>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Regulatory Assets</w:t>
            </w:r>
          </w:p>
        </w:tc>
        <w:tc>
          <w:tcPr>
            <w:tcW w:w="240" w:type="dxa"/>
            <w:vAlign w:val="bottom"/>
            <w:shd w:val="clear" w:color="auto" w:fill="E6E7E8"/>
          </w:tcPr>
          <w:p>
            <w:pPr>
              <w:spacing w:after="0"/>
              <w:rPr>
                <w:sz w:val="19"/>
                <w:szCs w:val="19"/>
                <w:color w:val="auto"/>
              </w:rPr>
            </w:pPr>
          </w:p>
        </w:tc>
        <w:tc>
          <w:tcPr>
            <w:tcW w:w="1140" w:type="dxa"/>
            <w:vAlign w:val="bottom"/>
            <w:gridSpan w:val="2"/>
            <w:shd w:val="clear" w:color="auto" w:fill="E6E7E8"/>
          </w:tcPr>
          <w:p>
            <w:pPr>
              <w:jc w:val="right"/>
              <w:ind w:right="160"/>
              <w:spacing w:after="0"/>
              <w:rPr>
                <w:sz w:val="20"/>
                <w:szCs w:val="20"/>
                <w:color w:val="auto"/>
              </w:rPr>
            </w:pPr>
            <w:r>
              <w:rPr>
                <w:rFonts w:ascii="Times New Roman" w:cs="Times New Roman" w:eastAsia="Times New Roman" w:hAnsi="Times New Roman"/>
                <w:sz w:val="19"/>
                <w:szCs w:val="19"/>
                <w:b w:val="1"/>
                <w:bCs w:val="1"/>
                <w:color w:val="231F20"/>
              </w:rPr>
              <w:t>(3.5)</w:t>
            </w:r>
          </w:p>
        </w:tc>
        <w:tc>
          <w:tcPr>
            <w:tcW w:w="260" w:type="dxa"/>
            <w:vAlign w:val="bottom"/>
            <w:shd w:val="clear" w:color="auto" w:fill="E6E7E8"/>
          </w:tcPr>
          <w:p>
            <w:pPr>
              <w:spacing w:after="0"/>
              <w:rPr>
                <w:sz w:val="19"/>
                <w:szCs w:val="19"/>
                <w:color w:val="auto"/>
              </w:rPr>
            </w:pPr>
          </w:p>
        </w:tc>
        <w:tc>
          <w:tcPr>
            <w:tcW w:w="1060" w:type="dxa"/>
            <w:vAlign w:val="bottom"/>
            <w:gridSpan w:val="2"/>
            <w:shd w:val="clear" w:color="auto" w:fill="E6E7E8"/>
          </w:tcPr>
          <w:p>
            <w:pPr>
              <w:jc w:val="right"/>
              <w:ind w:right="80"/>
              <w:spacing w:after="0"/>
              <w:rPr>
                <w:sz w:val="20"/>
                <w:szCs w:val="20"/>
                <w:color w:val="auto"/>
              </w:rPr>
            </w:pPr>
            <w:r>
              <w:rPr>
                <w:rFonts w:ascii="Times New Roman" w:cs="Times New Roman" w:eastAsia="Times New Roman" w:hAnsi="Times New Roman"/>
                <w:sz w:val="19"/>
                <w:szCs w:val="19"/>
                <w:color w:val="231F20"/>
              </w:rPr>
              <w:t>(4.1)</w:t>
            </w:r>
          </w:p>
        </w:tc>
        <w:tc>
          <w:tcPr>
            <w:tcW w:w="80" w:type="dxa"/>
            <w:vAlign w:val="bottom"/>
            <w:shd w:val="clear" w:color="auto" w:fill="E6E7E8"/>
          </w:tcPr>
          <w:p>
            <w:pPr>
              <w:spacing w:after="0"/>
              <w:rPr>
                <w:sz w:val="19"/>
                <w:szCs w:val="19"/>
                <w:color w:val="auto"/>
              </w:rPr>
            </w:pPr>
          </w:p>
        </w:tc>
        <w:tc>
          <w:tcPr>
            <w:tcW w:w="260" w:type="dxa"/>
            <w:vAlign w:val="bottom"/>
            <w:shd w:val="clear" w:color="auto" w:fill="E6E7E8"/>
          </w:tcPr>
          <w:p>
            <w:pPr>
              <w:spacing w:after="0"/>
              <w:rPr>
                <w:sz w:val="19"/>
                <w:szCs w:val="19"/>
                <w:color w:val="auto"/>
              </w:rPr>
            </w:pPr>
          </w:p>
        </w:tc>
        <w:tc>
          <w:tcPr>
            <w:tcW w:w="100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19"/>
                <w:szCs w:val="19"/>
                <w:color w:val="231F20"/>
              </w:rPr>
              <w:t>(3.3)</w:t>
            </w:r>
          </w:p>
        </w:tc>
        <w:tc>
          <w:tcPr>
            <w:tcW w:w="0" w:type="dxa"/>
            <w:vAlign w:val="bottom"/>
          </w:tcPr>
          <w:p>
            <w:pPr>
              <w:spacing w:after="0"/>
              <w:rPr>
                <w:sz w:val="1"/>
                <w:szCs w:val="1"/>
                <w:color w:val="auto"/>
              </w:rPr>
            </w:pPr>
          </w:p>
        </w:tc>
      </w:tr>
      <w:tr>
        <w:trPr>
          <w:trHeight w:val="219"/>
        </w:trPr>
        <w:tc>
          <w:tcPr>
            <w:tcW w:w="5680" w:type="dxa"/>
            <w:vAlign w:val="bottom"/>
            <w:gridSpan w:val="2"/>
          </w:tcPr>
          <w:p>
            <w:pPr>
              <w:ind w:left="200"/>
              <w:spacing w:after="0" w:line="219" w:lineRule="exact"/>
              <w:rPr>
                <w:sz w:val="20"/>
                <w:szCs w:val="20"/>
                <w:color w:val="auto"/>
              </w:rPr>
            </w:pPr>
            <w:r>
              <w:rPr>
                <w:rFonts w:ascii="Times New Roman" w:cs="Times New Roman" w:eastAsia="Times New Roman" w:hAnsi="Times New Roman"/>
                <w:sz w:val="19"/>
                <w:szCs w:val="19"/>
                <w:color w:val="231F20"/>
              </w:rPr>
              <w:t>AFUDC</w:t>
            </w:r>
            <w:r>
              <w:rPr>
                <w:rFonts w:ascii="Times New Roman" w:cs="Times New Roman" w:eastAsia="Times New Roman" w:hAnsi="Times New Roman"/>
                <w:sz w:val="24"/>
                <w:szCs w:val="24"/>
                <w:color w:val="231F20"/>
                <w:vertAlign w:val="superscript"/>
              </w:rPr>
              <w:t>(1)</w:t>
            </w:r>
            <w:r>
              <w:rPr>
                <w:rFonts w:ascii="Times New Roman" w:cs="Times New Roman" w:eastAsia="Times New Roman" w:hAnsi="Times New Roman"/>
                <w:sz w:val="19"/>
                <w:szCs w:val="19"/>
                <w:color w:val="231F20"/>
              </w:rPr>
              <w:t xml:space="preserve"> and Other</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b w:val="1"/>
                <w:bCs w:val="1"/>
                <w:color w:val="231F20"/>
              </w:rPr>
              <w:t>(3.6)</w:t>
            </w: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231F20"/>
              </w:rPr>
              <w:t>(4.3)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231F20"/>
              </w:rPr>
              <w:t>(2.9)</w:t>
            </w:r>
          </w:p>
        </w:tc>
        <w:tc>
          <w:tcPr>
            <w:tcW w:w="0" w:type="dxa"/>
            <w:vAlign w:val="bottom"/>
          </w:tcPr>
          <w:p>
            <w:pPr>
              <w:spacing w:after="0"/>
              <w:rPr>
                <w:sz w:val="1"/>
                <w:szCs w:val="1"/>
                <w:color w:val="auto"/>
              </w:rPr>
            </w:pPr>
          </w:p>
        </w:tc>
      </w:tr>
      <w:tr>
        <w:trPr>
          <w:trHeight w:val="20"/>
        </w:trPr>
        <w:tc>
          <w:tcPr>
            <w:tcW w:w="5680" w:type="dxa"/>
            <w:vAlign w:val="bottom"/>
            <w:tcBorders>
              <w:right w:val="single" w:sz="8" w:color="E6E7E8"/>
            </w:tcBorders>
            <w:gridSpan w:val="2"/>
            <w:vMerge w:val="restart"/>
            <w:shd w:val="clear" w:color="auto" w:fill="E6E7E8"/>
          </w:tcPr>
          <w:p>
            <w:pPr>
              <w:spacing w:after="0"/>
              <w:rPr>
                <w:sz w:val="20"/>
                <w:szCs w:val="20"/>
                <w:color w:val="auto"/>
              </w:rPr>
            </w:pPr>
            <w:r>
              <w:rPr>
                <w:rFonts w:ascii="Times New Roman" w:cs="Times New Roman" w:eastAsia="Times New Roman" w:hAnsi="Times New Roman"/>
                <w:sz w:val="19"/>
                <w:szCs w:val="19"/>
                <w:color w:val="231F20"/>
              </w:rPr>
              <w:t>Subtotal Interest Income</w:t>
            </w:r>
          </w:p>
        </w:tc>
        <w:tc>
          <w:tcPr>
            <w:tcW w:w="240" w:type="dxa"/>
            <w:vAlign w:val="bottom"/>
            <w:shd w:val="clear" w:color="auto" w:fill="231F20"/>
          </w:tcPr>
          <w:p>
            <w:pPr>
              <w:spacing w:after="0" w:line="20" w:lineRule="exact"/>
              <w:rPr>
                <w:sz w:val="1"/>
                <w:szCs w:val="1"/>
                <w:color w:val="auto"/>
              </w:rPr>
            </w:pPr>
          </w:p>
        </w:tc>
        <w:tc>
          <w:tcPr>
            <w:tcW w:w="92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92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920" w:type="dxa"/>
            <w:vAlign w:val="bottom"/>
            <w:shd w:val="clear" w:color="auto" w:fill="231F2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680" w:type="dxa"/>
            <w:vAlign w:val="bottom"/>
            <w:tcBorders>
              <w:right w:val="single" w:sz="8" w:color="E6E7E8"/>
            </w:tcBorders>
            <w:gridSpan w:val="2"/>
            <w:vMerge w:val="continue"/>
            <w:shd w:val="clear" w:color="auto" w:fill="E6E7E8"/>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line="214" w:lineRule="exact"/>
              <w:rPr>
                <w:sz w:val="20"/>
                <w:szCs w:val="20"/>
                <w:color w:val="auto"/>
              </w:rPr>
            </w:pPr>
            <w:r>
              <w:rPr>
                <w:rFonts w:ascii="Times New Roman" w:cs="Times New Roman" w:eastAsia="Times New Roman" w:hAnsi="Times New Roman"/>
                <w:sz w:val="19"/>
                <w:szCs w:val="19"/>
                <w:b w:val="1"/>
                <w:bCs w:val="1"/>
                <w:color w:val="231F20"/>
              </w:rPr>
              <w:t>(7.1)</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line="214" w:lineRule="exact"/>
              <w:rPr>
                <w:sz w:val="20"/>
                <w:szCs w:val="20"/>
                <w:color w:val="auto"/>
              </w:rPr>
            </w:pPr>
            <w:r>
              <w:rPr>
                <w:rFonts w:ascii="Times New Roman" w:cs="Times New Roman" w:eastAsia="Times New Roman" w:hAnsi="Times New Roman"/>
                <w:sz w:val="19"/>
                <w:szCs w:val="19"/>
                <w:color w:val="231F20"/>
              </w:rPr>
              <w:t>(8.4)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line="214" w:lineRule="exact"/>
              <w:rPr>
                <w:sz w:val="20"/>
                <w:szCs w:val="20"/>
                <w:color w:val="auto"/>
              </w:rPr>
            </w:pPr>
            <w:r>
              <w:rPr>
                <w:rFonts w:ascii="Times New Roman" w:cs="Times New Roman" w:eastAsia="Times New Roman" w:hAnsi="Times New Roman"/>
                <w:sz w:val="19"/>
                <w:szCs w:val="19"/>
                <w:color w:val="231F20"/>
              </w:rPr>
              <w:t>(6.2)</w:t>
            </w:r>
          </w:p>
        </w:tc>
        <w:tc>
          <w:tcPr>
            <w:tcW w:w="0" w:type="dxa"/>
            <w:vAlign w:val="bottom"/>
          </w:tcPr>
          <w:p>
            <w:pPr>
              <w:spacing w:after="0"/>
              <w:rPr>
                <w:sz w:val="1"/>
                <w:szCs w:val="1"/>
                <w:color w:val="auto"/>
              </w:rPr>
            </w:pPr>
          </w:p>
        </w:tc>
      </w:tr>
      <w:tr>
        <w:trPr>
          <w:trHeight w:val="214"/>
        </w:trPr>
        <w:tc>
          <w:tcPr>
            <w:tcW w:w="5680" w:type="dxa"/>
            <w:vAlign w:val="bottom"/>
            <w:gridSpan w:val="2"/>
          </w:tcPr>
          <w:p>
            <w:pPr>
              <w:spacing w:after="0" w:line="214" w:lineRule="exact"/>
              <w:rPr>
                <w:sz w:val="20"/>
                <w:szCs w:val="20"/>
                <w:color w:val="auto"/>
              </w:rPr>
            </w:pPr>
            <w:r>
              <w:rPr>
                <w:rFonts w:ascii="Times New Roman" w:cs="Times New Roman" w:eastAsia="Times New Roman" w:hAnsi="Times New Roman"/>
                <w:sz w:val="19"/>
                <w:szCs w:val="19"/>
                <w:color w:val="231F20"/>
              </w:rPr>
              <w:t>Total Interest Expense, Net</w:t>
            </w:r>
          </w:p>
        </w:tc>
        <w:tc>
          <w:tcPr>
            <w:tcW w:w="240" w:type="dxa"/>
            <w:vAlign w:val="bottom"/>
            <w:tcBorders>
              <w:top w:val="single" w:sz="8" w:color="231F20"/>
              <w:bottom w:val="single" w:sz="8" w:color="231F20"/>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920" w:type="dxa"/>
            <w:vAlign w:val="bottom"/>
            <w:tcBorders>
              <w:top w:val="single" w:sz="8" w:color="231F20"/>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36.7</w:t>
            </w:r>
          </w:p>
        </w:tc>
        <w:tc>
          <w:tcPr>
            <w:tcW w:w="220" w:type="dxa"/>
            <w:vAlign w:val="bottom"/>
          </w:tcPr>
          <w:p>
            <w:pPr>
              <w:spacing w:after="0"/>
              <w:rPr>
                <w:sz w:val="18"/>
                <w:szCs w:val="18"/>
                <w:color w:val="auto"/>
              </w:rPr>
            </w:pPr>
          </w:p>
        </w:tc>
        <w:tc>
          <w:tcPr>
            <w:tcW w:w="260" w:type="dxa"/>
            <w:vAlign w:val="bottom"/>
            <w:tcBorders>
              <w:top w:val="single" w:sz="8" w:color="231F20"/>
              <w:bottom w:val="single" w:sz="8" w:color="231F20"/>
            </w:tcBorders>
          </w:tcPr>
          <w:p>
            <w:pPr>
              <w:jc w:val="right"/>
              <w:ind w:right="65"/>
              <w:spacing w:after="0" w:line="214" w:lineRule="exact"/>
              <w:rPr>
                <w:sz w:val="20"/>
                <w:szCs w:val="20"/>
                <w:color w:val="auto"/>
              </w:rPr>
            </w:pPr>
            <w:r>
              <w:rPr>
                <w:rFonts w:ascii="Times New Roman" w:cs="Times New Roman" w:eastAsia="Times New Roman" w:hAnsi="Times New Roman"/>
                <w:sz w:val="19"/>
                <w:szCs w:val="19"/>
                <w:color w:val="231F20"/>
                <w:w w:val="83"/>
              </w:rPr>
              <w:t>$</w:t>
            </w:r>
          </w:p>
        </w:tc>
        <w:tc>
          <w:tcPr>
            <w:tcW w:w="920" w:type="dxa"/>
            <w:vAlign w:val="bottom"/>
            <w:tcBorders>
              <w:top w:val="single" w:sz="8" w:color="231F20"/>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29.3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231F20"/>
              <w:bottom w:val="single" w:sz="8" w:color="231F20"/>
            </w:tcBorders>
          </w:tcPr>
          <w:p>
            <w:pPr>
              <w:jc w:val="right"/>
              <w:ind w:right="65"/>
              <w:spacing w:after="0" w:line="214" w:lineRule="exact"/>
              <w:rPr>
                <w:sz w:val="20"/>
                <w:szCs w:val="20"/>
                <w:color w:val="auto"/>
              </w:rPr>
            </w:pPr>
            <w:r>
              <w:rPr>
                <w:rFonts w:ascii="Times New Roman" w:cs="Times New Roman" w:eastAsia="Times New Roman" w:hAnsi="Times New Roman"/>
                <w:sz w:val="19"/>
                <w:szCs w:val="19"/>
                <w:color w:val="231F20"/>
                <w:w w:val="83"/>
              </w:rPr>
              <w:t>$</w:t>
            </w:r>
          </w:p>
        </w:tc>
        <w:tc>
          <w:tcPr>
            <w:tcW w:w="920" w:type="dxa"/>
            <w:vAlign w:val="bottom"/>
            <w:tcBorders>
              <w:top w:val="single" w:sz="8" w:color="231F20"/>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28.7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3934460</wp:posOffset>
                </wp:positionH>
                <wp:positionV relativeFrom="paragraph">
                  <wp:posOffset>-315595</wp:posOffset>
                </wp:positionV>
                <wp:extent cx="750570" cy="139065"/>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0570" cy="139065"/>
                        </a:xfrm>
                        <a:prstGeom prst="rect">
                          <a:avLst/>
                        </a:prstGeom>
                        <a:solidFill>
                          <a:srgbClr val="E6E7E8"/>
                        </a:solidFill>
                      </wps:spPr>
                      <wps:bodyPr/>
                    </wps:wsp>
                  </a:graphicData>
                </a:graphic>
              </wp:anchor>
            </w:drawing>
          </mc:Choice>
          <mc:Fallback>
            <w:pict>
              <v:rect id="Shape 89" o:spid="_x0000_s1114" style="position:absolute;margin-left:309.8pt;margin-top:-24.8499pt;width:59.1pt;height:1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4685030</wp:posOffset>
                </wp:positionH>
                <wp:positionV relativeFrom="paragraph">
                  <wp:posOffset>-325120</wp:posOffset>
                </wp:positionV>
                <wp:extent cx="138430" cy="14859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8430" cy="148590"/>
                        </a:xfrm>
                        <a:prstGeom prst="rect">
                          <a:avLst/>
                        </a:prstGeom>
                        <a:solidFill>
                          <a:srgbClr val="E6E7E8"/>
                        </a:solidFill>
                      </wps:spPr>
                      <wps:bodyPr/>
                    </wps:wsp>
                  </a:graphicData>
                </a:graphic>
              </wp:anchor>
            </w:drawing>
          </mc:Choice>
          <mc:Fallback>
            <w:pict>
              <v:rect id="Shape 90" o:spid="_x0000_s1115" style="position:absolute;margin-left:368.9pt;margin-top:-25.5999pt;width:10.9pt;height:11.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4823460</wp:posOffset>
                </wp:positionH>
                <wp:positionV relativeFrom="paragraph">
                  <wp:posOffset>-315595</wp:posOffset>
                </wp:positionV>
                <wp:extent cx="750570" cy="139065"/>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0570" cy="139065"/>
                        </a:xfrm>
                        <a:prstGeom prst="rect">
                          <a:avLst/>
                        </a:prstGeom>
                        <a:solidFill>
                          <a:srgbClr val="E6E7E8"/>
                        </a:solidFill>
                      </wps:spPr>
                      <wps:bodyPr/>
                    </wps:wsp>
                  </a:graphicData>
                </a:graphic>
              </wp:anchor>
            </w:drawing>
          </mc:Choice>
          <mc:Fallback>
            <w:pict>
              <v:rect id="Shape 91" o:spid="_x0000_s1116" style="position:absolute;margin-left:379.8pt;margin-top:-24.8499pt;width:59.1pt;height:1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5574030</wp:posOffset>
                </wp:positionH>
                <wp:positionV relativeFrom="paragraph">
                  <wp:posOffset>-325120</wp:posOffset>
                </wp:positionV>
                <wp:extent cx="139065" cy="14859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9065" cy="148590"/>
                        </a:xfrm>
                        <a:prstGeom prst="rect">
                          <a:avLst/>
                        </a:prstGeom>
                        <a:solidFill>
                          <a:srgbClr val="E6E7E8"/>
                        </a:solidFill>
                      </wps:spPr>
                      <wps:bodyPr/>
                    </wps:wsp>
                  </a:graphicData>
                </a:graphic>
              </wp:anchor>
            </w:drawing>
          </mc:Choice>
          <mc:Fallback>
            <w:pict>
              <v:rect id="Shape 92" o:spid="_x0000_s1117" style="position:absolute;margin-left:438.9pt;margin-top:-25.5999pt;width:10.95pt;height:11.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5713095</wp:posOffset>
                </wp:positionH>
                <wp:positionV relativeFrom="paragraph">
                  <wp:posOffset>-315595</wp:posOffset>
                </wp:positionV>
                <wp:extent cx="750570" cy="139065"/>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0570" cy="139065"/>
                        </a:xfrm>
                        <a:prstGeom prst="rect">
                          <a:avLst/>
                        </a:prstGeom>
                        <a:solidFill>
                          <a:srgbClr val="E6E7E8"/>
                        </a:solidFill>
                      </wps:spPr>
                      <wps:bodyPr/>
                    </wps:wsp>
                  </a:graphicData>
                </a:graphic>
              </wp:anchor>
            </w:drawing>
          </mc:Choice>
          <mc:Fallback>
            <w:pict>
              <v:rect id="Shape 93" o:spid="_x0000_s1118" style="position:absolute;margin-left:449.85pt;margin-top:-24.8499pt;width:59.1pt;height:1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311150</wp:posOffset>
                </wp:positionH>
                <wp:positionV relativeFrom="paragraph">
                  <wp:posOffset>104775</wp:posOffset>
                </wp:positionV>
                <wp:extent cx="688975"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97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5pt,8.25pt" to="78.75pt,8.25pt" o:allowincell="f" strokecolor="#231F20" strokeweight="0.75pt"/>
            </w:pict>
          </mc:Fallback>
        </mc:AlternateContent>
      </w:r>
    </w:p>
    <w:p>
      <w:pPr>
        <w:spacing w:after="0" w:line="140" w:lineRule="exact"/>
        <w:rPr>
          <w:sz w:val="20"/>
          <w:szCs w:val="20"/>
          <w:color w:val="auto"/>
        </w:rPr>
      </w:pPr>
    </w:p>
    <w:p>
      <w:pPr>
        <w:ind w:left="1040" w:hanging="493"/>
        <w:spacing w:after="0"/>
        <w:tabs>
          <w:tab w:leader="none" w:pos="1040" w:val="left"/>
        </w:tabs>
        <w:numPr>
          <w:ilvl w:val="0"/>
          <w:numId w:val="23"/>
        </w:numPr>
        <w:rPr>
          <w:rFonts w:ascii="Times New Roman" w:cs="Times New Roman" w:eastAsia="Times New Roman" w:hAnsi="Times New Roman"/>
          <w:sz w:val="20"/>
          <w:szCs w:val="20"/>
          <w:color w:val="231F20"/>
          <w:vertAlign w:val="superscript"/>
        </w:rPr>
      </w:pPr>
      <w:r>
        <w:rPr>
          <w:rFonts w:ascii="Times New Roman" w:cs="Times New Roman" w:eastAsia="Times New Roman" w:hAnsi="Times New Roman"/>
          <w:sz w:val="16"/>
          <w:szCs w:val="16"/>
          <w:color w:val="231F20"/>
        </w:rPr>
        <w:t>AFUDC—Allowance for Funds Used During Construction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Credit Arrangements</w:t>
      </w:r>
    </w:p>
    <w:p>
      <w:pPr>
        <w:spacing w:after="0" w:line="244"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1"/>
          <w:szCs w:val="21"/>
          <w:color w:val="231F20"/>
        </w:rPr>
        <w:t>On September 29, 2022, the Company entered into a Third Amended and Restated Credit Agreement with a syndicate of lenders (collectively, the “Credit Facility”), which amended and restated the prior credit facility in full, and on January 29, 2025, the Company executed an amendment that increased the borrowing limit under the Credit Facility from $200 million to $275 million and extended the term of the maturity date from September 29, 2027 until September 29, 2028. Unitil may borrow under the Credit Facility until September 29, 2028, subject to two one-year extensions under certain circumstances. The Credit Facility provides for a borrowing limit of $275 million, including a $25 million sublimit for standby letters of credit, and permits Unitil to increase the borrowing limit by up to $75 million under certain circumstances. Borrowings under the Credit Facility may bear interest at various rate options, including a daily fluctuating rate equal to the forward-looking one-month secured overnight financing rate (SOFR) term rate (as administered by the Federal Reserve Bank of New York), plus 0.1000%, plus a margin of 1.125% to 1.375% based on Unitil’s credit rating.</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231F20"/>
        </w:rPr>
        <w:t>The Company generally utilizes the Credit Facility for cash management purposes related to its short-term operating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231F20"/>
        </w:rPr>
        <w:t>activities and may use the Credit Facility for certain acquisition financing. Total gross borrowings were $476.4 million and</w:t>
      </w:r>
    </w:p>
    <w:p>
      <w:pPr>
        <w:spacing w:after="0"/>
        <w:rPr>
          <w:sz w:val="20"/>
          <w:szCs w:val="20"/>
          <w:color w:val="auto"/>
        </w:rPr>
      </w:pPr>
      <w:r>
        <w:rPr>
          <w:rFonts w:ascii="Times New Roman" w:cs="Times New Roman" w:eastAsia="Times New Roman" w:hAnsi="Times New Roman"/>
          <w:sz w:val="21"/>
          <w:szCs w:val="21"/>
          <w:color w:val="231F20"/>
        </w:rPr>
        <w:t>$308.4 million for the years ended December 31, 2025 and December 31, 2024, respectively. Total gross repayments were</w:t>
      </w:r>
    </w:p>
    <w:p>
      <w:pPr>
        <w:spacing w:after="0"/>
        <w:rPr>
          <w:sz w:val="20"/>
          <w:szCs w:val="20"/>
          <w:color w:val="auto"/>
        </w:rPr>
      </w:pPr>
      <w:r>
        <w:rPr>
          <w:rFonts w:ascii="Times New Roman" w:cs="Times New Roman" w:eastAsia="Times New Roman" w:hAnsi="Times New Roman"/>
          <w:sz w:val="21"/>
          <w:szCs w:val="21"/>
          <w:color w:val="231F20"/>
        </w:rPr>
        <w:t>$412.5 million and $364.6 million for the years ended December 31, 2025 and December 31, 2024, respectively. The following</w:t>
      </w:r>
    </w:p>
    <w:p>
      <w:pPr>
        <w:spacing w:after="0"/>
        <w:rPr>
          <w:sz w:val="20"/>
          <w:szCs w:val="20"/>
          <w:color w:val="auto"/>
        </w:rPr>
      </w:pPr>
      <w:r>
        <w:rPr>
          <w:rFonts w:ascii="Times New Roman" w:cs="Times New Roman" w:eastAsia="Times New Roman" w:hAnsi="Times New Roman"/>
          <w:sz w:val="21"/>
          <w:szCs w:val="21"/>
          <w:color w:val="231F20"/>
        </w:rPr>
        <w:t>table details the borrowing limits, amounts outstanding and amounts available under the revolving Credit Facility as of</w:t>
      </w:r>
    </w:p>
    <w:p>
      <w:pPr>
        <w:spacing w:after="0"/>
        <w:rPr>
          <w:sz w:val="20"/>
          <w:szCs w:val="20"/>
          <w:color w:val="auto"/>
        </w:rPr>
      </w:pPr>
      <w:r>
        <w:rPr>
          <w:rFonts w:ascii="Times New Roman" w:cs="Times New Roman" w:eastAsia="Times New Roman" w:hAnsi="Times New Roman"/>
          <w:sz w:val="21"/>
          <w:szCs w:val="21"/>
          <w:color w:val="231F20"/>
        </w:rPr>
        <w:t>December 31, 2025 and December 31, 2024:</w:t>
      </w:r>
    </w:p>
    <w:p>
      <w:pPr>
        <w:spacing w:after="0" w:line="248"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520" w:type="dxa"/>
            <w:vAlign w:val="bottom"/>
            <w:tcBorders>
              <w:bottom w:val="single" w:sz="8" w:color="231F20"/>
            </w:tcBorders>
          </w:tcPr>
          <w:p>
            <w:pPr>
              <w:spacing w:after="0"/>
              <w:rPr>
                <w:sz w:val="17"/>
                <w:szCs w:val="17"/>
                <w:color w:val="auto"/>
              </w:rPr>
            </w:pPr>
          </w:p>
        </w:tc>
        <w:tc>
          <w:tcPr>
            <w:tcW w:w="1780" w:type="dxa"/>
            <w:vAlign w:val="bottom"/>
            <w:tcBorders>
              <w:bottom w:val="single" w:sz="8" w:color="231F20"/>
            </w:tcBorders>
            <w:gridSpan w:val="4"/>
          </w:tcPr>
          <w:p>
            <w:pPr>
              <w:jc w:val="right"/>
              <w:ind w:right="225"/>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740" w:type="dxa"/>
            <w:vAlign w:val="bottom"/>
            <w:tcBorders>
              <w:bottom w:val="single" w:sz="8" w:color="231F20"/>
            </w:tcBorders>
          </w:tcPr>
          <w:p>
            <w:pPr>
              <w:spacing w:after="0"/>
              <w:rPr>
                <w:sz w:val="17"/>
                <w:szCs w:val="17"/>
                <w:color w:val="auto"/>
              </w:rPr>
            </w:pPr>
          </w:p>
        </w:tc>
        <w:tc>
          <w:tcPr>
            <w:tcW w:w="60" w:type="dxa"/>
            <w:vAlign w:val="bottom"/>
          </w:tcPr>
          <w:p>
            <w:pPr>
              <w:spacing w:after="0"/>
              <w:rPr>
                <w:sz w:val="17"/>
                <w:szCs w:val="17"/>
                <w:color w:val="auto"/>
              </w:rPr>
            </w:pPr>
          </w:p>
        </w:tc>
      </w:tr>
      <w:tr>
        <w:trPr>
          <w:trHeight w:val="235"/>
        </w:trPr>
        <w:tc>
          <w:tcPr>
            <w:tcW w:w="4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Revolving Credit Facility (millions)</w:t>
            </w:r>
          </w:p>
        </w:tc>
        <w:tc>
          <w:tcPr>
            <w:tcW w:w="1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gridSpan w:val="2"/>
          </w:tcPr>
          <w:p>
            <w:pPr>
              <w:jc w:val="right"/>
              <w:ind w:right="120"/>
              <w:spacing w:after="0" w:line="215" w:lineRule="exact"/>
              <w:rPr>
                <w:sz w:val="20"/>
                <w:szCs w:val="20"/>
                <w:color w:val="auto"/>
              </w:rPr>
            </w:pPr>
            <w:r>
              <w:rPr>
                <w:rFonts w:ascii="Times New Roman" w:cs="Times New Roman" w:eastAsia="Times New Roman" w:hAnsi="Times New Roman"/>
                <w:sz w:val="20"/>
                <w:szCs w:val="20"/>
                <w:b w:val="1"/>
                <w:bCs w:val="1"/>
                <w:color w:val="231F20"/>
              </w:rPr>
              <w:t>2025</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231F20"/>
              </w:rPr>
              <w:t>2024</w:t>
            </w:r>
          </w:p>
        </w:tc>
        <w:tc>
          <w:tcPr>
            <w:tcW w:w="60" w:type="dxa"/>
            <w:vAlign w:val="bottom"/>
          </w:tcPr>
          <w:p>
            <w:pPr>
              <w:spacing w:after="0"/>
              <w:rPr>
                <w:sz w:val="20"/>
                <w:szCs w:val="20"/>
                <w:color w:val="auto"/>
              </w:rPr>
            </w:pPr>
          </w:p>
        </w:tc>
      </w:tr>
      <w:tr>
        <w:trPr>
          <w:trHeight w:val="203"/>
        </w:trPr>
        <w:tc>
          <w:tcPr>
            <w:tcW w:w="2420" w:type="dxa"/>
            <w:vAlign w:val="bottom"/>
            <w:tcBorders>
              <w:top w:val="single" w:sz="8" w:color="231F20"/>
            </w:tcBorders>
            <w:shd w:val="clear" w:color="auto" w:fill="E6E7E8"/>
          </w:tcPr>
          <w:p>
            <w:pPr>
              <w:spacing w:after="0" w:line="204" w:lineRule="exact"/>
              <w:rPr>
                <w:sz w:val="20"/>
                <w:szCs w:val="20"/>
                <w:color w:val="auto"/>
              </w:rPr>
            </w:pPr>
            <w:r>
              <w:rPr>
                <w:rFonts w:ascii="Times New Roman" w:cs="Times New Roman" w:eastAsia="Times New Roman" w:hAnsi="Times New Roman"/>
                <w:sz w:val="19"/>
                <w:szCs w:val="19"/>
                <w:color w:val="231F20"/>
              </w:rPr>
              <w:t>Limit</w:t>
            </w:r>
          </w:p>
        </w:tc>
        <w:tc>
          <w:tcPr>
            <w:tcW w:w="2280" w:type="dxa"/>
            <w:vAlign w:val="bottom"/>
            <w:tcBorders>
              <w:top w:val="single" w:sz="8" w:color="E6E7E8"/>
            </w:tcBorders>
            <w:shd w:val="clear" w:color="auto" w:fill="E6E7E8"/>
          </w:tcPr>
          <w:p>
            <w:pPr>
              <w:spacing w:after="0"/>
              <w:rPr>
                <w:sz w:val="17"/>
                <w:szCs w:val="17"/>
                <w:color w:val="auto"/>
              </w:rPr>
            </w:pPr>
          </w:p>
        </w:tc>
        <w:tc>
          <w:tcPr>
            <w:tcW w:w="1920" w:type="dxa"/>
            <w:vAlign w:val="bottom"/>
            <w:tcBorders>
              <w:top w:val="single" w:sz="8" w:color="E6E7E8"/>
            </w:tcBorders>
            <w:shd w:val="clear" w:color="auto" w:fill="E6E7E8"/>
          </w:tcPr>
          <w:p>
            <w:pPr>
              <w:spacing w:after="0"/>
              <w:rPr>
                <w:sz w:val="17"/>
                <w:szCs w:val="17"/>
                <w:color w:val="auto"/>
              </w:rPr>
            </w:pPr>
          </w:p>
        </w:tc>
        <w:tc>
          <w:tcPr>
            <w:tcW w:w="520" w:type="dxa"/>
            <w:vAlign w:val="bottom"/>
            <w:tcBorders>
              <w:top w:val="single" w:sz="8" w:color="231F20"/>
            </w:tcBorders>
            <w:shd w:val="clear" w:color="auto" w:fill="E6E7E8"/>
          </w:tcPr>
          <w:p>
            <w:pPr>
              <w:jc w:val="right"/>
              <w:ind w:right="356"/>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88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b w:val="1"/>
                <w:bCs w:val="1"/>
                <w:color w:val="231F20"/>
              </w:rPr>
              <w:t>275.0</w:t>
            </w:r>
          </w:p>
        </w:tc>
        <w:tc>
          <w:tcPr>
            <w:tcW w:w="120" w:type="dxa"/>
            <w:vAlign w:val="bottom"/>
            <w:tcBorders>
              <w:top w:val="single" w:sz="8" w:color="E6E7E8"/>
            </w:tcBorders>
            <w:shd w:val="clear" w:color="auto" w:fill="E6E7E8"/>
          </w:tcPr>
          <w:p>
            <w:pPr>
              <w:spacing w:after="0"/>
              <w:rPr>
                <w:sz w:val="17"/>
                <w:szCs w:val="17"/>
                <w:color w:val="auto"/>
              </w:rPr>
            </w:pPr>
          </w:p>
        </w:tc>
        <w:tc>
          <w:tcPr>
            <w:tcW w:w="120" w:type="dxa"/>
            <w:vAlign w:val="bottom"/>
            <w:tcBorders>
              <w:top w:val="single" w:sz="8" w:color="E6E7E8"/>
            </w:tcBorders>
            <w:shd w:val="clear" w:color="auto" w:fill="E6E7E8"/>
          </w:tcPr>
          <w:p>
            <w:pPr>
              <w:spacing w:after="0"/>
              <w:rPr>
                <w:sz w:val="17"/>
                <w:szCs w:val="17"/>
                <w:color w:val="auto"/>
              </w:rPr>
            </w:pPr>
          </w:p>
        </w:tc>
        <w:tc>
          <w:tcPr>
            <w:tcW w:w="660" w:type="dxa"/>
            <w:vAlign w:val="bottom"/>
            <w:tcBorders>
              <w:top w:val="single" w:sz="8" w:color="231F20"/>
            </w:tcBorders>
            <w:shd w:val="clear" w:color="auto" w:fill="E6E7E8"/>
          </w:tcPr>
          <w:p>
            <w:pPr>
              <w:jc w:val="right"/>
              <w:ind w:right="465"/>
              <w:spacing w:after="0" w:line="204" w:lineRule="exact"/>
              <w:rPr>
                <w:sz w:val="20"/>
                <w:szCs w:val="20"/>
                <w:color w:val="auto"/>
              </w:rPr>
            </w:pPr>
            <w:r>
              <w:rPr>
                <w:rFonts w:ascii="Times New Roman" w:cs="Times New Roman" w:eastAsia="Times New Roman" w:hAnsi="Times New Roman"/>
                <w:sz w:val="19"/>
                <w:szCs w:val="19"/>
                <w:color w:val="231F20"/>
                <w:w w:val="83"/>
              </w:rPr>
              <w:t>$</w:t>
            </w:r>
          </w:p>
        </w:tc>
        <w:tc>
          <w:tcPr>
            <w:tcW w:w="74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color w:val="231F20"/>
              </w:rPr>
              <w:t>200.0</w:t>
            </w:r>
          </w:p>
        </w:tc>
        <w:tc>
          <w:tcPr>
            <w:tcW w:w="60" w:type="dxa"/>
            <w:vAlign w:val="bottom"/>
            <w:tcBorders>
              <w:top w:val="single" w:sz="8" w:color="E6E7E8"/>
            </w:tcBorders>
            <w:shd w:val="clear" w:color="auto" w:fill="E6E7E8"/>
          </w:tcPr>
          <w:p>
            <w:pPr>
              <w:spacing w:after="0"/>
              <w:rPr>
                <w:sz w:val="17"/>
                <w:szCs w:val="17"/>
                <w:color w:val="auto"/>
              </w:rPr>
            </w:pPr>
          </w:p>
        </w:tc>
      </w:tr>
      <w:tr>
        <w:trPr>
          <w:trHeight w:val="219"/>
        </w:trPr>
        <w:tc>
          <w:tcPr>
            <w:tcW w:w="47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Short-Term Borrowings Outstanding</w:t>
            </w:r>
          </w:p>
        </w:tc>
        <w:tc>
          <w:tcPr>
            <w:tcW w:w="1920" w:type="dxa"/>
            <w:vAlign w:val="bottom"/>
          </w:tcPr>
          <w:p>
            <w:pPr>
              <w:spacing w:after="0"/>
              <w:rPr>
                <w:sz w:val="19"/>
                <w:szCs w:val="19"/>
                <w:color w:val="auto"/>
              </w:rPr>
            </w:pP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169.7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65"/>
              <w:spacing w:after="0"/>
              <w:rPr>
                <w:sz w:val="20"/>
                <w:szCs w:val="20"/>
                <w:color w:val="auto"/>
              </w:rPr>
            </w:pPr>
            <w:r>
              <w:rPr>
                <w:rFonts w:ascii="Times New Roman" w:cs="Times New Roman" w:eastAsia="Times New Roman" w:hAnsi="Times New Roman"/>
                <w:sz w:val="19"/>
                <w:szCs w:val="19"/>
                <w:color w:val="231F20"/>
                <w:w w:val="8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105.8</w:t>
            </w:r>
          </w:p>
        </w:tc>
        <w:tc>
          <w:tcPr>
            <w:tcW w:w="60" w:type="dxa"/>
            <w:vAlign w:val="bottom"/>
          </w:tcPr>
          <w:p>
            <w:pPr>
              <w:spacing w:after="0"/>
              <w:rPr>
                <w:sz w:val="19"/>
                <w:szCs w:val="19"/>
                <w:color w:val="auto"/>
              </w:rPr>
            </w:pPr>
          </w:p>
        </w:tc>
      </w:tr>
      <w:tr>
        <w:trPr>
          <w:trHeight w:val="218"/>
        </w:trPr>
        <w:tc>
          <w:tcPr>
            <w:tcW w:w="470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19"/>
                <w:szCs w:val="19"/>
                <w:color w:val="231F20"/>
              </w:rPr>
              <w:t>Available</w:t>
            </w:r>
          </w:p>
        </w:tc>
        <w:tc>
          <w:tcPr>
            <w:tcW w:w="2440" w:type="dxa"/>
            <w:vAlign w:val="bottom"/>
            <w:gridSpan w:val="2"/>
            <w:shd w:val="clear" w:color="auto" w:fill="E6E7E8"/>
          </w:tcPr>
          <w:p>
            <w:pPr>
              <w:jc w:val="right"/>
              <w:ind w:right="356"/>
              <w:spacing w:after="0"/>
              <w:rPr>
                <w:sz w:val="20"/>
                <w:szCs w:val="20"/>
                <w:color w:val="auto"/>
              </w:rPr>
            </w:pPr>
            <w:r>
              <w:rPr>
                <w:rFonts w:ascii="Times New Roman" w:cs="Times New Roman" w:eastAsia="Times New Roman" w:hAnsi="Times New Roman"/>
                <w:sz w:val="19"/>
                <w:szCs w:val="19"/>
                <w:b w:val="1"/>
                <w:bCs w:val="1"/>
                <w:color w:val="231F20"/>
              </w:rPr>
              <w:t>$</w:t>
            </w:r>
          </w:p>
        </w:tc>
        <w:tc>
          <w:tcPr>
            <w:tcW w:w="8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105.3</w:t>
            </w:r>
          </w:p>
        </w:tc>
        <w:tc>
          <w:tcPr>
            <w:tcW w:w="120" w:type="dxa"/>
            <w:vAlign w:val="bottom"/>
            <w:shd w:val="clear" w:color="auto" w:fill="E6E7E8"/>
          </w:tcPr>
          <w:p>
            <w:pPr>
              <w:spacing w:after="0"/>
              <w:rPr>
                <w:sz w:val="19"/>
                <w:szCs w:val="19"/>
                <w:color w:val="auto"/>
              </w:rPr>
            </w:pPr>
          </w:p>
        </w:tc>
        <w:tc>
          <w:tcPr>
            <w:tcW w:w="780" w:type="dxa"/>
            <w:vAlign w:val="bottom"/>
            <w:gridSpan w:val="2"/>
            <w:shd w:val="clear" w:color="auto" w:fill="E6E7E8"/>
          </w:tcPr>
          <w:p>
            <w:pPr>
              <w:jc w:val="right"/>
              <w:ind w:right="465"/>
              <w:spacing w:after="0"/>
              <w:rPr>
                <w:sz w:val="20"/>
                <w:szCs w:val="20"/>
                <w:color w:val="auto"/>
              </w:rPr>
            </w:pPr>
            <w:r>
              <w:rPr>
                <w:rFonts w:ascii="Times New Roman" w:cs="Times New Roman" w:eastAsia="Times New Roman" w:hAnsi="Times New Roman"/>
                <w:sz w:val="19"/>
                <w:szCs w:val="19"/>
                <w:color w:val="231F20"/>
              </w:rPr>
              <w:t>$</w:t>
            </w:r>
          </w:p>
        </w:tc>
        <w:tc>
          <w:tcPr>
            <w:tcW w:w="74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94.2</w:t>
            </w:r>
          </w:p>
        </w:tc>
        <w:tc>
          <w:tcPr>
            <w:tcW w:w="60" w:type="dxa"/>
            <w:vAlign w:val="bottom"/>
            <w:shd w:val="clear" w:color="auto" w:fill="E6E7E8"/>
          </w:tcPr>
          <w:p>
            <w:pPr>
              <w:spacing w:after="0"/>
              <w:rPr>
                <w:sz w:val="19"/>
                <w:szCs w:val="19"/>
                <w:color w:val="auto"/>
              </w:rPr>
            </w:pPr>
          </w:p>
        </w:tc>
      </w:tr>
    </w:tbl>
    <w:p>
      <w:pPr>
        <w:spacing w:after="0" w:line="200" w:lineRule="exact"/>
        <w:rPr>
          <w:sz w:val="20"/>
          <w:szCs w:val="20"/>
          <w:color w:val="auto"/>
        </w:rPr>
      </w:pPr>
    </w:p>
    <w:p>
      <w:pPr>
        <w:sectPr>
          <w:pgSz w:w="12240" w:h="15840" w:orient="portrait"/>
          <w:cols w:equalWidth="0" w:num="1">
            <w:col w:w="10760"/>
          </w:cols>
          <w:pgMar w:left="720" w:top="924" w:right="76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60</w:t>
      </w:r>
    </w:p>
    <w:p>
      <w:pPr>
        <w:sectPr>
          <w:pgSz w:w="12240" w:h="15840" w:orient="portrait"/>
          <w:cols w:equalWidth="0" w:num="1">
            <w:col w:w="10760"/>
          </w:cols>
          <w:pgMar w:left="720" w:top="924" w:right="760" w:bottom="188" w:gutter="0" w:footer="0" w:header="0"/>
          <w:type w:val="continuous"/>
        </w:sectPr>
      </w:pPr>
    </w:p>
    <w:bookmarkStart w:id="80" w:name="page81"/>
    <w:bookmarkEnd w:id="80"/>
    <w:p>
      <w:pPr>
        <w:ind w:right="40" w:firstLine="720"/>
        <w:spacing w:after="0" w:line="244" w:lineRule="auto"/>
        <w:rPr>
          <w:sz w:val="20"/>
          <w:szCs w:val="20"/>
          <w:color w:val="auto"/>
        </w:rPr>
      </w:pPr>
      <w:r>
        <w:rPr>
          <w:rFonts w:ascii="Times New Roman" w:cs="Times New Roman" w:eastAsia="Times New Roman" w:hAnsi="Times New Roman"/>
          <w:sz w:val="21"/>
          <w:szCs w:val="21"/>
          <w:color w:val="231F20"/>
        </w:rPr>
        <w:t>The Credit Facility contains customary terms and conditions for credit facilities of this type, including affirmative and negative covenants. There are restrictions on, among other things, Unitil’s and its subsidiaries’ ability to permit liens or incur indebtedness, and restrictions on Unitil’s ability to merge or consolidate with another entity or change its line of business. The affirmative and negative covenants under the Credit Facility shall apply to Unitil until the Credit Facility terminates and all amounts borrowed under the Credit Facility are paid in full (or with respect to letters of credit, they are cash collateralized). The only financial covenant in the Credit Facility provides that Unitil’s Funded Debt to Capitalization (as each term is defined in the Credit Facility) cannot exceed 65%, tested on a quarterly basis. At December 31, 2025 and December 31, 2024, the Company was in compliance with the covenants contained in the Credit Facility in effect on that date. The Company believes it has sufficient sources of working capital to fund its operations.</w:t>
      </w:r>
    </w:p>
    <w:p>
      <w:pPr>
        <w:spacing w:after="0" w:line="240" w:lineRule="exact"/>
        <w:rPr>
          <w:sz w:val="20"/>
          <w:szCs w:val="20"/>
          <w:color w:val="auto"/>
        </w:rPr>
      </w:pPr>
    </w:p>
    <w:p>
      <w:pPr>
        <w:ind w:right="200" w:firstLine="720"/>
        <w:spacing w:after="0" w:line="279" w:lineRule="auto"/>
        <w:rPr>
          <w:sz w:val="20"/>
          <w:szCs w:val="20"/>
          <w:color w:val="auto"/>
        </w:rPr>
      </w:pPr>
      <w:r>
        <w:rPr>
          <w:rFonts w:ascii="Times New Roman" w:cs="Times New Roman" w:eastAsia="Times New Roman" w:hAnsi="Times New Roman"/>
          <w:sz w:val="21"/>
          <w:szCs w:val="21"/>
          <w:color w:val="231F20"/>
        </w:rPr>
        <w:t>The weighted average interest rates on all short-term borrowings were 5.4%, 6.5%, and 6.4 % during 2025, 2024, and 2023, respectively.</w:t>
      </w:r>
    </w:p>
    <w:p>
      <w:pPr>
        <w:spacing w:after="0" w:line="198" w:lineRule="exact"/>
        <w:rPr>
          <w:sz w:val="20"/>
          <w:szCs w:val="20"/>
          <w:color w:val="auto"/>
        </w:rPr>
      </w:pPr>
    </w:p>
    <w:p>
      <w:pPr>
        <w:ind w:right="60" w:firstLine="619"/>
        <w:spacing w:after="0" w:line="262" w:lineRule="auto"/>
        <w:rPr>
          <w:sz w:val="20"/>
          <w:szCs w:val="20"/>
          <w:color w:val="auto"/>
        </w:rPr>
      </w:pPr>
      <w:r>
        <w:rPr>
          <w:rFonts w:ascii="Times New Roman" w:cs="Times New Roman" w:eastAsia="Times New Roman" w:hAnsi="Times New Roman"/>
          <w:sz w:val="21"/>
          <w:szCs w:val="21"/>
          <w:color w:val="231F20"/>
        </w:rPr>
        <w:t>On October 31, 2025, the Company entered into a senior unsecured delayed-draw term loan facility with The Bank of Nova Scotia. The proceeds of the $86.0 million facility were used to initially fund the acquisition of Maine Natural on October 31, 2025. The facility provides that the Company has an option for determining whether interest on loans under the facility will bear interest based on a Base Rate plus an applicable margin of 0.25% or based on a one month Term SOFR plus a SOFR adjustment of 0.10% plus an applicable margin of 1.25%. The Base Rate is equal to the highest of the (a) Federal Funds Rate plus 0.50%, (b) the rate of interest in effect for such day as publicly announced from time to time by The Bank of Nova Scotia as its "prime rate", or (c) one month Term SOFR plus a SOFR adjustment of 0.10% plus 1.00%. The facility has a maturity date of October 31, 2026.</w:t>
      </w:r>
    </w:p>
    <w:p>
      <w:pPr>
        <w:spacing w:after="0" w:line="234" w:lineRule="exact"/>
        <w:rPr>
          <w:sz w:val="20"/>
          <w:szCs w:val="20"/>
          <w:color w:val="auto"/>
        </w:rPr>
      </w:pPr>
    </w:p>
    <w:p>
      <w:pPr>
        <w:ind w:right="280" w:firstLine="720"/>
        <w:spacing w:after="0" w:line="253" w:lineRule="auto"/>
        <w:rPr>
          <w:sz w:val="20"/>
          <w:szCs w:val="20"/>
          <w:color w:val="auto"/>
        </w:rPr>
      </w:pPr>
      <w:r>
        <w:rPr>
          <w:rFonts w:ascii="Times New Roman" w:cs="Times New Roman" w:eastAsia="Times New Roman" w:hAnsi="Times New Roman"/>
          <w:sz w:val="21"/>
          <w:szCs w:val="21"/>
          <w:color w:val="231F20"/>
        </w:rPr>
        <w:t>Unitil Corporation and its utility subsidiaries, Fitchburg, Unitil Energy, Northern Utilities, and Granite State are currently rated “BBB+” and Bangor is currently rated “BBB” by Standard &amp; Poor’s Ratings Services. Unitil Corporation and Granite State are currently rated “Baa2”, and Fitchburg, Unitil Energy and Northern Utilities are currently rated “Baa1” by Moody’s Investors Services.</w:t>
      </w:r>
    </w:p>
    <w:p>
      <w:pPr>
        <w:spacing w:after="0" w:line="188" w:lineRule="exact"/>
        <w:rPr>
          <w:sz w:val="20"/>
          <w:szCs w:val="20"/>
          <w:color w:val="auto"/>
        </w:rPr>
      </w:pPr>
    </w:p>
    <w:p>
      <w:pPr>
        <w:ind w:right="80" w:firstLine="612"/>
        <w:spacing w:after="0" w:line="246" w:lineRule="auto"/>
        <w:rPr>
          <w:sz w:val="20"/>
          <w:szCs w:val="20"/>
          <w:color w:val="auto"/>
        </w:rPr>
      </w:pPr>
      <w:r>
        <w:rPr>
          <w:rFonts w:ascii="Times New Roman" w:cs="Times New Roman" w:eastAsia="Times New Roman" w:hAnsi="Times New Roman"/>
          <w:sz w:val="21"/>
          <w:szCs w:val="21"/>
          <w:color w:val="231F20"/>
        </w:rPr>
        <w:t>Northern Utilities and Bangor enter into asset management agreements under which Northern Utilities and Bangor release certain natural gas pipeline and storage assets, resell the natural gas storage inventory to an asset manager and subsequently repurchase the inventory over the course of the natural gas heating season at the same price at which it sold the natural gas inventory to the asset manager. There was $9.3 million of natural gas storage inventory and corresponding obligations at December 31, 2025, related to these asset management agreements. The amount of natural gas inventory released in December 2025, which was payable in January 2026, was $3.0 million and was recorded in Accounts Payable at December 31, 2025.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231F20"/>
        </w:rPr>
        <w:t>Contractual Obligations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231F20"/>
        </w:rPr>
        <w:t>The following table lists the Company’s contractual obligations for long-term debt as of December 31, 2025.</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3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Long-Term Debt</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231F20"/>
              </w:rPr>
              <w:t>Payments Due by Period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vMerge w:val="restart"/>
          </w:tcPr>
          <w:p>
            <w:pPr>
              <w:jc w:val="right"/>
              <w:ind w:right="71"/>
              <w:spacing w:after="0"/>
              <w:rPr>
                <w:sz w:val="20"/>
                <w:szCs w:val="20"/>
                <w:color w:val="auto"/>
              </w:rPr>
            </w:pPr>
            <w:r>
              <w:rPr>
                <w:rFonts w:ascii="Times New Roman" w:cs="Times New Roman" w:eastAsia="Times New Roman" w:hAnsi="Times New Roman"/>
                <w:sz w:val="16"/>
                <w:szCs w:val="16"/>
                <w:b w:val="1"/>
                <w:bCs w:val="1"/>
                <w:color w:val="231F20"/>
              </w:rPr>
              <w:t>2031 &amp;</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3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3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Contractual Obligations (millions) as of December 31, 2025</w:t>
            </w:r>
          </w:p>
        </w:tc>
        <w:tc>
          <w:tcPr>
            <w:tcW w:w="120" w:type="dxa"/>
            <w:vAlign w:val="bottom"/>
          </w:tcPr>
          <w:p>
            <w:pPr>
              <w:spacing w:after="0"/>
              <w:rPr>
                <w:sz w:val="18"/>
                <w:szCs w:val="18"/>
                <w:color w:val="auto"/>
              </w:rPr>
            </w:pPr>
          </w:p>
        </w:tc>
        <w:tc>
          <w:tcPr>
            <w:tcW w:w="8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100" w:type="dxa"/>
            <w:vAlign w:val="bottom"/>
          </w:tcPr>
          <w:p>
            <w:pPr>
              <w:spacing w:after="0"/>
              <w:rPr>
                <w:sz w:val="18"/>
                <w:szCs w:val="18"/>
                <w:color w:val="auto"/>
              </w:rPr>
            </w:pPr>
          </w:p>
        </w:tc>
        <w:tc>
          <w:tcPr>
            <w:tcW w:w="520" w:type="dxa"/>
            <w:vAlign w:val="bottom"/>
          </w:tcPr>
          <w:p>
            <w:pPr>
              <w:jc w:val="right"/>
              <w:ind w:right="69"/>
              <w:spacing w:after="0"/>
              <w:rPr>
                <w:sz w:val="20"/>
                <w:szCs w:val="20"/>
                <w:color w:val="auto"/>
              </w:rPr>
            </w:pPr>
            <w:r>
              <w:rPr>
                <w:rFonts w:ascii="Times New Roman" w:cs="Times New Roman" w:eastAsia="Times New Roman" w:hAnsi="Times New Roman"/>
                <w:sz w:val="16"/>
                <w:szCs w:val="16"/>
                <w:b w:val="1"/>
                <w:bCs w:val="1"/>
                <w:color w:val="231F20"/>
              </w:rPr>
              <w:t>2026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69"/>
              <w:spacing w:after="0"/>
              <w:rPr>
                <w:sz w:val="20"/>
                <w:szCs w:val="20"/>
                <w:color w:val="auto"/>
              </w:rPr>
            </w:pPr>
            <w:r>
              <w:rPr>
                <w:rFonts w:ascii="Times New Roman" w:cs="Times New Roman" w:eastAsia="Times New Roman" w:hAnsi="Times New Roman"/>
                <w:sz w:val="16"/>
                <w:szCs w:val="16"/>
                <w:b w:val="1"/>
                <w:bCs w:val="1"/>
                <w:color w:val="231F20"/>
              </w:rPr>
              <w:t>2027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231F20"/>
              </w:rPr>
              <w:t>2028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149"/>
              <w:spacing w:after="0"/>
              <w:rPr>
                <w:sz w:val="20"/>
                <w:szCs w:val="20"/>
                <w:color w:val="auto"/>
              </w:rPr>
            </w:pPr>
            <w:r>
              <w:rPr>
                <w:rFonts w:ascii="Times New Roman" w:cs="Times New Roman" w:eastAsia="Times New Roman" w:hAnsi="Times New Roman"/>
                <w:sz w:val="16"/>
                <w:szCs w:val="16"/>
                <w:b w:val="1"/>
                <w:bCs w:val="1"/>
                <w:color w:val="231F20"/>
              </w:rPr>
              <w:t>2029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49"/>
              <w:spacing w:after="0"/>
              <w:rPr>
                <w:sz w:val="20"/>
                <w:szCs w:val="20"/>
                <w:color w:val="auto"/>
              </w:rPr>
            </w:pPr>
            <w:r>
              <w:rPr>
                <w:rFonts w:ascii="Times New Roman" w:cs="Times New Roman" w:eastAsia="Times New Roman" w:hAnsi="Times New Roman"/>
                <w:sz w:val="16"/>
                <w:szCs w:val="16"/>
                <w:b w:val="1"/>
                <w:bCs w:val="1"/>
                <w:color w:val="231F20"/>
              </w:rPr>
              <w:t>2030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231F20"/>
              </w:rPr>
              <w:t>Beyond</w:t>
            </w:r>
          </w:p>
        </w:tc>
        <w:tc>
          <w:tcPr>
            <w:tcW w:w="0" w:type="dxa"/>
            <w:vAlign w:val="bottom"/>
          </w:tcPr>
          <w:p>
            <w:pPr>
              <w:spacing w:after="0"/>
              <w:rPr>
                <w:sz w:val="1"/>
                <w:szCs w:val="1"/>
                <w:color w:val="auto"/>
              </w:rPr>
            </w:pPr>
          </w:p>
        </w:tc>
      </w:tr>
      <w:tr>
        <w:trPr>
          <w:trHeight w:val="203"/>
        </w:trPr>
        <w:tc>
          <w:tcPr>
            <w:tcW w:w="4040" w:type="dxa"/>
            <w:vAlign w:val="bottom"/>
            <w:tcBorders>
              <w:top w:val="single" w:sz="8" w:color="231F20"/>
            </w:tcBorders>
            <w:shd w:val="clear" w:color="auto" w:fill="E6E7E8"/>
          </w:tcPr>
          <w:p>
            <w:pPr>
              <w:spacing w:after="0" w:line="204" w:lineRule="exact"/>
              <w:rPr>
                <w:sz w:val="20"/>
                <w:szCs w:val="20"/>
                <w:color w:val="auto"/>
              </w:rPr>
            </w:pPr>
            <w:r>
              <w:rPr>
                <w:rFonts w:ascii="Times New Roman" w:cs="Times New Roman" w:eastAsia="Times New Roman" w:hAnsi="Times New Roman"/>
                <w:sz w:val="19"/>
                <w:szCs w:val="19"/>
                <w:color w:val="231F20"/>
              </w:rPr>
              <w:t>Long-Term Debt</w:t>
            </w:r>
          </w:p>
        </w:tc>
        <w:tc>
          <w:tcPr>
            <w:tcW w:w="260" w:type="dxa"/>
            <w:vAlign w:val="bottom"/>
            <w:tcBorders>
              <w:top w:val="single" w:sz="8" w:color="E6E7E8"/>
            </w:tcBorders>
            <w:gridSpan w:val="2"/>
            <w:shd w:val="clear" w:color="auto" w:fill="E6E7E8"/>
          </w:tcPr>
          <w:p>
            <w:pPr>
              <w:spacing w:after="0"/>
              <w:rPr>
                <w:sz w:val="17"/>
                <w:szCs w:val="17"/>
                <w:color w:val="auto"/>
              </w:rPr>
            </w:pPr>
          </w:p>
        </w:tc>
        <w:tc>
          <w:tcPr>
            <w:tcW w:w="12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6E7E8"/>
              </w:rPr>
              <w:t>$</w:t>
            </w:r>
          </w:p>
        </w:tc>
        <w:tc>
          <w:tcPr>
            <w:tcW w:w="64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color w:val="231F20"/>
                <w:shd w:val="clear" w:color="auto" w:fill="E6E7E8"/>
              </w:rPr>
              <w:t>674.3</w:t>
            </w:r>
          </w:p>
        </w:tc>
        <w:tc>
          <w:tcPr>
            <w:tcW w:w="20" w:type="dxa"/>
            <w:vAlign w:val="bottom"/>
            <w:tcBorders>
              <w:top w:val="single" w:sz="8" w:color="231F20"/>
            </w:tcBorders>
          </w:tcPr>
          <w:p>
            <w:pPr>
              <w:spacing w:after="0"/>
              <w:rPr>
                <w:sz w:val="17"/>
                <w:szCs w:val="17"/>
                <w:color w:val="auto"/>
              </w:rPr>
            </w:pPr>
          </w:p>
        </w:tc>
        <w:tc>
          <w:tcPr>
            <w:tcW w:w="180" w:type="dxa"/>
            <w:vAlign w:val="bottom"/>
            <w:tcBorders>
              <w:top w:val="single" w:sz="8" w:color="E6E7E8"/>
            </w:tcBorders>
            <w:shd w:val="clear" w:color="auto" w:fill="E6E7E8"/>
          </w:tcPr>
          <w:p>
            <w:pPr>
              <w:spacing w:after="0"/>
              <w:rPr>
                <w:sz w:val="17"/>
                <w:szCs w:val="17"/>
                <w:color w:val="auto"/>
              </w:rPr>
            </w:pPr>
          </w:p>
        </w:tc>
        <w:tc>
          <w:tcPr>
            <w:tcW w:w="20" w:type="dxa"/>
            <w:vAlign w:val="bottom"/>
            <w:tcBorders>
              <w:top w:val="single" w:sz="8" w:color="E6E7E8"/>
            </w:tcBorders>
            <w:shd w:val="clear" w:color="auto" w:fill="E6E7E8"/>
          </w:tcPr>
          <w:p>
            <w:pPr>
              <w:spacing w:after="0"/>
              <w:rPr>
                <w:sz w:val="17"/>
                <w:szCs w:val="17"/>
                <w:color w:val="auto"/>
              </w:rPr>
            </w:pPr>
          </w:p>
        </w:tc>
        <w:tc>
          <w:tcPr>
            <w:tcW w:w="20" w:type="dxa"/>
            <w:vAlign w:val="bottom"/>
            <w:tcBorders>
              <w:top w:val="single" w:sz="8" w:color="E6E7E8"/>
            </w:tcBorders>
            <w:shd w:val="clear" w:color="auto" w:fill="E6E7E8"/>
          </w:tcPr>
          <w:p>
            <w:pPr>
              <w:spacing w:after="0"/>
              <w:rPr>
                <w:sz w:val="17"/>
                <w:szCs w:val="17"/>
                <w:color w:val="auto"/>
              </w:rPr>
            </w:pPr>
          </w:p>
        </w:tc>
        <w:tc>
          <w:tcPr>
            <w:tcW w:w="10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1"/>
                <w:szCs w:val="11"/>
                <w:color w:val="231F20"/>
                <w:w w:val="71"/>
                <w:shd w:val="clear" w:color="auto" w:fill="E6E7E8"/>
              </w:rPr>
              <w:t>$</w:t>
            </w:r>
          </w:p>
        </w:tc>
        <w:tc>
          <w:tcPr>
            <w:tcW w:w="52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color w:val="231F20"/>
                <w:shd w:val="clear" w:color="auto" w:fill="E6E7E8"/>
              </w:rPr>
              <w:t>37.9</w:t>
            </w:r>
          </w:p>
        </w:tc>
        <w:tc>
          <w:tcPr>
            <w:tcW w:w="220" w:type="dxa"/>
            <w:vAlign w:val="bottom"/>
            <w:tcBorders>
              <w:top w:val="single" w:sz="8" w:color="E6E7E8"/>
            </w:tcBorders>
            <w:shd w:val="clear" w:color="auto" w:fill="E6E7E8"/>
          </w:tcPr>
          <w:p>
            <w:pPr>
              <w:spacing w:after="0"/>
              <w:rPr>
                <w:sz w:val="17"/>
                <w:szCs w:val="17"/>
                <w:color w:val="auto"/>
              </w:rPr>
            </w:pPr>
          </w:p>
        </w:tc>
        <w:tc>
          <w:tcPr>
            <w:tcW w:w="20" w:type="dxa"/>
            <w:vAlign w:val="bottom"/>
            <w:tcBorders>
              <w:top w:val="single" w:sz="8" w:color="E6E7E8"/>
            </w:tcBorders>
            <w:shd w:val="clear" w:color="auto" w:fill="E6E7E8"/>
          </w:tcPr>
          <w:p>
            <w:pPr>
              <w:spacing w:after="0"/>
              <w:rPr>
                <w:sz w:val="17"/>
                <w:szCs w:val="17"/>
                <w:color w:val="auto"/>
              </w:rPr>
            </w:pPr>
          </w:p>
        </w:tc>
        <w:tc>
          <w:tcPr>
            <w:tcW w:w="20" w:type="dxa"/>
            <w:vAlign w:val="bottom"/>
            <w:tcBorders>
              <w:top w:val="single" w:sz="8" w:color="E6E7E8"/>
            </w:tcBorders>
            <w:shd w:val="clear" w:color="auto" w:fill="E6E7E8"/>
          </w:tcPr>
          <w:p>
            <w:pPr>
              <w:spacing w:after="0"/>
              <w:rPr>
                <w:sz w:val="17"/>
                <w:szCs w:val="17"/>
                <w:color w:val="auto"/>
              </w:rPr>
            </w:pPr>
          </w:p>
        </w:tc>
        <w:tc>
          <w:tcPr>
            <w:tcW w:w="8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1"/>
                <w:szCs w:val="11"/>
                <w:color w:val="231F20"/>
                <w:w w:val="71"/>
                <w:shd w:val="clear" w:color="auto" w:fill="E6E7E8"/>
              </w:rPr>
              <w:t>$</w:t>
            </w:r>
          </w:p>
        </w:tc>
        <w:tc>
          <w:tcPr>
            <w:tcW w:w="52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color w:val="231F20"/>
                <w:shd w:val="clear" w:color="auto" w:fill="E6E7E8"/>
              </w:rPr>
              <w:t>55.7</w:t>
            </w:r>
          </w:p>
        </w:tc>
        <w:tc>
          <w:tcPr>
            <w:tcW w:w="220" w:type="dxa"/>
            <w:vAlign w:val="bottom"/>
            <w:tcBorders>
              <w:top w:val="single" w:sz="8" w:color="E6E7E8"/>
            </w:tcBorders>
            <w:shd w:val="clear" w:color="auto" w:fill="E6E7E8"/>
          </w:tcPr>
          <w:p>
            <w:pPr>
              <w:spacing w:after="0"/>
              <w:rPr>
                <w:sz w:val="17"/>
                <w:szCs w:val="17"/>
                <w:color w:val="auto"/>
              </w:rPr>
            </w:pPr>
          </w:p>
        </w:tc>
        <w:tc>
          <w:tcPr>
            <w:tcW w:w="20" w:type="dxa"/>
            <w:vAlign w:val="bottom"/>
            <w:tcBorders>
              <w:top w:val="single" w:sz="8" w:color="E6E7E8"/>
            </w:tcBorders>
            <w:shd w:val="clear" w:color="auto" w:fill="E6E7E8"/>
          </w:tcPr>
          <w:p>
            <w:pPr>
              <w:spacing w:after="0"/>
              <w:rPr>
                <w:sz w:val="17"/>
                <w:szCs w:val="17"/>
                <w:color w:val="auto"/>
              </w:rPr>
            </w:pPr>
          </w:p>
        </w:tc>
        <w:tc>
          <w:tcPr>
            <w:tcW w:w="20" w:type="dxa"/>
            <w:vAlign w:val="bottom"/>
            <w:tcBorders>
              <w:top w:val="single" w:sz="8" w:color="E6E7E8"/>
            </w:tcBorders>
            <w:shd w:val="clear" w:color="auto" w:fill="E6E7E8"/>
          </w:tcPr>
          <w:p>
            <w:pPr>
              <w:spacing w:after="0"/>
              <w:rPr>
                <w:sz w:val="17"/>
                <w:szCs w:val="17"/>
                <w:color w:val="auto"/>
              </w:rPr>
            </w:pPr>
          </w:p>
        </w:tc>
        <w:tc>
          <w:tcPr>
            <w:tcW w:w="8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1"/>
                <w:szCs w:val="11"/>
                <w:color w:val="231F20"/>
                <w:w w:val="71"/>
                <w:shd w:val="clear" w:color="auto" w:fill="E6E7E8"/>
              </w:rPr>
              <w:t>$</w:t>
            </w:r>
          </w:p>
        </w:tc>
        <w:tc>
          <w:tcPr>
            <w:tcW w:w="58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color w:val="231F20"/>
                <w:shd w:val="clear" w:color="auto" w:fill="E6E7E8"/>
              </w:rPr>
              <w:t>10.7</w:t>
            </w:r>
          </w:p>
        </w:tc>
        <w:tc>
          <w:tcPr>
            <w:tcW w:w="220" w:type="dxa"/>
            <w:vAlign w:val="bottom"/>
            <w:tcBorders>
              <w:top w:val="single" w:sz="8" w:color="E6E7E8"/>
            </w:tcBorders>
            <w:shd w:val="clear" w:color="auto" w:fill="E6E7E8"/>
          </w:tcPr>
          <w:p>
            <w:pPr>
              <w:spacing w:after="0"/>
              <w:rPr>
                <w:sz w:val="17"/>
                <w:szCs w:val="17"/>
                <w:color w:val="auto"/>
              </w:rPr>
            </w:pPr>
          </w:p>
        </w:tc>
        <w:tc>
          <w:tcPr>
            <w:tcW w:w="20" w:type="dxa"/>
            <w:vAlign w:val="bottom"/>
            <w:tcBorders>
              <w:top w:val="single" w:sz="8" w:color="E6E7E8"/>
            </w:tcBorders>
            <w:shd w:val="clear" w:color="auto" w:fill="E6E7E8"/>
          </w:tcPr>
          <w:p>
            <w:pPr>
              <w:spacing w:after="0"/>
              <w:rPr>
                <w:sz w:val="17"/>
                <w:szCs w:val="17"/>
                <w:color w:val="auto"/>
              </w:rPr>
            </w:pPr>
          </w:p>
        </w:tc>
        <w:tc>
          <w:tcPr>
            <w:tcW w:w="20" w:type="dxa"/>
            <w:vAlign w:val="bottom"/>
            <w:tcBorders>
              <w:top w:val="single" w:sz="8" w:color="E6E7E8"/>
            </w:tcBorders>
            <w:shd w:val="clear" w:color="auto" w:fill="E6E7E8"/>
          </w:tcPr>
          <w:p>
            <w:pPr>
              <w:spacing w:after="0"/>
              <w:rPr>
                <w:sz w:val="17"/>
                <w:szCs w:val="17"/>
                <w:color w:val="auto"/>
              </w:rPr>
            </w:pPr>
          </w:p>
        </w:tc>
        <w:tc>
          <w:tcPr>
            <w:tcW w:w="120" w:type="dxa"/>
            <w:vAlign w:val="bottom"/>
            <w:tcBorders>
              <w:top w:val="single" w:sz="8" w:color="231F20"/>
            </w:tcBorders>
            <w:shd w:val="clear" w:color="auto" w:fill="E6E7E8"/>
          </w:tcPr>
          <w:p>
            <w:pPr>
              <w:jc w:val="right"/>
              <w:ind w:right="7"/>
              <w:spacing w:after="0"/>
              <w:rPr>
                <w:sz w:val="20"/>
                <w:szCs w:val="20"/>
                <w:color w:val="auto"/>
              </w:rPr>
            </w:pPr>
            <w:r>
              <w:rPr>
                <w:rFonts w:ascii="Times New Roman" w:cs="Times New Roman" w:eastAsia="Times New Roman" w:hAnsi="Times New Roman"/>
                <w:sz w:val="11"/>
                <w:szCs w:val="11"/>
                <w:color w:val="231F20"/>
                <w:w w:val="71"/>
              </w:rPr>
              <w:t>$</w:t>
            </w:r>
          </w:p>
        </w:tc>
        <w:tc>
          <w:tcPr>
            <w:tcW w:w="64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color w:val="231F20"/>
              </w:rPr>
              <w:t>43.7</w:t>
            </w:r>
          </w:p>
        </w:tc>
        <w:tc>
          <w:tcPr>
            <w:tcW w:w="220" w:type="dxa"/>
            <w:vAlign w:val="bottom"/>
            <w:tcBorders>
              <w:top w:val="single" w:sz="8" w:color="E6E7E8"/>
            </w:tcBorders>
            <w:shd w:val="clear" w:color="auto" w:fill="E6E7E8"/>
          </w:tcPr>
          <w:p>
            <w:pPr>
              <w:spacing w:after="0"/>
              <w:rPr>
                <w:sz w:val="17"/>
                <w:szCs w:val="17"/>
                <w:color w:val="auto"/>
              </w:rPr>
            </w:pPr>
          </w:p>
        </w:tc>
        <w:tc>
          <w:tcPr>
            <w:tcW w:w="20" w:type="dxa"/>
            <w:vAlign w:val="bottom"/>
            <w:tcBorders>
              <w:top w:val="single" w:sz="8" w:color="E6E7E8"/>
            </w:tcBorders>
            <w:shd w:val="clear" w:color="auto" w:fill="E6E7E8"/>
          </w:tcPr>
          <w:p>
            <w:pPr>
              <w:spacing w:after="0"/>
              <w:rPr>
                <w:sz w:val="17"/>
                <w:szCs w:val="17"/>
                <w:color w:val="auto"/>
              </w:rPr>
            </w:pPr>
          </w:p>
        </w:tc>
        <w:tc>
          <w:tcPr>
            <w:tcW w:w="140" w:type="dxa"/>
            <w:vAlign w:val="bottom"/>
            <w:tcBorders>
              <w:top w:val="single" w:sz="8" w:color="231F20"/>
            </w:tcBorders>
            <w:shd w:val="clear" w:color="auto" w:fill="E6E7E8"/>
          </w:tcPr>
          <w:p>
            <w:pPr>
              <w:jc w:val="right"/>
              <w:ind w:right="27"/>
              <w:spacing w:after="0"/>
              <w:rPr>
                <w:sz w:val="20"/>
                <w:szCs w:val="20"/>
                <w:color w:val="auto"/>
              </w:rPr>
            </w:pPr>
            <w:r>
              <w:rPr>
                <w:rFonts w:ascii="Times New Roman" w:cs="Times New Roman" w:eastAsia="Times New Roman" w:hAnsi="Times New Roman"/>
                <w:sz w:val="11"/>
                <w:szCs w:val="11"/>
                <w:color w:val="231F20"/>
                <w:w w:val="71"/>
              </w:rPr>
              <w:t>$</w:t>
            </w:r>
          </w:p>
        </w:tc>
        <w:tc>
          <w:tcPr>
            <w:tcW w:w="62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color w:val="231F20"/>
              </w:rPr>
              <w:t>26.5</w:t>
            </w:r>
          </w:p>
        </w:tc>
        <w:tc>
          <w:tcPr>
            <w:tcW w:w="220" w:type="dxa"/>
            <w:vAlign w:val="bottom"/>
            <w:tcBorders>
              <w:top w:val="single" w:sz="8" w:color="E6E7E8"/>
            </w:tcBorders>
            <w:shd w:val="clear" w:color="auto" w:fill="E6E7E8"/>
          </w:tcPr>
          <w:p>
            <w:pPr>
              <w:spacing w:after="0"/>
              <w:rPr>
                <w:sz w:val="17"/>
                <w:szCs w:val="17"/>
                <w:color w:val="auto"/>
              </w:rPr>
            </w:pPr>
          </w:p>
        </w:tc>
        <w:tc>
          <w:tcPr>
            <w:tcW w:w="20" w:type="dxa"/>
            <w:vAlign w:val="bottom"/>
            <w:tcBorders>
              <w:top w:val="single" w:sz="8" w:color="E6E7E8"/>
            </w:tcBorders>
            <w:shd w:val="clear" w:color="auto" w:fill="E6E7E8"/>
          </w:tcPr>
          <w:p>
            <w:pPr>
              <w:spacing w:after="0"/>
              <w:rPr>
                <w:sz w:val="17"/>
                <w:szCs w:val="17"/>
                <w:color w:val="auto"/>
              </w:rPr>
            </w:pPr>
          </w:p>
        </w:tc>
        <w:tc>
          <w:tcPr>
            <w:tcW w:w="20" w:type="dxa"/>
            <w:vAlign w:val="bottom"/>
            <w:tcBorders>
              <w:top w:val="single" w:sz="8" w:color="E6E7E8"/>
            </w:tcBorders>
            <w:shd w:val="clear" w:color="auto" w:fill="E6E7E8"/>
          </w:tcPr>
          <w:p>
            <w:pPr>
              <w:spacing w:after="0"/>
              <w:rPr>
                <w:sz w:val="17"/>
                <w:szCs w:val="17"/>
                <w:color w:val="auto"/>
              </w:rPr>
            </w:pPr>
          </w:p>
        </w:tc>
        <w:tc>
          <w:tcPr>
            <w:tcW w:w="8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1"/>
                <w:szCs w:val="11"/>
                <w:color w:val="231F20"/>
                <w:w w:val="71"/>
                <w:shd w:val="clear" w:color="auto" w:fill="E6E7E8"/>
              </w:rPr>
              <w:t>$</w:t>
            </w:r>
          </w:p>
        </w:tc>
        <w:tc>
          <w:tcPr>
            <w:tcW w:w="68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color w:val="231F20"/>
                <w:shd w:val="clear" w:color="auto" w:fill="E6E7E8"/>
              </w:rPr>
              <w:t>499.8</w:t>
            </w:r>
          </w:p>
        </w:tc>
        <w:tc>
          <w:tcPr>
            <w:tcW w:w="60" w:type="dxa"/>
            <w:vAlign w:val="bottom"/>
            <w:tcBorders>
              <w:top w:val="single" w:sz="8" w:color="E6E7E8"/>
            </w:tcBorders>
            <w:shd w:val="clear" w:color="auto" w:fill="E6E7E8"/>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300" w:type="dxa"/>
            <w:vAlign w:val="bottom"/>
            <w:tcBorders>
              <w:bottom w:val="single" w:sz="8" w:color="E6E7E8"/>
            </w:tcBorders>
            <w:gridSpan w:val="3"/>
          </w:tcPr>
          <w:p>
            <w:pPr>
              <w:spacing w:after="0"/>
              <w:rPr>
                <w:sz w:val="20"/>
                <w:szCs w:val="20"/>
                <w:color w:val="auto"/>
              </w:rPr>
            </w:pPr>
            <w:r>
              <w:rPr>
                <w:rFonts w:ascii="Times New Roman" w:cs="Times New Roman" w:eastAsia="Times New Roman" w:hAnsi="Times New Roman"/>
                <w:sz w:val="19"/>
                <w:szCs w:val="19"/>
                <w:color w:val="231F20"/>
              </w:rPr>
              <w:t>Interest on Long-Term Debt</w:t>
            </w:r>
          </w:p>
        </w:tc>
        <w:tc>
          <w:tcPr>
            <w:tcW w:w="120" w:type="dxa"/>
            <w:vAlign w:val="bottom"/>
            <w:tcBorders>
              <w:bottom w:val="single" w:sz="8" w:color="231F20"/>
            </w:tcBorders>
          </w:tcPr>
          <w:p>
            <w:pPr>
              <w:spacing w:after="0"/>
              <w:rPr>
                <w:sz w:val="19"/>
                <w:szCs w:val="19"/>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435.2</w:t>
            </w:r>
          </w:p>
        </w:tc>
        <w:tc>
          <w:tcPr>
            <w:tcW w:w="20" w:type="dxa"/>
            <w:vAlign w:val="bottom"/>
          </w:tcPr>
          <w:p>
            <w:pPr>
              <w:spacing w:after="0"/>
              <w:rPr>
                <w:sz w:val="19"/>
                <w:szCs w:val="19"/>
                <w:color w:val="auto"/>
              </w:rPr>
            </w:pPr>
          </w:p>
        </w:tc>
        <w:tc>
          <w:tcPr>
            <w:tcW w:w="180" w:type="dxa"/>
            <w:vAlign w:val="bottom"/>
            <w:tcBorders>
              <w:bottom w:val="single" w:sz="8" w:color="E6E7E8"/>
            </w:tcBorders>
          </w:tcPr>
          <w:p>
            <w:pPr>
              <w:spacing w:after="0"/>
              <w:rPr>
                <w:sz w:val="19"/>
                <w:szCs w:val="19"/>
                <w:color w:val="auto"/>
              </w:rPr>
            </w:pPr>
          </w:p>
        </w:tc>
        <w:tc>
          <w:tcPr>
            <w:tcW w:w="20" w:type="dxa"/>
            <w:vAlign w:val="bottom"/>
            <w:tcBorders>
              <w:bottom w:val="single" w:sz="8" w:color="E6E7E8"/>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5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33.7</w:t>
            </w:r>
          </w:p>
        </w:tc>
        <w:tc>
          <w:tcPr>
            <w:tcW w:w="220" w:type="dxa"/>
            <w:vAlign w:val="bottom"/>
            <w:tcBorders>
              <w:bottom w:val="single" w:sz="8" w:color="E6E7E8"/>
            </w:tcBorders>
          </w:tcPr>
          <w:p>
            <w:pPr>
              <w:spacing w:after="0"/>
              <w:rPr>
                <w:sz w:val="19"/>
                <w:szCs w:val="19"/>
                <w:color w:val="auto"/>
              </w:rPr>
            </w:pPr>
          </w:p>
        </w:tc>
        <w:tc>
          <w:tcPr>
            <w:tcW w:w="20" w:type="dxa"/>
            <w:vAlign w:val="bottom"/>
            <w:tcBorders>
              <w:bottom w:val="single" w:sz="8" w:color="E6E7E8"/>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80" w:type="dxa"/>
            <w:vAlign w:val="bottom"/>
            <w:tcBorders>
              <w:bottom w:val="single" w:sz="8" w:color="231F20"/>
            </w:tcBorders>
          </w:tcPr>
          <w:p>
            <w:pPr>
              <w:spacing w:after="0"/>
              <w:rPr>
                <w:sz w:val="19"/>
                <w:szCs w:val="19"/>
                <w:color w:val="auto"/>
              </w:rPr>
            </w:pPr>
          </w:p>
        </w:tc>
        <w:tc>
          <w:tcPr>
            <w:tcW w:w="5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31.9</w:t>
            </w:r>
          </w:p>
        </w:tc>
        <w:tc>
          <w:tcPr>
            <w:tcW w:w="220" w:type="dxa"/>
            <w:vAlign w:val="bottom"/>
            <w:tcBorders>
              <w:bottom w:val="single" w:sz="8" w:color="E6E7E8"/>
            </w:tcBorders>
          </w:tcPr>
          <w:p>
            <w:pPr>
              <w:spacing w:after="0"/>
              <w:rPr>
                <w:sz w:val="19"/>
                <w:szCs w:val="19"/>
                <w:color w:val="auto"/>
              </w:rPr>
            </w:pPr>
          </w:p>
        </w:tc>
        <w:tc>
          <w:tcPr>
            <w:tcW w:w="20" w:type="dxa"/>
            <w:vAlign w:val="bottom"/>
            <w:tcBorders>
              <w:bottom w:val="single" w:sz="8" w:color="E6E7E8"/>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80" w:type="dxa"/>
            <w:vAlign w:val="bottom"/>
            <w:tcBorders>
              <w:bottom w:val="single" w:sz="8" w:color="231F20"/>
            </w:tcBorders>
          </w:tcPr>
          <w:p>
            <w:pPr>
              <w:spacing w:after="0"/>
              <w:rPr>
                <w:sz w:val="19"/>
                <w:szCs w:val="19"/>
                <w:color w:val="auto"/>
              </w:rPr>
            </w:pP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29.6</w:t>
            </w:r>
          </w:p>
        </w:tc>
        <w:tc>
          <w:tcPr>
            <w:tcW w:w="220" w:type="dxa"/>
            <w:vAlign w:val="bottom"/>
            <w:tcBorders>
              <w:bottom w:val="single" w:sz="8" w:color="E6E7E8"/>
            </w:tcBorders>
          </w:tcPr>
          <w:p>
            <w:pPr>
              <w:spacing w:after="0"/>
              <w:rPr>
                <w:sz w:val="19"/>
                <w:szCs w:val="19"/>
                <w:color w:val="auto"/>
              </w:rPr>
            </w:pPr>
          </w:p>
        </w:tc>
        <w:tc>
          <w:tcPr>
            <w:tcW w:w="20" w:type="dxa"/>
            <w:vAlign w:val="bottom"/>
            <w:tcBorders>
              <w:bottom w:val="single" w:sz="8" w:color="E6E7E8"/>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28.9</w:t>
            </w:r>
          </w:p>
        </w:tc>
        <w:tc>
          <w:tcPr>
            <w:tcW w:w="220" w:type="dxa"/>
            <w:vAlign w:val="bottom"/>
            <w:tcBorders>
              <w:bottom w:val="single" w:sz="8" w:color="E6E7E8"/>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26.9</w:t>
            </w:r>
          </w:p>
        </w:tc>
        <w:tc>
          <w:tcPr>
            <w:tcW w:w="220" w:type="dxa"/>
            <w:vAlign w:val="bottom"/>
            <w:tcBorders>
              <w:bottom w:val="single" w:sz="8" w:color="E6E7E8"/>
            </w:tcBorders>
          </w:tcPr>
          <w:p>
            <w:pPr>
              <w:spacing w:after="0"/>
              <w:rPr>
                <w:sz w:val="19"/>
                <w:szCs w:val="19"/>
                <w:color w:val="auto"/>
              </w:rPr>
            </w:pPr>
          </w:p>
        </w:tc>
        <w:tc>
          <w:tcPr>
            <w:tcW w:w="20" w:type="dxa"/>
            <w:vAlign w:val="bottom"/>
            <w:tcBorders>
              <w:bottom w:val="single" w:sz="8" w:color="E6E7E8"/>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80" w:type="dxa"/>
            <w:vAlign w:val="bottom"/>
            <w:tcBorders>
              <w:bottom w:val="single" w:sz="8" w:color="231F20"/>
            </w:tcBorders>
          </w:tcPr>
          <w:p>
            <w:pPr>
              <w:spacing w:after="0"/>
              <w:rPr>
                <w:sz w:val="19"/>
                <w:szCs w:val="19"/>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284.2</w:t>
            </w:r>
          </w:p>
        </w:tc>
        <w:tc>
          <w:tcPr>
            <w:tcW w:w="60" w:type="dxa"/>
            <w:vAlign w:val="bottom"/>
            <w:tcBorders>
              <w:bottom w:val="single" w:sz="8" w:color="E6E7E8"/>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00" w:type="dxa"/>
            <w:vAlign w:val="bottom"/>
            <w:gridSpan w:val="3"/>
            <w:shd w:val="clear" w:color="auto" w:fill="E6E7E8"/>
          </w:tcPr>
          <w:p>
            <w:pPr>
              <w:ind w:left="200"/>
              <w:spacing w:after="0" w:line="214" w:lineRule="exact"/>
              <w:rPr>
                <w:sz w:val="20"/>
                <w:szCs w:val="20"/>
                <w:color w:val="auto"/>
              </w:rPr>
            </w:pPr>
            <w:r>
              <w:rPr>
                <w:rFonts w:ascii="Times New Roman" w:cs="Times New Roman" w:eastAsia="Times New Roman" w:hAnsi="Times New Roman"/>
                <w:sz w:val="19"/>
                <w:szCs w:val="19"/>
                <w:color w:val="231F20"/>
              </w:rPr>
              <w:t>Total</w:t>
            </w:r>
          </w:p>
        </w:tc>
        <w:tc>
          <w:tcPr>
            <w:tcW w:w="1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6E7E8"/>
              </w:rPr>
              <w:t>$</w:t>
            </w:r>
          </w:p>
        </w:tc>
        <w:tc>
          <w:tcPr>
            <w:tcW w:w="640" w:type="dxa"/>
            <w:vAlign w:val="bottom"/>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shd w:val="clear" w:color="auto" w:fill="E6E7E8"/>
              </w:rPr>
              <w:t>1,109.5</w:t>
            </w:r>
          </w:p>
        </w:tc>
        <w:tc>
          <w:tcPr>
            <w:tcW w:w="20" w:type="dxa"/>
            <w:vAlign w:val="bottom"/>
          </w:tcPr>
          <w:p>
            <w:pPr>
              <w:spacing w:after="0"/>
              <w:rPr>
                <w:sz w:val="18"/>
                <w:szCs w:val="18"/>
                <w:color w:val="auto"/>
              </w:rPr>
            </w:pPr>
          </w:p>
        </w:tc>
        <w:tc>
          <w:tcPr>
            <w:tcW w:w="180" w:type="dxa"/>
            <w:vAlign w:val="bottom"/>
            <w:shd w:val="clear" w:color="auto" w:fill="E6E7E8"/>
          </w:tcPr>
          <w:p>
            <w:pPr>
              <w:spacing w:after="0"/>
              <w:rPr>
                <w:sz w:val="18"/>
                <w:szCs w:val="18"/>
                <w:color w:val="auto"/>
              </w:rPr>
            </w:pPr>
          </w:p>
        </w:tc>
        <w:tc>
          <w:tcPr>
            <w:tcW w:w="20" w:type="dxa"/>
            <w:vAlign w:val="bottom"/>
            <w:shd w:val="clear" w:color="auto" w:fill="E6E7E8"/>
          </w:tcPr>
          <w:p>
            <w:pPr>
              <w:spacing w:after="0"/>
              <w:rPr>
                <w:sz w:val="18"/>
                <w:szCs w:val="18"/>
                <w:color w:val="auto"/>
              </w:rPr>
            </w:pPr>
          </w:p>
        </w:tc>
        <w:tc>
          <w:tcPr>
            <w:tcW w:w="20" w:type="dxa"/>
            <w:vAlign w:val="bottom"/>
            <w:shd w:val="clear" w:color="auto" w:fill="E6E7E8"/>
          </w:tcPr>
          <w:p>
            <w:pPr>
              <w:spacing w:after="0"/>
              <w:rPr>
                <w:sz w:val="18"/>
                <w:szCs w:val="18"/>
                <w:color w:val="auto"/>
              </w:rPr>
            </w:pPr>
          </w:p>
        </w:tc>
        <w:tc>
          <w:tcPr>
            <w:tcW w:w="1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1"/>
                <w:szCs w:val="11"/>
                <w:color w:val="231F20"/>
                <w:w w:val="71"/>
                <w:shd w:val="clear" w:color="auto" w:fill="E6E7E8"/>
              </w:rPr>
              <w:t>$</w:t>
            </w:r>
          </w:p>
        </w:tc>
        <w:tc>
          <w:tcPr>
            <w:tcW w:w="520" w:type="dxa"/>
            <w:vAlign w:val="bottom"/>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shd w:val="clear" w:color="auto" w:fill="E6E7E8"/>
              </w:rPr>
              <w:t>71.6</w:t>
            </w:r>
          </w:p>
        </w:tc>
        <w:tc>
          <w:tcPr>
            <w:tcW w:w="220" w:type="dxa"/>
            <w:vAlign w:val="bottom"/>
            <w:shd w:val="clear" w:color="auto" w:fill="E6E7E8"/>
          </w:tcPr>
          <w:p>
            <w:pPr>
              <w:spacing w:after="0"/>
              <w:rPr>
                <w:sz w:val="18"/>
                <w:szCs w:val="18"/>
                <w:color w:val="auto"/>
              </w:rPr>
            </w:pPr>
          </w:p>
        </w:tc>
        <w:tc>
          <w:tcPr>
            <w:tcW w:w="20" w:type="dxa"/>
            <w:vAlign w:val="bottom"/>
            <w:shd w:val="clear" w:color="auto" w:fill="E6E7E8"/>
          </w:tcPr>
          <w:p>
            <w:pPr>
              <w:spacing w:after="0"/>
              <w:rPr>
                <w:sz w:val="18"/>
                <w:szCs w:val="18"/>
                <w:color w:val="auto"/>
              </w:rPr>
            </w:pPr>
          </w:p>
        </w:tc>
        <w:tc>
          <w:tcPr>
            <w:tcW w:w="20" w:type="dxa"/>
            <w:vAlign w:val="bottom"/>
            <w:shd w:val="clear" w:color="auto" w:fill="E6E7E8"/>
          </w:tcPr>
          <w:p>
            <w:pPr>
              <w:spacing w:after="0"/>
              <w:rPr>
                <w:sz w:val="18"/>
                <w:szCs w:val="18"/>
                <w:color w:val="auto"/>
              </w:rPr>
            </w:pPr>
          </w:p>
        </w:tc>
        <w:tc>
          <w:tcPr>
            <w:tcW w:w="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1"/>
                <w:szCs w:val="11"/>
                <w:color w:val="231F20"/>
                <w:w w:val="71"/>
                <w:shd w:val="clear" w:color="auto" w:fill="E6E7E8"/>
              </w:rPr>
              <w:t>$</w:t>
            </w:r>
          </w:p>
        </w:tc>
        <w:tc>
          <w:tcPr>
            <w:tcW w:w="520" w:type="dxa"/>
            <w:vAlign w:val="bottom"/>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shd w:val="clear" w:color="auto" w:fill="E6E7E8"/>
              </w:rPr>
              <w:t>87.6</w:t>
            </w:r>
          </w:p>
        </w:tc>
        <w:tc>
          <w:tcPr>
            <w:tcW w:w="220" w:type="dxa"/>
            <w:vAlign w:val="bottom"/>
            <w:shd w:val="clear" w:color="auto" w:fill="E6E7E8"/>
          </w:tcPr>
          <w:p>
            <w:pPr>
              <w:spacing w:after="0"/>
              <w:rPr>
                <w:sz w:val="18"/>
                <w:szCs w:val="18"/>
                <w:color w:val="auto"/>
              </w:rPr>
            </w:pPr>
          </w:p>
        </w:tc>
        <w:tc>
          <w:tcPr>
            <w:tcW w:w="20" w:type="dxa"/>
            <w:vAlign w:val="bottom"/>
            <w:shd w:val="clear" w:color="auto" w:fill="E6E7E8"/>
          </w:tcPr>
          <w:p>
            <w:pPr>
              <w:spacing w:after="0"/>
              <w:rPr>
                <w:sz w:val="18"/>
                <w:szCs w:val="18"/>
                <w:color w:val="auto"/>
              </w:rPr>
            </w:pPr>
          </w:p>
        </w:tc>
        <w:tc>
          <w:tcPr>
            <w:tcW w:w="20" w:type="dxa"/>
            <w:vAlign w:val="bottom"/>
            <w:shd w:val="clear" w:color="auto" w:fill="E6E7E8"/>
          </w:tcPr>
          <w:p>
            <w:pPr>
              <w:spacing w:after="0"/>
              <w:rPr>
                <w:sz w:val="18"/>
                <w:szCs w:val="18"/>
                <w:color w:val="auto"/>
              </w:rPr>
            </w:pPr>
          </w:p>
        </w:tc>
        <w:tc>
          <w:tcPr>
            <w:tcW w:w="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1"/>
                <w:szCs w:val="11"/>
                <w:color w:val="231F20"/>
                <w:w w:val="71"/>
                <w:shd w:val="clear" w:color="auto" w:fill="E6E7E8"/>
              </w:rPr>
              <w:t>$</w:t>
            </w:r>
          </w:p>
        </w:tc>
        <w:tc>
          <w:tcPr>
            <w:tcW w:w="580" w:type="dxa"/>
            <w:vAlign w:val="bottom"/>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shd w:val="clear" w:color="auto" w:fill="E6E7E8"/>
              </w:rPr>
              <w:t>40.3</w:t>
            </w:r>
          </w:p>
        </w:tc>
        <w:tc>
          <w:tcPr>
            <w:tcW w:w="220" w:type="dxa"/>
            <w:vAlign w:val="bottom"/>
            <w:shd w:val="clear" w:color="auto" w:fill="E6E7E8"/>
          </w:tcPr>
          <w:p>
            <w:pPr>
              <w:spacing w:after="0"/>
              <w:rPr>
                <w:sz w:val="18"/>
                <w:szCs w:val="18"/>
                <w:color w:val="auto"/>
              </w:rPr>
            </w:pPr>
          </w:p>
        </w:tc>
        <w:tc>
          <w:tcPr>
            <w:tcW w:w="20" w:type="dxa"/>
            <w:vAlign w:val="bottom"/>
            <w:shd w:val="clear" w:color="auto" w:fill="E6E7E8"/>
          </w:tcPr>
          <w:p>
            <w:pPr>
              <w:spacing w:after="0"/>
              <w:rPr>
                <w:sz w:val="18"/>
                <w:szCs w:val="18"/>
                <w:color w:val="auto"/>
              </w:rPr>
            </w:pPr>
          </w:p>
        </w:tc>
        <w:tc>
          <w:tcPr>
            <w:tcW w:w="20" w:type="dxa"/>
            <w:vAlign w:val="bottom"/>
            <w:shd w:val="clear" w:color="auto" w:fill="E6E7E8"/>
          </w:tcPr>
          <w:p>
            <w:pPr>
              <w:spacing w:after="0"/>
              <w:rPr>
                <w:sz w:val="18"/>
                <w:szCs w:val="18"/>
                <w:color w:val="auto"/>
              </w:rPr>
            </w:pPr>
          </w:p>
        </w:tc>
        <w:tc>
          <w:tcPr>
            <w:tcW w:w="120" w:type="dxa"/>
            <w:vAlign w:val="bottom"/>
            <w:shd w:val="clear" w:color="auto" w:fill="E6E7E8"/>
          </w:tcPr>
          <w:p>
            <w:pPr>
              <w:jc w:val="right"/>
              <w:ind w:right="7"/>
              <w:spacing w:after="0"/>
              <w:rPr>
                <w:sz w:val="20"/>
                <w:szCs w:val="20"/>
                <w:color w:val="auto"/>
              </w:rPr>
            </w:pPr>
            <w:r>
              <w:rPr>
                <w:rFonts w:ascii="Times New Roman" w:cs="Times New Roman" w:eastAsia="Times New Roman" w:hAnsi="Times New Roman"/>
                <w:sz w:val="11"/>
                <w:szCs w:val="11"/>
                <w:color w:val="231F20"/>
                <w:w w:val="71"/>
              </w:rPr>
              <w:t>$</w:t>
            </w:r>
          </w:p>
        </w:tc>
        <w:tc>
          <w:tcPr>
            <w:tcW w:w="640" w:type="dxa"/>
            <w:vAlign w:val="bottom"/>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72.6</w:t>
            </w:r>
          </w:p>
        </w:tc>
        <w:tc>
          <w:tcPr>
            <w:tcW w:w="220" w:type="dxa"/>
            <w:vAlign w:val="bottom"/>
            <w:shd w:val="clear" w:color="auto" w:fill="E6E7E8"/>
          </w:tcPr>
          <w:p>
            <w:pPr>
              <w:spacing w:after="0"/>
              <w:rPr>
                <w:sz w:val="18"/>
                <w:szCs w:val="18"/>
                <w:color w:val="auto"/>
              </w:rPr>
            </w:pPr>
          </w:p>
        </w:tc>
        <w:tc>
          <w:tcPr>
            <w:tcW w:w="20" w:type="dxa"/>
            <w:vAlign w:val="bottom"/>
            <w:shd w:val="clear" w:color="auto" w:fill="E6E7E8"/>
          </w:tcPr>
          <w:p>
            <w:pPr>
              <w:spacing w:after="0"/>
              <w:rPr>
                <w:sz w:val="18"/>
                <w:szCs w:val="18"/>
                <w:color w:val="auto"/>
              </w:rPr>
            </w:pPr>
          </w:p>
        </w:tc>
        <w:tc>
          <w:tcPr>
            <w:tcW w:w="140" w:type="dxa"/>
            <w:vAlign w:val="bottom"/>
            <w:shd w:val="clear" w:color="auto" w:fill="E6E7E8"/>
          </w:tcPr>
          <w:p>
            <w:pPr>
              <w:jc w:val="right"/>
              <w:ind w:right="27"/>
              <w:spacing w:after="0"/>
              <w:rPr>
                <w:sz w:val="20"/>
                <w:szCs w:val="20"/>
                <w:color w:val="auto"/>
              </w:rPr>
            </w:pPr>
            <w:r>
              <w:rPr>
                <w:rFonts w:ascii="Times New Roman" w:cs="Times New Roman" w:eastAsia="Times New Roman" w:hAnsi="Times New Roman"/>
                <w:sz w:val="11"/>
                <w:szCs w:val="11"/>
                <w:color w:val="231F20"/>
                <w:w w:val="71"/>
              </w:rPr>
              <w:t>$</w:t>
            </w:r>
          </w:p>
        </w:tc>
        <w:tc>
          <w:tcPr>
            <w:tcW w:w="620" w:type="dxa"/>
            <w:vAlign w:val="bottom"/>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53.4</w:t>
            </w:r>
          </w:p>
        </w:tc>
        <w:tc>
          <w:tcPr>
            <w:tcW w:w="220" w:type="dxa"/>
            <w:vAlign w:val="bottom"/>
            <w:shd w:val="clear" w:color="auto" w:fill="E6E7E8"/>
          </w:tcPr>
          <w:p>
            <w:pPr>
              <w:spacing w:after="0"/>
              <w:rPr>
                <w:sz w:val="18"/>
                <w:szCs w:val="18"/>
                <w:color w:val="auto"/>
              </w:rPr>
            </w:pPr>
          </w:p>
        </w:tc>
        <w:tc>
          <w:tcPr>
            <w:tcW w:w="20" w:type="dxa"/>
            <w:vAlign w:val="bottom"/>
            <w:shd w:val="clear" w:color="auto" w:fill="E6E7E8"/>
          </w:tcPr>
          <w:p>
            <w:pPr>
              <w:spacing w:after="0"/>
              <w:rPr>
                <w:sz w:val="18"/>
                <w:szCs w:val="18"/>
                <w:color w:val="auto"/>
              </w:rPr>
            </w:pPr>
          </w:p>
        </w:tc>
        <w:tc>
          <w:tcPr>
            <w:tcW w:w="20" w:type="dxa"/>
            <w:vAlign w:val="bottom"/>
            <w:shd w:val="clear" w:color="auto" w:fill="E6E7E8"/>
          </w:tcPr>
          <w:p>
            <w:pPr>
              <w:spacing w:after="0"/>
              <w:rPr>
                <w:sz w:val="18"/>
                <w:szCs w:val="18"/>
                <w:color w:val="auto"/>
              </w:rPr>
            </w:pPr>
          </w:p>
        </w:tc>
        <w:tc>
          <w:tcPr>
            <w:tcW w:w="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1"/>
                <w:szCs w:val="11"/>
                <w:color w:val="231F20"/>
                <w:w w:val="71"/>
                <w:shd w:val="clear" w:color="auto" w:fill="E6E7E8"/>
              </w:rPr>
              <w:t>$</w:t>
            </w:r>
          </w:p>
        </w:tc>
        <w:tc>
          <w:tcPr>
            <w:tcW w:w="680" w:type="dxa"/>
            <w:vAlign w:val="bottom"/>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shd w:val="clear" w:color="auto" w:fill="E6E7E8"/>
              </w:rPr>
              <w:t>784.</w:t>
            </w:r>
            <w:r>
              <w:rPr>
                <w:rFonts w:ascii="Times New Roman" w:cs="Times New Roman" w:eastAsia="Times New Roman" w:hAnsi="Times New Roman"/>
                <w:sz w:val="19"/>
                <w:szCs w:val="19"/>
                <w:u w:val="single" w:color="auto"/>
                <w:color w:val="231F20"/>
                <w:shd w:val="clear" w:color="auto" w:fill="E6E7E8"/>
              </w:rPr>
              <w:t>0</w:t>
            </w:r>
          </w:p>
        </w:tc>
        <w:tc>
          <w:tcPr>
            <w:tcW w:w="60" w:type="dxa"/>
            <w:vAlign w:val="bottom"/>
            <w:shd w:val="clear" w:color="auto" w:fill="E6E7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64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52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52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58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64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3324860</wp:posOffset>
            </wp:positionH>
            <wp:positionV relativeFrom="paragraph">
              <wp:posOffset>-720725</wp:posOffset>
            </wp:positionV>
            <wp:extent cx="351218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48">
                      <a:extLst>
                        <a:ext uri="{28A0092B-C50C-407E-A947-70E740481C1C}"/>
                      </a:extLst>
                    </a:blip>
                    <a:srcRect/>
                    <a:stretch>
                      <a:fillRect/>
                    </a:stretch>
                  </pic:blipFill>
                  <pic:spPr bwMode="auto">
                    <a:xfrm>
                      <a:off x="0" y="0"/>
                      <a:ext cx="3512185" cy="38100"/>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Leases</w:t>
      </w:r>
    </w:p>
    <w:p>
      <w:pPr>
        <w:spacing w:after="0" w:line="124" w:lineRule="exact"/>
        <w:rPr>
          <w:sz w:val="20"/>
          <w:szCs w:val="20"/>
          <w:color w:val="auto"/>
        </w:rPr>
      </w:pPr>
    </w:p>
    <w:p>
      <w:pPr>
        <w:ind w:right="60" w:firstLine="612"/>
        <w:spacing w:after="0" w:line="279" w:lineRule="auto"/>
        <w:rPr>
          <w:sz w:val="20"/>
          <w:szCs w:val="20"/>
          <w:color w:val="auto"/>
        </w:rPr>
      </w:pPr>
      <w:r>
        <w:rPr>
          <w:rFonts w:ascii="Times New Roman" w:cs="Times New Roman" w:eastAsia="Times New Roman" w:hAnsi="Times New Roman"/>
          <w:sz w:val="21"/>
          <w:szCs w:val="21"/>
          <w:color w:val="231F20"/>
        </w:rPr>
        <w:t>Unitil’s subsidiaries lease some of their vehicles, machinery and office equipment under both capital and operating lease arrangements.</w:t>
      </w:r>
    </w:p>
    <w:p>
      <w:pPr>
        <w:sectPr>
          <w:pgSz w:w="12240" w:h="15840" w:orient="portrait"/>
          <w:cols w:equalWidth="0" w:num="1">
            <w:col w:w="10800"/>
          </w:cols>
          <w:pgMar w:left="720" w:top="1204" w:right="72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61</w:t>
      </w:r>
    </w:p>
    <w:p>
      <w:pPr>
        <w:sectPr>
          <w:pgSz w:w="12240" w:h="15840" w:orient="portrait"/>
          <w:cols w:equalWidth="0" w:num="1">
            <w:col w:w="10800"/>
          </w:cols>
          <w:pgMar w:left="720" w:top="1204" w:right="720" w:bottom="188" w:gutter="0" w:footer="0" w:header="0"/>
          <w:type w:val="continuous"/>
        </w:sectPr>
      </w:pPr>
    </w:p>
    <w:bookmarkStart w:id="81" w:name="page82"/>
    <w:bookmarkEnd w:id="81"/>
    <w:p>
      <w:pPr>
        <w:ind w:right="220" w:firstLine="612"/>
        <w:spacing w:after="0" w:line="259" w:lineRule="auto"/>
        <w:rPr>
          <w:sz w:val="20"/>
          <w:szCs w:val="20"/>
          <w:color w:val="auto"/>
        </w:rPr>
      </w:pPr>
      <w:r>
        <w:rPr>
          <w:rFonts w:ascii="Times New Roman" w:cs="Times New Roman" w:eastAsia="Times New Roman" w:hAnsi="Times New Roman"/>
          <w:sz w:val="21"/>
          <w:szCs w:val="21"/>
          <w:color w:val="231F20"/>
        </w:rPr>
        <w:t>Total rental expense under operating leases charged to operations for the years ended December 31, 2025, 2024 and 2023 amounted to $2.3 million, $2.2 million and $2.1 million respectively. The balance sheet classification of the Company’s lease obligations was as follows:</w:t>
      </w:r>
    </w:p>
    <w:p>
      <w:pPr>
        <w:spacing w:after="0" w:line="221"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1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w w:val="99"/>
              </w:rPr>
              <w:t>Lease Obligations (millions)</w:t>
            </w:r>
          </w:p>
        </w:tc>
        <w:tc>
          <w:tcPr>
            <w:tcW w:w="3340" w:type="dxa"/>
            <w:vAlign w:val="bottom"/>
            <w:vMerge w:val="restart"/>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1780" w:type="dxa"/>
            <w:vAlign w:val="bottom"/>
            <w:tcBorders>
              <w:bottom w:val="single" w:sz="8" w:color="231F20"/>
            </w:tcBorders>
            <w:gridSpan w:val="3"/>
          </w:tcPr>
          <w:p>
            <w:pPr>
              <w:jc w:val="right"/>
              <w:ind w:right="5"/>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960" w:type="dxa"/>
            <w:vAlign w:val="bottom"/>
            <w:tcBorders>
              <w:bottom w:val="single" w:sz="8" w:color="231F20"/>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920" w:type="dxa"/>
            <w:vAlign w:val="bottom"/>
            <w:tcBorders>
              <w:bottom w:val="single" w:sz="8" w:color="231F20"/>
            </w:tcBorders>
            <w:vMerge w:val="continue"/>
          </w:tcPr>
          <w:p>
            <w:pPr>
              <w:spacing w:after="0"/>
              <w:rPr>
                <w:sz w:val="16"/>
                <w:szCs w:val="16"/>
                <w:color w:val="auto"/>
              </w:rPr>
            </w:pPr>
          </w:p>
        </w:tc>
        <w:tc>
          <w:tcPr>
            <w:tcW w:w="3340" w:type="dxa"/>
            <w:vAlign w:val="bottom"/>
            <w:tcBorders>
              <w:bottom w:val="single" w:sz="8" w:color="E6E7E8"/>
            </w:tcBorders>
            <w:vMerge w:val="continue"/>
          </w:tcPr>
          <w:p>
            <w:pPr>
              <w:spacing w:after="0"/>
              <w:rPr>
                <w:sz w:val="16"/>
                <w:szCs w:val="16"/>
                <w:color w:val="auto"/>
              </w:rPr>
            </w:pPr>
          </w:p>
        </w:tc>
        <w:tc>
          <w:tcPr>
            <w:tcW w:w="1360" w:type="dxa"/>
            <w:vAlign w:val="bottom"/>
            <w:tcBorders>
              <w:bottom w:val="single" w:sz="8" w:color="E6E7E8"/>
            </w:tcBorders>
          </w:tcPr>
          <w:p>
            <w:pPr>
              <w:spacing w:after="0"/>
              <w:rPr>
                <w:sz w:val="16"/>
                <w:szCs w:val="16"/>
                <w:color w:val="auto"/>
              </w:rPr>
            </w:pPr>
          </w:p>
        </w:tc>
        <w:tc>
          <w:tcPr>
            <w:tcW w:w="300" w:type="dxa"/>
            <w:vAlign w:val="bottom"/>
            <w:tcBorders>
              <w:bottom w:val="single" w:sz="8" w:color="231F20"/>
            </w:tcBorders>
          </w:tcPr>
          <w:p>
            <w:pPr>
              <w:spacing w:after="0"/>
              <w:rPr>
                <w:sz w:val="16"/>
                <w:szCs w:val="16"/>
                <w:color w:val="auto"/>
              </w:rPr>
            </w:pPr>
          </w:p>
        </w:tc>
        <w:tc>
          <w:tcPr>
            <w:tcW w:w="1100" w:type="dxa"/>
            <w:vAlign w:val="bottom"/>
            <w:tcBorders>
              <w:bottom w:val="single" w:sz="8" w:color="231F20"/>
            </w:tcBorders>
          </w:tcPr>
          <w:p>
            <w:pPr>
              <w:jc w:val="right"/>
              <w:ind w:right="448"/>
              <w:spacing w:after="0" w:line="169" w:lineRule="exact"/>
              <w:rPr>
                <w:sz w:val="20"/>
                <w:szCs w:val="20"/>
                <w:color w:val="auto"/>
              </w:rPr>
            </w:pPr>
            <w:r>
              <w:rPr>
                <w:rFonts w:ascii="Times New Roman" w:cs="Times New Roman" w:eastAsia="Times New Roman" w:hAnsi="Times New Roman"/>
                <w:sz w:val="16"/>
                <w:szCs w:val="16"/>
                <w:b w:val="1"/>
                <w:bCs w:val="1"/>
                <w:color w:val="231F20"/>
              </w:rPr>
              <w:t>2025</w:t>
            </w:r>
          </w:p>
        </w:tc>
        <w:tc>
          <w:tcPr>
            <w:tcW w:w="240" w:type="dxa"/>
            <w:vAlign w:val="bottom"/>
            <w:tcBorders>
              <w:bottom w:val="single" w:sz="8" w:color="E6E7E8"/>
            </w:tcBorders>
          </w:tcPr>
          <w:p>
            <w:pPr>
              <w:spacing w:after="0"/>
              <w:rPr>
                <w:sz w:val="16"/>
                <w:szCs w:val="16"/>
                <w:color w:val="auto"/>
              </w:rPr>
            </w:pPr>
          </w:p>
        </w:tc>
        <w:tc>
          <w:tcPr>
            <w:tcW w:w="440" w:type="dxa"/>
            <w:vAlign w:val="bottom"/>
            <w:tcBorders>
              <w:bottom w:val="single" w:sz="8" w:color="231F20"/>
            </w:tcBorders>
          </w:tcPr>
          <w:p>
            <w:pPr>
              <w:spacing w:after="0"/>
              <w:rPr>
                <w:sz w:val="16"/>
                <w:szCs w:val="16"/>
                <w:color w:val="auto"/>
              </w:rPr>
            </w:pPr>
          </w:p>
        </w:tc>
        <w:tc>
          <w:tcPr>
            <w:tcW w:w="960" w:type="dxa"/>
            <w:vAlign w:val="bottom"/>
            <w:tcBorders>
              <w:bottom w:val="single" w:sz="8" w:color="231F20"/>
            </w:tcBorders>
          </w:tcPr>
          <w:p>
            <w:pPr>
              <w:jc w:val="right"/>
              <w:ind w:right="447"/>
              <w:spacing w:after="0" w:line="169" w:lineRule="exact"/>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Borders>
              <w:bottom w:val="single" w:sz="8" w:color="E6E7E8"/>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60" w:type="dxa"/>
            <w:vAlign w:val="bottom"/>
            <w:tcBorders>
              <w:top w:val="single" w:sz="8" w:color="E6E7E8"/>
            </w:tcBorders>
            <w:gridSpan w:val="2"/>
            <w:shd w:val="clear" w:color="auto" w:fill="E6E7E8"/>
          </w:tcPr>
          <w:p>
            <w:pPr>
              <w:spacing w:after="0" w:line="204" w:lineRule="exact"/>
              <w:rPr>
                <w:sz w:val="20"/>
                <w:szCs w:val="20"/>
                <w:color w:val="auto"/>
              </w:rPr>
            </w:pPr>
            <w:r>
              <w:rPr>
                <w:rFonts w:ascii="Times New Roman" w:cs="Times New Roman" w:eastAsia="Times New Roman" w:hAnsi="Times New Roman"/>
                <w:sz w:val="19"/>
                <w:szCs w:val="19"/>
                <w:color w:val="231F20"/>
              </w:rPr>
              <w:t>Operating Lease Obligations:</w:t>
            </w:r>
          </w:p>
        </w:tc>
        <w:tc>
          <w:tcPr>
            <w:tcW w:w="1360" w:type="dxa"/>
            <w:vAlign w:val="bottom"/>
            <w:tcBorders>
              <w:top w:val="single" w:sz="8" w:color="E6E7E8"/>
            </w:tcBorders>
            <w:shd w:val="clear" w:color="auto" w:fill="E6E7E8"/>
          </w:tcPr>
          <w:p>
            <w:pPr>
              <w:spacing w:after="0"/>
              <w:rPr>
                <w:sz w:val="17"/>
                <w:szCs w:val="17"/>
                <w:color w:val="auto"/>
              </w:rPr>
            </w:pPr>
          </w:p>
        </w:tc>
        <w:tc>
          <w:tcPr>
            <w:tcW w:w="300" w:type="dxa"/>
            <w:vAlign w:val="bottom"/>
            <w:tcBorders>
              <w:top w:val="single" w:sz="8" w:color="231F20"/>
            </w:tcBorders>
            <w:shd w:val="clear" w:color="auto" w:fill="E6E7E8"/>
          </w:tcPr>
          <w:p>
            <w:pPr>
              <w:spacing w:after="0"/>
              <w:rPr>
                <w:sz w:val="17"/>
                <w:szCs w:val="17"/>
                <w:color w:val="auto"/>
              </w:rPr>
            </w:pPr>
          </w:p>
        </w:tc>
        <w:tc>
          <w:tcPr>
            <w:tcW w:w="1100" w:type="dxa"/>
            <w:vAlign w:val="bottom"/>
            <w:tcBorders>
              <w:top w:val="single" w:sz="8" w:color="231F20"/>
            </w:tcBorders>
            <w:shd w:val="clear" w:color="auto" w:fill="E6E7E8"/>
          </w:tcPr>
          <w:p>
            <w:pPr>
              <w:spacing w:after="0"/>
              <w:rPr>
                <w:sz w:val="17"/>
                <w:szCs w:val="17"/>
                <w:color w:val="auto"/>
              </w:rPr>
            </w:pPr>
          </w:p>
        </w:tc>
        <w:tc>
          <w:tcPr>
            <w:tcW w:w="240" w:type="dxa"/>
            <w:vAlign w:val="bottom"/>
            <w:tcBorders>
              <w:top w:val="single" w:sz="8" w:color="E6E7E8"/>
            </w:tcBorders>
            <w:shd w:val="clear" w:color="auto" w:fill="E6E7E8"/>
          </w:tcPr>
          <w:p>
            <w:pPr>
              <w:spacing w:after="0"/>
              <w:rPr>
                <w:sz w:val="17"/>
                <w:szCs w:val="17"/>
                <w:color w:val="auto"/>
              </w:rPr>
            </w:pPr>
          </w:p>
        </w:tc>
        <w:tc>
          <w:tcPr>
            <w:tcW w:w="440" w:type="dxa"/>
            <w:vAlign w:val="bottom"/>
            <w:tcBorders>
              <w:top w:val="single" w:sz="8" w:color="231F20"/>
            </w:tcBorders>
            <w:shd w:val="clear" w:color="auto" w:fill="E6E7E8"/>
          </w:tcPr>
          <w:p>
            <w:pPr>
              <w:spacing w:after="0"/>
              <w:rPr>
                <w:sz w:val="17"/>
                <w:szCs w:val="17"/>
                <w:color w:val="auto"/>
              </w:rPr>
            </w:pPr>
          </w:p>
        </w:tc>
        <w:tc>
          <w:tcPr>
            <w:tcW w:w="960" w:type="dxa"/>
            <w:vAlign w:val="bottom"/>
            <w:tcBorders>
              <w:top w:val="single" w:sz="8" w:color="231F20"/>
            </w:tcBorders>
            <w:shd w:val="clear" w:color="auto" w:fill="E6E7E8"/>
          </w:tcPr>
          <w:p>
            <w:pPr>
              <w:spacing w:after="0"/>
              <w:rPr>
                <w:sz w:val="17"/>
                <w:szCs w:val="17"/>
                <w:color w:val="auto"/>
              </w:rPr>
            </w:pPr>
          </w:p>
        </w:tc>
        <w:tc>
          <w:tcPr>
            <w:tcW w:w="60" w:type="dxa"/>
            <w:vAlign w:val="bottom"/>
            <w:tcBorders>
              <w:top w:val="single" w:sz="8" w:color="E6E7E8"/>
            </w:tcBorders>
            <w:shd w:val="clear" w:color="auto" w:fill="E6E7E8"/>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26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Operating Lease Obligations (current portion)</w:t>
            </w:r>
          </w:p>
        </w:tc>
        <w:tc>
          <w:tcPr>
            <w:tcW w:w="136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2.1</w:t>
            </w:r>
          </w:p>
        </w:tc>
        <w:tc>
          <w:tcPr>
            <w:tcW w:w="240" w:type="dxa"/>
            <w:vAlign w:val="bottom"/>
          </w:tcPr>
          <w:p>
            <w:pPr>
              <w:spacing w:after="0"/>
              <w:rPr>
                <w:sz w:val="19"/>
                <w:szCs w:val="19"/>
                <w:color w:val="auto"/>
              </w:rPr>
            </w:pPr>
          </w:p>
        </w:tc>
        <w:tc>
          <w:tcPr>
            <w:tcW w:w="440" w:type="dxa"/>
            <w:vAlign w:val="bottom"/>
          </w:tcPr>
          <w:p>
            <w:pPr>
              <w:jc w:val="right"/>
              <w:ind w:right="245"/>
              <w:spacing w:after="0"/>
              <w:rPr>
                <w:sz w:val="20"/>
                <w:szCs w:val="20"/>
                <w:color w:val="auto"/>
              </w:rPr>
            </w:pPr>
            <w:r>
              <w:rPr>
                <w:rFonts w:ascii="Times New Roman" w:cs="Times New Roman" w:eastAsia="Times New Roman" w:hAnsi="Times New Roman"/>
                <w:sz w:val="19"/>
                <w:szCs w:val="19"/>
                <w:color w:val="231F20"/>
                <w:w w:val="8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6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Operating Lease Obligations (long-term portion)</w:t>
            </w:r>
          </w:p>
        </w:tc>
        <w:tc>
          <w:tcPr>
            <w:tcW w:w="1360" w:type="dxa"/>
            <w:vAlign w:val="bottom"/>
            <w:shd w:val="clear" w:color="auto" w:fill="E6E7E8"/>
          </w:tcPr>
          <w:p>
            <w:pPr>
              <w:spacing w:after="0"/>
              <w:rPr>
                <w:sz w:val="19"/>
                <w:szCs w:val="19"/>
                <w:color w:val="auto"/>
              </w:rPr>
            </w:pPr>
          </w:p>
        </w:tc>
        <w:tc>
          <w:tcPr>
            <w:tcW w:w="300" w:type="dxa"/>
            <w:vAlign w:val="bottom"/>
            <w:tcBorders>
              <w:bottom w:val="single" w:sz="8" w:color="231F20"/>
            </w:tcBorders>
            <w:shd w:val="clear" w:color="auto" w:fill="E6E7E8"/>
          </w:tcPr>
          <w:p>
            <w:pPr>
              <w:spacing w:after="0"/>
              <w:rPr>
                <w:sz w:val="19"/>
                <w:szCs w:val="19"/>
                <w:color w:val="auto"/>
              </w:rPr>
            </w:pPr>
          </w:p>
        </w:tc>
        <w:tc>
          <w:tcPr>
            <w:tcW w:w="110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4.9</w:t>
            </w:r>
          </w:p>
        </w:tc>
        <w:tc>
          <w:tcPr>
            <w:tcW w:w="240" w:type="dxa"/>
            <w:vAlign w:val="bottom"/>
            <w:shd w:val="clear" w:color="auto" w:fill="E6E7E8"/>
          </w:tcPr>
          <w:p>
            <w:pPr>
              <w:spacing w:after="0"/>
              <w:rPr>
                <w:sz w:val="19"/>
                <w:szCs w:val="19"/>
                <w:color w:val="auto"/>
              </w:rPr>
            </w:pPr>
          </w:p>
        </w:tc>
        <w:tc>
          <w:tcPr>
            <w:tcW w:w="440" w:type="dxa"/>
            <w:vAlign w:val="bottom"/>
            <w:tcBorders>
              <w:bottom w:val="single" w:sz="8" w:color="231F20"/>
            </w:tcBorders>
            <w:shd w:val="clear" w:color="auto" w:fill="E6E7E8"/>
          </w:tcPr>
          <w:p>
            <w:pPr>
              <w:spacing w:after="0"/>
              <w:rPr>
                <w:sz w:val="19"/>
                <w:szCs w:val="19"/>
                <w:color w:val="auto"/>
              </w:rPr>
            </w:pPr>
          </w:p>
        </w:tc>
        <w:tc>
          <w:tcPr>
            <w:tcW w:w="96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4.9</w:t>
            </w:r>
          </w:p>
        </w:tc>
        <w:tc>
          <w:tcPr>
            <w:tcW w:w="60" w:type="dxa"/>
            <w:vAlign w:val="bottom"/>
            <w:shd w:val="clear" w:color="auto" w:fill="E6E7E8"/>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60" w:type="dxa"/>
            <w:vAlign w:val="bottom"/>
            <w:tcBorders>
              <w:bottom w:val="single" w:sz="8" w:color="E6E7E8"/>
            </w:tcBorders>
            <w:gridSpan w:val="2"/>
          </w:tcPr>
          <w:p>
            <w:pPr>
              <w:ind w:left="400"/>
              <w:spacing w:after="0" w:line="214" w:lineRule="exact"/>
              <w:rPr>
                <w:sz w:val="20"/>
                <w:szCs w:val="20"/>
                <w:color w:val="auto"/>
              </w:rPr>
            </w:pPr>
            <w:r>
              <w:rPr>
                <w:rFonts w:ascii="Times New Roman" w:cs="Times New Roman" w:eastAsia="Times New Roman" w:hAnsi="Times New Roman"/>
                <w:sz w:val="19"/>
                <w:szCs w:val="19"/>
                <w:color w:val="231F20"/>
              </w:rPr>
              <w:t>Total Operating Lease Obligations</w:t>
            </w:r>
          </w:p>
        </w:tc>
        <w:tc>
          <w:tcPr>
            <w:tcW w:w="1360" w:type="dxa"/>
            <w:vAlign w:val="bottom"/>
            <w:tcBorders>
              <w:bottom w:val="single" w:sz="8" w:color="E6E7E8"/>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110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7.0</w:t>
            </w:r>
          </w:p>
        </w:tc>
        <w:tc>
          <w:tcPr>
            <w:tcW w:w="240" w:type="dxa"/>
            <w:vAlign w:val="bottom"/>
            <w:tcBorders>
              <w:bottom w:val="single" w:sz="8" w:color="E6E7E8"/>
            </w:tcBorders>
          </w:tcPr>
          <w:p>
            <w:pPr>
              <w:spacing w:after="0"/>
              <w:rPr>
                <w:sz w:val="18"/>
                <w:szCs w:val="18"/>
                <w:color w:val="auto"/>
              </w:rPr>
            </w:pPr>
          </w:p>
        </w:tc>
        <w:tc>
          <w:tcPr>
            <w:tcW w:w="440" w:type="dxa"/>
            <w:vAlign w:val="bottom"/>
            <w:tcBorders>
              <w:bottom w:val="single" w:sz="8" w:color="231F20"/>
            </w:tcBorders>
          </w:tcPr>
          <w:p>
            <w:pPr>
              <w:spacing w:after="0"/>
              <w:rPr>
                <w:sz w:val="18"/>
                <w:szCs w:val="18"/>
                <w:color w:val="auto"/>
              </w:rPr>
            </w:pPr>
          </w:p>
        </w:tc>
        <w:tc>
          <w:tcPr>
            <w:tcW w:w="96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6.7</w:t>
            </w:r>
          </w:p>
        </w:tc>
        <w:tc>
          <w:tcPr>
            <w:tcW w:w="60" w:type="dxa"/>
            <w:vAlign w:val="bottom"/>
            <w:tcBorders>
              <w:bottom w:val="single" w:sz="8" w:color="E6E7E8"/>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60" w:type="dxa"/>
            <w:vAlign w:val="bottom"/>
            <w:gridSpan w:val="2"/>
            <w:shd w:val="clear" w:color="auto" w:fill="E6E7E8"/>
          </w:tcPr>
          <w:p>
            <w:pPr>
              <w:spacing w:after="0" w:line="214" w:lineRule="exact"/>
              <w:rPr>
                <w:sz w:val="20"/>
                <w:szCs w:val="20"/>
                <w:color w:val="auto"/>
              </w:rPr>
            </w:pPr>
            <w:r>
              <w:rPr>
                <w:rFonts w:ascii="Times New Roman" w:cs="Times New Roman" w:eastAsia="Times New Roman" w:hAnsi="Times New Roman"/>
                <w:sz w:val="19"/>
                <w:szCs w:val="19"/>
                <w:color w:val="231F20"/>
              </w:rPr>
              <w:t>Capital Lease Obligations:</w:t>
            </w:r>
          </w:p>
        </w:tc>
        <w:tc>
          <w:tcPr>
            <w:tcW w:w="1360" w:type="dxa"/>
            <w:vAlign w:val="bottom"/>
            <w:shd w:val="clear" w:color="auto" w:fill="E6E7E8"/>
          </w:tcPr>
          <w:p>
            <w:pPr>
              <w:spacing w:after="0"/>
              <w:rPr>
                <w:sz w:val="18"/>
                <w:szCs w:val="18"/>
                <w:color w:val="auto"/>
              </w:rPr>
            </w:pPr>
          </w:p>
        </w:tc>
        <w:tc>
          <w:tcPr>
            <w:tcW w:w="300" w:type="dxa"/>
            <w:vAlign w:val="bottom"/>
            <w:shd w:val="clear" w:color="auto" w:fill="E6E7E8"/>
          </w:tcPr>
          <w:p>
            <w:pPr>
              <w:spacing w:after="0"/>
              <w:rPr>
                <w:sz w:val="18"/>
                <w:szCs w:val="18"/>
                <w:color w:val="auto"/>
              </w:rPr>
            </w:pPr>
          </w:p>
        </w:tc>
        <w:tc>
          <w:tcPr>
            <w:tcW w:w="1100" w:type="dxa"/>
            <w:vAlign w:val="bottom"/>
            <w:shd w:val="clear" w:color="auto" w:fill="E6E7E8"/>
          </w:tcPr>
          <w:p>
            <w:pPr>
              <w:spacing w:after="0"/>
              <w:rPr>
                <w:sz w:val="18"/>
                <w:szCs w:val="18"/>
                <w:color w:val="auto"/>
              </w:rPr>
            </w:pPr>
          </w:p>
        </w:tc>
        <w:tc>
          <w:tcPr>
            <w:tcW w:w="240" w:type="dxa"/>
            <w:vAlign w:val="bottom"/>
            <w:shd w:val="clear" w:color="auto" w:fill="E6E7E8"/>
          </w:tcPr>
          <w:p>
            <w:pPr>
              <w:spacing w:after="0"/>
              <w:rPr>
                <w:sz w:val="18"/>
                <w:szCs w:val="18"/>
                <w:color w:val="auto"/>
              </w:rPr>
            </w:pPr>
          </w:p>
        </w:tc>
        <w:tc>
          <w:tcPr>
            <w:tcW w:w="440" w:type="dxa"/>
            <w:vAlign w:val="bottom"/>
            <w:shd w:val="clear" w:color="auto" w:fill="E6E7E8"/>
          </w:tcPr>
          <w:p>
            <w:pPr>
              <w:spacing w:after="0"/>
              <w:rPr>
                <w:sz w:val="18"/>
                <w:szCs w:val="18"/>
                <w:color w:val="auto"/>
              </w:rPr>
            </w:pPr>
          </w:p>
        </w:tc>
        <w:tc>
          <w:tcPr>
            <w:tcW w:w="960" w:type="dxa"/>
            <w:vAlign w:val="bottom"/>
            <w:shd w:val="clear" w:color="auto" w:fill="E6E7E8"/>
          </w:tcPr>
          <w:p>
            <w:pPr>
              <w:spacing w:after="0"/>
              <w:rPr>
                <w:sz w:val="18"/>
                <w:szCs w:val="18"/>
                <w:color w:val="auto"/>
              </w:rPr>
            </w:pPr>
          </w:p>
        </w:tc>
        <w:tc>
          <w:tcPr>
            <w:tcW w:w="60" w:type="dxa"/>
            <w:vAlign w:val="bottom"/>
            <w:shd w:val="clear" w:color="auto" w:fill="E6E7E8"/>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6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Other Current Liabilities (current portion)</w:t>
            </w: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0.2</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6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Other Noncurrent Liabilities (long-term portion)</w:t>
            </w:r>
          </w:p>
        </w:tc>
        <w:tc>
          <w:tcPr>
            <w:tcW w:w="1360" w:type="dxa"/>
            <w:vAlign w:val="bottom"/>
            <w:shd w:val="clear" w:color="auto" w:fill="E6E7E8"/>
          </w:tcPr>
          <w:p>
            <w:pPr>
              <w:spacing w:after="0"/>
              <w:rPr>
                <w:sz w:val="19"/>
                <w:szCs w:val="19"/>
                <w:color w:val="auto"/>
              </w:rPr>
            </w:pPr>
          </w:p>
        </w:tc>
        <w:tc>
          <w:tcPr>
            <w:tcW w:w="300" w:type="dxa"/>
            <w:vAlign w:val="bottom"/>
            <w:tcBorders>
              <w:bottom w:val="single" w:sz="8" w:color="231F20"/>
            </w:tcBorders>
            <w:shd w:val="clear" w:color="auto" w:fill="E6E7E8"/>
          </w:tcPr>
          <w:p>
            <w:pPr>
              <w:spacing w:after="0"/>
              <w:rPr>
                <w:sz w:val="19"/>
                <w:szCs w:val="19"/>
                <w:color w:val="auto"/>
              </w:rPr>
            </w:pPr>
          </w:p>
        </w:tc>
        <w:tc>
          <w:tcPr>
            <w:tcW w:w="110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0.4</w:t>
            </w:r>
          </w:p>
        </w:tc>
        <w:tc>
          <w:tcPr>
            <w:tcW w:w="240" w:type="dxa"/>
            <w:vAlign w:val="bottom"/>
            <w:shd w:val="clear" w:color="auto" w:fill="E6E7E8"/>
          </w:tcPr>
          <w:p>
            <w:pPr>
              <w:spacing w:after="0"/>
              <w:rPr>
                <w:sz w:val="19"/>
                <w:szCs w:val="19"/>
                <w:color w:val="auto"/>
              </w:rPr>
            </w:pPr>
          </w:p>
        </w:tc>
        <w:tc>
          <w:tcPr>
            <w:tcW w:w="440" w:type="dxa"/>
            <w:vAlign w:val="bottom"/>
            <w:tcBorders>
              <w:bottom w:val="single" w:sz="8" w:color="231F20"/>
            </w:tcBorders>
            <w:shd w:val="clear" w:color="auto" w:fill="E6E7E8"/>
          </w:tcPr>
          <w:p>
            <w:pPr>
              <w:spacing w:after="0"/>
              <w:rPr>
                <w:sz w:val="19"/>
                <w:szCs w:val="19"/>
                <w:color w:val="auto"/>
              </w:rPr>
            </w:pPr>
          </w:p>
        </w:tc>
        <w:tc>
          <w:tcPr>
            <w:tcW w:w="96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0.4</w:t>
            </w:r>
          </w:p>
        </w:tc>
        <w:tc>
          <w:tcPr>
            <w:tcW w:w="60" w:type="dxa"/>
            <w:vAlign w:val="bottom"/>
            <w:shd w:val="clear" w:color="auto" w:fill="E6E7E8"/>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60" w:type="dxa"/>
            <w:vAlign w:val="bottom"/>
            <w:tcBorders>
              <w:bottom w:val="single" w:sz="8" w:color="E6E7E8"/>
            </w:tcBorders>
            <w:gridSpan w:val="2"/>
          </w:tcPr>
          <w:p>
            <w:pPr>
              <w:ind w:left="400"/>
              <w:spacing w:after="0" w:line="214" w:lineRule="exact"/>
              <w:rPr>
                <w:sz w:val="20"/>
                <w:szCs w:val="20"/>
                <w:color w:val="auto"/>
              </w:rPr>
            </w:pPr>
            <w:r>
              <w:rPr>
                <w:rFonts w:ascii="Times New Roman" w:cs="Times New Roman" w:eastAsia="Times New Roman" w:hAnsi="Times New Roman"/>
                <w:sz w:val="19"/>
                <w:szCs w:val="19"/>
                <w:color w:val="231F20"/>
              </w:rPr>
              <w:t>Total Capital Lease Obligations</w:t>
            </w:r>
          </w:p>
        </w:tc>
        <w:tc>
          <w:tcPr>
            <w:tcW w:w="1360" w:type="dxa"/>
            <w:vAlign w:val="bottom"/>
            <w:tcBorders>
              <w:bottom w:val="single" w:sz="8" w:color="E6E7E8"/>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110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0.6</w:t>
            </w:r>
          </w:p>
        </w:tc>
        <w:tc>
          <w:tcPr>
            <w:tcW w:w="240" w:type="dxa"/>
            <w:vAlign w:val="bottom"/>
            <w:tcBorders>
              <w:bottom w:val="single" w:sz="8" w:color="E6E7E8"/>
            </w:tcBorders>
          </w:tcPr>
          <w:p>
            <w:pPr>
              <w:spacing w:after="0"/>
              <w:rPr>
                <w:sz w:val="18"/>
                <w:szCs w:val="18"/>
                <w:color w:val="auto"/>
              </w:rPr>
            </w:pPr>
          </w:p>
        </w:tc>
        <w:tc>
          <w:tcPr>
            <w:tcW w:w="440" w:type="dxa"/>
            <w:vAlign w:val="bottom"/>
            <w:tcBorders>
              <w:bottom w:val="single" w:sz="8" w:color="231F20"/>
            </w:tcBorders>
          </w:tcPr>
          <w:p>
            <w:pPr>
              <w:spacing w:after="0"/>
              <w:rPr>
                <w:sz w:val="18"/>
                <w:szCs w:val="18"/>
                <w:color w:val="auto"/>
              </w:rPr>
            </w:pPr>
          </w:p>
        </w:tc>
        <w:tc>
          <w:tcPr>
            <w:tcW w:w="96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0.5</w:t>
            </w:r>
          </w:p>
        </w:tc>
        <w:tc>
          <w:tcPr>
            <w:tcW w:w="60" w:type="dxa"/>
            <w:vAlign w:val="bottom"/>
            <w:tcBorders>
              <w:bottom w:val="single" w:sz="8" w:color="E6E7E8"/>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260" w:type="dxa"/>
            <w:vAlign w:val="bottom"/>
            <w:tcBorders>
              <w:bottom w:val="single" w:sz="8" w:color="E6E7E8"/>
            </w:tcBorders>
            <w:gridSpan w:val="2"/>
            <w:shd w:val="clear" w:color="auto" w:fill="E6E7E8"/>
          </w:tcPr>
          <w:p>
            <w:pPr>
              <w:ind w:left="600"/>
              <w:spacing w:after="0" w:line="214" w:lineRule="exact"/>
              <w:rPr>
                <w:sz w:val="20"/>
                <w:szCs w:val="20"/>
                <w:color w:val="auto"/>
              </w:rPr>
            </w:pPr>
            <w:r>
              <w:rPr>
                <w:rFonts w:ascii="Times New Roman" w:cs="Times New Roman" w:eastAsia="Times New Roman" w:hAnsi="Times New Roman"/>
                <w:sz w:val="19"/>
                <w:szCs w:val="19"/>
                <w:b w:val="1"/>
                <w:bCs w:val="1"/>
                <w:color w:val="231F20"/>
              </w:rPr>
              <w:t>Total Lease Obligations</w:t>
            </w:r>
          </w:p>
        </w:tc>
        <w:tc>
          <w:tcPr>
            <w:tcW w:w="1360" w:type="dxa"/>
            <w:vAlign w:val="bottom"/>
            <w:tcBorders>
              <w:bottom w:val="single" w:sz="8" w:color="E6E7E8"/>
            </w:tcBorders>
            <w:shd w:val="clear" w:color="auto" w:fill="E6E7E8"/>
          </w:tcPr>
          <w:p>
            <w:pPr>
              <w:spacing w:after="0"/>
              <w:rPr>
                <w:sz w:val="20"/>
                <w:szCs w:val="20"/>
                <w:color w:val="auto"/>
              </w:rPr>
            </w:pPr>
          </w:p>
        </w:tc>
        <w:tc>
          <w:tcPr>
            <w:tcW w:w="300" w:type="dxa"/>
            <w:vAlign w:val="bottom"/>
            <w:tcBorders>
              <w:bottom w:val="single" w:sz="8" w:color="231F20"/>
            </w:tcBorders>
            <w:shd w:val="clear" w:color="auto" w:fill="E6E7E8"/>
          </w:tcPr>
          <w:p>
            <w:pPr>
              <w:jc w:val="right"/>
              <w:ind w:right="136"/>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1100" w:type="dxa"/>
            <w:vAlign w:val="bottom"/>
            <w:tcBorders>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7.6</w:t>
            </w:r>
          </w:p>
        </w:tc>
        <w:tc>
          <w:tcPr>
            <w:tcW w:w="240" w:type="dxa"/>
            <w:vAlign w:val="bottom"/>
            <w:tcBorders>
              <w:bottom w:val="single" w:sz="8" w:color="E6E7E8"/>
            </w:tcBorders>
            <w:shd w:val="clear" w:color="auto" w:fill="E6E7E8"/>
          </w:tcPr>
          <w:p>
            <w:pPr>
              <w:spacing w:after="0"/>
              <w:rPr>
                <w:sz w:val="20"/>
                <w:szCs w:val="20"/>
                <w:color w:val="auto"/>
              </w:rPr>
            </w:pPr>
          </w:p>
        </w:tc>
        <w:tc>
          <w:tcPr>
            <w:tcW w:w="440" w:type="dxa"/>
            <w:vAlign w:val="bottom"/>
            <w:tcBorders>
              <w:bottom w:val="single" w:sz="8" w:color="231F20"/>
            </w:tcBorders>
            <w:shd w:val="clear" w:color="auto" w:fill="E6E7E8"/>
          </w:tcPr>
          <w:p>
            <w:pPr>
              <w:jc w:val="right"/>
              <w:ind w:right="245"/>
              <w:spacing w:after="0" w:line="214" w:lineRule="exact"/>
              <w:rPr>
                <w:sz w:val="20"/>
                <w:szCs w:val="20"/>
                <w:color w:val="auto"/>
              </w:rPr>
            </w:pPr>
            <w:r>
              <w:rPr>
                <w:rFonts w:ascii="Times New Roman" w:cs="Times New Roman" w:eastAsia="Times New Roman" w:hAnsi="Times New Roman"/>
                <w:sz w:val="19"/>
                <w:szCs w:val="19"/>
                <w:color w:val="231F20"/>
                <w:w w:val="83"/>
              </w:rPr>
              <w:t>$</w:t>
            </w:r>
          </w:p>
        </w:tc>
        <w:tc>
          <w:tcPr>
            <w:tcW w:w="960" w:type="dxa"/>
            <w:vAlign w:val="bottom"/>
            <w:tcBorders>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7.2</w:t>
            </w:r>
          </w:p>
        </w:tc>
        <w:tc>
          <w:tcPr>
            <w:tcW w:w="60" w:type="dxa"/>
            <w:vAlign w:val="bottom"/>
            <w:tcBorders>
              <w:bottom w:val="single" w:sz="8" w:color="E6E7E8"/>
            </w:tcBorders>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right="120" w:firstLine="612"/>
        <w:spacing w:after="0" w:line="259" w:lineRule="auto"/>
        <w:rPr>
          <w:sz w:val="20"/>
          <w:szCs w:val="20"/>
          <w:color w:val="auto"/>
        </w:rPr>
      </w:pPr>
      <w:r>
        <w:rPr>
          <w:rFonts w:ascii="Times New Roman" w:cs="Times New Roman" w:eastAsia="Times New Roman" w:hAnsi="Times New Roman"/>
          <w:sz w:val="21"/>
          <w:szCs w:val="21"/>
          <w:color w:val="231F20"/>
        </w:rPr>
        <w:t>Cash paid for amounts included in the measurement of operating lease obligations for the twelve months ended December 31, 2025 and 2024 was $2.3 million and $2.2 million, respectively and was included in Cash Provided by Operating Activities on the Consolidated Statements of Cash Flows.</w:t>
      </w:r>
    </w:p>
    <w:p>
      <w:pPr>
        <w:spacing w:after="0" w:line="183" w:lineRule="exact"/>
        <w:rPr>
          <w:sz w:val="20"/>
          <w:szCs w:val="20"/>
          <w:color w:val="auto"/>
        </w:rPr>
      </w:pPr>
    </w:p>
    <w:p>
      <w:pPr>
        <w:ind w:firstLine="612"/>
        <w:spacing w:after="0" w:line="259" w:lineRule="auto"/>
        <w:rPr>
          <w:sz w:val="20"/>
          <w:szCs w:val="20"/>
          <w:color w:val="auto"/>
        </w:rPr>
      </w:pPr>
      <w:r>
        <w:rPr>
          <w:rFonts w:ascii="Times New Roman" w:cs="Times New Roman" w:eastAsia="Times New Roman" w:hAnsi="Times New Roman"/>
          <w:sz w:val="21"/>
          <w:szCs w:val="21"/>
          <w:color w:val="231F20"/>
        </w:rPr>
        <w:t>Assets under capital leases amounted to approximately $ 0.9 million and $0.6 million as of December 31, 2025 and 2024, respectively, less accumulated amortization of $0.3 million and $0.1 million, respectively and are included in Net Utility Plant on the Company’s Consolidated Balance Sheets.</w:t>
      </w:r>
    </w:p>
    <w:p>
      <w:pPr>
        <w:spacing w:after="0" w:line="183" w:lineRule="exact"/>
        <w:rPr>
          <w:sz w:val="20"/>
          <w:szCs w:val="20"/>
          <w:color w:val="auto"/>
        </w:rPr>
      </w:pPr>
    </w:p>
    <w:p>
      <w:pPr>
        <w:ind w:right="140" w:firstLine="612"/>
        <w:spacing w:after="0" w:line="247" w:lineRule="auto"/>
        <w:rPr>
          <w:sz w:val="20"/>
          <w:szCs w:val="20"/>
          <w:color w:val="auto"/>
        </w:rPr>
      </w:pPr>
      <w:r>
        <w:rPr>
          <w:rFonts w:ascii="Times New Roman" w:cs="Times New Roman" w:eastAsia="Times New Roman" w:hAnsi="Times New Roman"/>
          <w:sz w:val="21"/>
          <w:szCs w:val="21"/>
          <w:color w:val="231F20"/>
        </w:rPr>
        <w:t>The following table is a schedule of future operating lease payment obligations and future minimum lease payments under capital leases as of December 31, 2025. The payments for operating leases consist of $2.1 million of current operating lease obligations and $4.9 million of noncurrent operating lease obligations on the Company’s Consolidated Balance Sheets as of December 31, 2025. The payments for capital leases consist of $0.2 million of current Capital Lease Obligations, which are included in Other Current Liabilities, and $0.4 million of noncurrent Capital Lease Obligations, which are included in Other Noncurrent Liabilities, on the Company’s Consolidated Balance Sheets as of December 31, 2025.</w:t>
      </w:r>
    </w:p>
    <w:p>
      <w:pPr>
        <w:spacing w:after="0" w:line="236"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6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Lease Payments ($000’s)</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231F20"/>
                <w:w w:val="99"/>
              </w:rPr>
              <w:t>Operating</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348"/>
              <w:spacing w:after="0"/>
              <w:rPr>
                <w:sz w:val="20"/>
                <w:szCs w:val="20"/>
                <w:color w:val="auto"/>
              </w:rPr>
            </w:pPr>
            <w:r>
              <w:rPr>
                <w:rFonts w:ascii="Times New Roman" w:cs="Times New Roman" w:eastAsia="Times New Roman" w:hAnsi="Times New Roman"/>
                <w:sz w:val="16"/>
                <w:szCs w:val="16"/>
                <w:b w:val="1"/>
                <w:bCs w:val="1"/>
                <w:color w:val="231F20"/>
              </w:rPr>
              <w:t>Capital</w:t>
            </w:r>
          </w:p>
        </w:tc>
        <w:tc>
          <w:tcPr>
            <w:tcW w:w="60" w:type="dxa"/>
            <w:vAlign w:val="bottom"/>
          </w:tcPr>
          <w:p>
            <w:pPr>
              <w:spacing w:after="0"/>
              <w:rPr>
                <w:sz w:val="16"/>
                <w:szCs w:val="16"/>
                <w:color w:val="auto"/>
              </w:rPr>
            </w:pPr>
          </w:p>
        </w:tc>
      </w:tr>
      <w:tr>
        <w:trPr>
          <w:trHeight w:val="214"/>
        </w:trPr>
        <w:tc>
          <w:tcPr>
            <w:tcW w:w="6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Year Ending December 31,</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231F20"/>
              </w:rPr>
              <w:t>Leases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388"/>
              <w:spacing w:after="0"/>
              <w:rPr>
                <w:sz w:val="20"/>
                <w:szCs w:val="20"/>
                <w:color w:val="auto"/>
              </w:rPr>
            </w:pPr>
            <w:r>
              <w:rPr>
                <w:rFonts w:ascii="Times New Roman" w:cs="Times New Roman" w:eastAsia="Times New Roman" w:hAnsi="Times New Roman"/>
                <w:sz w:val="16"/>
                <w:szCs w:val="16"/>
                <w:b w:val="1"/>
                <w:bCs w:val="1"/>
                <w:color w:val="231F20"/>
              </w:rPr>
              <w:t>Leases</w:t>
            </w:r>
          </w:p>
        </w:tc>
        <w:tc>
          <w:tcPr>
            <w:tcW w:w="60" w:type="dxa"/>
            <w:vAlign w:val="bottom"/>
          </w:tcPr>
          <w:p>
            <w:pPr>
              <w:spacing w:after="0"/>
              <w:rPr>
                <w:sz w:val="18"/>
                <w:szCs w:val="18"/>
                <w:color w:val="auto"/>
              </w:rPr>
            </w:pPr>
          </w:p>
        </w:tc>
      </w:tr>
      <w:tr>
        <w:trPr>
          <w:trHeight w:val="203"/>
        </w:trPr>
        <w:tc>
          <w:tcPr>
            <w:tcW w:w="1840" w:type="dxa"/>
            <w:vAlign w:val="bottom"/>
            <w:tcBorders>
              <w:top w:val="single" w:sz="8" w:color="231F20"/>
            </w:tcBorders>
            <w:shd w:val="clear" w:color="auto" w:fill="E6E7E8"/>
          </w:tcPr>
          <w:p>
            <w:pPr>
              <w:spacing w:after="0" w:line="204" w:lineRule="exact"/>
              <w:rPr>
                <w:sz w:val="20"/>
                <w:szCs w:val="20"/>
                <w:color w:val="auto"/>
              </w:rPr>
            </w:pPr>
            <w:r>
              <w:rPr>
                <w:rFonts w:ascii="Times New Roman" w:cs="Times New Roman" w:eastAsia="Times New Roman" w:hAnsi="Times New Roman"/>
                <w:sz w:val="19"/>
                <w:szCs w:val="19"/>
                <w:color w:val="231F20"/>
              </w:rPr>
              <w:t>2026</w:t>
            </w:r>
          </w:p>
        </w:tc>
        <w:tc>
          <w:tcPr>
            <w:tcW w:w="4380" w:type="dxa"/>
            <w:vAlign w:val="bottom"/>
            <w:tcBorders>
              <w:top w:val="single" w:sz="8" w:color="E6E7E8"/>
            </w:tcBorders>
            <w:shd w:val="clear" w:color="auto" w:fill="E6E7E8"/>
          </w:tcPr>
          <w:p>
            <w:pPr>
              <w:spacing w:after="0"/>
              <w:rPr>
                <w:sz w:val="17"/>
                <w:szCs w:val="17"/>
                <w:color w:val="auto"/>
              </w:rPr>
            </w:pPr>
          </w:p>
        </w:tc>
        <w:tc>
          <w:tcPr>
            <w:tcW w:w="400" w:type="dxa"/>
            <w:vAlign w:val="bottom"/>
            <w:tcBorders>
              <w:top w:val="single" w:sz="8" w:color="E6E7E8"/>
            </w:tcBorders>
            <w:shd w:val="clear" w:color="auto" w:fill="E6E7E8"/>
          </w:tcPr>
          <w:p>
            <w:pPr>
              <w:spacing w:after="0"/>
              <w:rPr>
                <w:sz w:val="17"/>
                <w:szCs w:val="17"/>
                <w:color w:val="auto"/>
              </w:rPr>
            </w:pPr>
          </w:p>
        </w:tc>
        <w:tc>
          <w:tcPr>
            <w:tcW w:w="220" w:type="dxa"/>
            <w:vAlign w:val="bottom"/>
            <w:tcBorders>
              <w:top w:val="single" w:sz="8" w:color="231F20"/>
            </w:tcBorders>
            <w:shd w:val="clear" w:color="auto" w:fill="E6E7E8"/>
          </w:tcPr>
          <w:p>
            <w:pPr>
              <w:jc w:val="right"/>
              <w:ind w:right="56"/>
              <w:spacing w:after="0"/>
              <w:rPr>
                <w:sz w:val="20"/>
                <w:szCs w:val="20"/>
                <w:color w:val="auto"/>
              </w:rPr>
            </w:pPr>
            <w:r>
              <w:rPr>
                <w:rFonts w:ascii="Times New Roman" w:cs="Times New Roman" w:eastAsia="Times New Roman" w:hAnsi="Times New Roman"/>
                <w:sz w:val="17"/>
                <w:szCs w:val="17"/>
                <w:color w:val="231F20"/>
                <w:w w:val="70"/>
              </w:rPr>
              <w:t>$</w:t>
            </w:r>
          </w:p>
        </w:tc>
        <w:tc>
          <w:tcPr>
            <w:tcW w:w="118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color w:val="231F20"/>
              </w:rPr>
              <w:t>2,439</w:t>
            </w:r>
          </w:p>
        </w:tc>
        <w:tc>
          <w:tcPr>
            <w:tcW w:w="120" w:type="dxa"/>
            <w:vAlign w:val="bottom"/>
            <w:tcBorders>
              <w:top w:val="single" w:sz="8" w:color="E6E7E8"/>
            </w:tcBorders>
            <w:shd w:val="clear" w:color="auto" w:fill="E6E7E8"/>
          </w:tcPr>
          <w:p>
            <w:pPr>
              <w:spacing w:after="0"/>
              <w:rPr>
                <w:sz w:val="17"/>
                <w:szCs w:val="17"/>
                <w:color w:val="auto"/>
              </w:rPr>
            </w:pPr>
          </w:p>
        </w:tc>
        <w:tc>
          <w:tcPr>
            <w:tcW w:w="120" w:type="dxa"/>
            <w:vAlign w:val="bottom"/>
            <w:tcBorders>
              <w:top w:val="single" w:sz="8" w:color="E6E7E8"/>
            </w:tcBorders>
            <w:shd w:val="clear" w:color="auto" w:fill="E6E7E8"/>
          </w:tcPr>
          <w:p>
            <w:pPr>
              <w:spacing w:after="0"/>
              <w:rPr>
                <w:sz w:val="17"/>
                <w:szCs w:val="17"/>
                <w:color w:val="auto"/>
              </w:rPr>
            </w:pPr>
          </w:p>
        </w:tc>
        <w:tc>
          <w:tcPr>
            <w:tcW w:w="260" w:type="dxa"/>
            <w:vAlign w:val="bottom"/>
            <w:tcBorders>
              <w:top w:val="single" w:sz="8" w:color="231F20"/>
            </w:tcBorders>
            <w:shd w:val="clear" w:color="auto" w:fill="E6E7E8"/>
          </w:tcPr>
          <w:p>
            <w:pPr>
              <w:jc w:val="right"/>
              <w:ind w:right="65"/>
              <w:spacing w:after="0" w:line="204" w:lineRule="exact"/>
              <w:rPr>
                <w:sz w:val="20"/>
                <w:szCs w:val="20"/>
                <w:color w:val="auto"/>
              </w:rPr>
            </w:pPr>
            <w:r>
              <w:rPr>
                <w:rFonts w:ascii="Times New Roman" w:cs="Times New Roman" w:eastAsia="Times New Roman" w:hAnsi="Times New Roman"/>
                <w:sz w:val="19"/>
                <w:szCs w:val="19"/>
                <w:color w:val="231F20"/>
                <w:w w:val="83"/>
              </w:rPr>
              <w:t>$</w:t>
            </w:r>
          </w:p>
        </w:tc>
        <w:tc>
          <w:tcPr>
            <w:tcW w:w="114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color w:val="231F20"/>
              </w:rPr>
              <w:t>208</w:t>
            </w:r>
          </w:p>
        </w:tc>
        <w:tc>
          <w:tcPr>
            <w:tcW w:w="60" w:type="dxa"/>
            <w:vAlign w:val="bottom"/>
            <w:tcBorders>
              <w:top w:val="single" w:sz="8" w:color="E6E7E8"/>
            </w:tcBorders>
            <w:shd w:val="clear" w:color="auto" w:fill="E6E7E8"/>
          </w:tcPr>
          <w:p>
            <w:pPr>
              <w:spacing w:after="0"/>
              <w:rPr>
                <w:sz w:val="17"/>
                <w:szCs w:val="17"/>
                <w:color w:val="auto"/>
              </w:rPr>
            </w:pPr>
          </w:p>
        </w:tc>
      </w:tr>
      <w:tr>
        <w:trPr>
          <w:trHeight w:val="218"/>
        </w:trPr>
        <w:tc>
          <w:tcPr>
            <w:tcW w:w="1840" w:type="dxa"/>
            <w:vAlign w:val="bottom"/>
          </w:tcPr>
          <w:p>
            <w:pPr>
              <w:spacing w:after="0"/>
              <w:rPr>
                <w:sz w:val="20"/>
                <w:szCs w:val="20"/>
                <w:color w:val="auto"/>
              </w:rPr>
            </w:pPr>
            <w:r>
              <w:rPr>
                <w:rFonts w:ascii="Times New Roman" w:cs="Times New Roman" w:eastAsia="Times New Roman" w:hAnsi="Times New Roman"/>
                <w:sz w:val="19"/>
                <w:szCs w:val="19"/>
                <w:color w:val="231F20"/>
              </w:rPr>
              <w:t>2027</w:t>
            </w:r>
          </w:p>
        </w:tc>
        <w:tc>
          <w:tcPr>
            <w:tcW w:w="4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2,070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208</w:t>
            </w:r>
          </w:p>
        </w:tc>
        <w:tc>
          <w:tcPr>
            <w:tcW w:w="60" w:type="dxa"/>
            <w:vAlign w:val="bottom"/>
          </w:tcPr>
          <w:p>
            <w:pPr>
              <w:spacing w:after="0"/>
              <w:rPr>
                <w:sz w:val="19"/>
                <w:szCs w:val="19"/>
                <w:color w:val="auto"/>
              </w:rPr>
            </w:pPr>
          </w:p>
        </w:tc>
      </w:tr>
      <w:tr>
        <w:trPr>
          <w:trHeight w:val="218"/>
        </w:trPr>
        <w:tc>
          <w:tcPr>
            <w:tcW w:w="1840" w:type="dxa"/>
            <w:vAlign w:val="bottom"/>
            <w:shd w:val="clear" w:color="auto" w:fill="E6E7E8"/>
          </w:tcPr>
          <w:p>
            <w:pPr>
              <w:spacing w:after="0"/>
              <w:rPr>
                <w:sz w:val="20"/>
                <w:szCs w:val="20"/>
                <w:color w:val="auto"/>
              </w:rPr>
            </w:pPr>
            <w:r>
              <w:rPr>
                <w:rFonts w:ascii="Times New Roman" w:cs="Times New Roman" w:eastAsia="Times New Roman" w:hAnsi="Times New Roman"/>
                <w:sz w:val="19"/>
                <w:szCs w:val="19"/>
                <w:color w:val="231F20"/>
              </w:rPr>
              <w:t>2028</w:t>
            </w:r>
          </w:p>
        </w:tc>
        <w:tc>
          <w:tcPr>
            <w:tcW w:w="4380" w:type="dxa"/>
            <w:vAlign w:val="bottom"/>
            <w:shd w:val="clear" w:color="auto" w:fill="E6E7E8"/>
          </w:tcPr>
          <w:p>
            <w:pPr>
              <w:spacing w:after="0"/>
              <w:rPr>
                <w:sz w:val="19"/>
                <w:szCs w:val="19"/>
                <w:color w:val="auto"/>
              </w:rPr>
            </w:pPr>
          </w:p>
        </w:tc>
        <w:tc>
          <w:tcPr>
            <w:tcW w:w="400" w:type="dxa"/>
            <w:vAlign w:val="bottom"/>
            <w:shd w:val="clear" w:color="auto" w:fill="E6E7E8"/>
          </w:tcPr>
          <w:p>
            <w:pPr>
              <w:spacing w:after="0"/>
              <w:rPr>
                <w:sz w:val="19"/>
                <w:szCs w:val="19"/>
                <w:color w:val="auto"/>
              </w:rPr>
            </w:pPr>
          </w:p>
        </w:tc>
        <w:tc>
          <w:tcPr>
            <w:tcW w:w="220" w:type="dxa"/>
            <w:vAlign w:val="bottom"/>
            <w:shd w:val="clear" w:color="auto" w:fill="E6E7E8"/>
          </w:tcPr>
          <w:p>
            <w:pPr>
              <w:spacing w:after="0"/>
              <w:rPr>
                <w:sz w:val="19"/>
                <w:szCs w:val="19"/>
                <w:color w:val="auto"/>
              </w:rPr>
            </w:pPr>
          </w:p>
        </w:tc>
        <w:tc>
          <w:tcPr>
            <w:tcW w:w="1300" w:type="dxa"/>
            <w:vAlign w:val="bottom"/>
            <w:gridSpan w:val="2"/>
            <w:shd w:val="clear" w:color="auto" w:fill="E6E7E8"/>
          </w:tcPr>
          <w:p>
            <w:pPr>
              <w:jc w:val="right"/>
              <w:ind w:right="120"/>
              <w:spacing w:after="0"/>
              <w:rPr>
                <w:sz w:val="20"/>
                <w:szCs w:val="20"/>
                <w:color w:val="auto"/>
              </w:rPr>
            </w:pPr>
            <w:r>
              <w:rPr>
                <w:rFonts w:ascii="Times New Roman" w:cs="Times New Roman" w:eastAsia="Times New Roman" w:hAnsi="Times New Roman"/>
                <w:sz w:val="19"/>
                <w:szCs w:val="19"/>
                <w:color w:val="231F20"/>
              </w:rPr>
              <w:t>1,520</w:t>
            </w:r>
          </w:p>
        </w:tc>
        <w:tc>
          <w:tcPr>
            <w:tcW w:w="120" w:type="dxa"/>
            <w:vAlign w:val="bottom"/>
            <w:shd w:val="clear" w:color="auto" w:fill="E6E7E8"/>
          </w:tcPr>
          <w:p>
            <w:pPr>
              <w:spacing w:after="0"/>
              <w:rPr>
                <w:sz w:val="19"/>
                <w:szCs w:val="19"/>
                <w:color w:val="auto"/>
              </w:rPr>
            </w:pPr>
          </w:p>
        </w:tc>
        <w:tc>
          <w:tcPr>
            <w:tcW w:w="260" w:type="dxa"/>
            <w:vAlign w:val="bottom"/>
            <w:shd w:val="clear" w:color="auto" w:fill="E6E7E8"/>
          </w:tcPr>
          <w:p>
            <w:pPr>
              <w:spacing w:after="0"/>
              <w:rPr>
                <w:sz w:val="19"/>
                <w:szCs w:val="19"/>
                <w:color w:val="auto"/>
              </w:rPr>
            </w:pPr>
          </w:p>
        </w:tc>
        <w:tc>
          <w:tcPr>
            <w:tcW w:w="114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112</w:t>
            </w:r>
          </w:p>
        </w:tc>
        <w:tc>
          <w:tcPr>
            <w:tcW w:w="60" w:type="dxa"/>
            <w:vAlign w:val="bottom"/>
            <w:shd w:val="clear" w:color="auto" w:fill="E6E7E8"/>
          </w:tcPr>
          <w:p>
            <w:pPr>
              <w:spacing w:after="0"/>
              <w:rPr>
                <w:sz w:val="19"/>
                <w:szCs w:val="19"/>
                <w:color w:val="auto"/>
              </w:rPr>
            </w:pPr>
          </w:p>
        </w:tc>
      </w:tr>
      <w:tr>
        <w:trPr>
          <w:trHeight w:val="219"/>
        </w:trPr>
        <w:tc>
          <w:tcPr>
            <w:tcW w:w="1840" w:type="dxa"/>
            <w:vAlign w:val="bottom"/>
          </w:tcPr>
          <w:p>
            <w:pPr>
              <w:spacing w:after="0"/>
              <w:rPr>
                <w:sz w:val="20"/>
                <w:szCs w:val="20"/>
                <w:color w:val="auto"/>
              </w:rPr>
            </w:pPr>
            <w:r>
              <w:rPr>
                <w:rFonts w:ascii="Times New Roman" w:cs="Times New Roman" w:eastAsia="Times New Roman" w:hAnsi="Times New Roman"/>
                <w:sz w:val="19"/>
                <w:szCs w:val="19"/>
                <w:color w:val="231F20"/>
              </w:rPr>
              <w:t>2029</w:t>
            </w:r>
          </w:p>
        </w:tc>
        <w:tc>
          <w:tcPr>
            <w:tcW w:w="4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231F20"/>
              </w:rPr>
              <w:t>1,150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89</w:t>
            </w:r>
          </w:p>
        </w:tc>
        <w:tc>
          <w:tcPr>
            <w:tcW w:w="60" w:type="dxa"/>
            <w:vAlign w:val="bottom"/>
          </w:tcPr>
          <w:p>
            <w:pPr>
              <w:spacing w:after="0"/>
              <w:rPr>
                <w:sz w:val="19"/>
                <w:szCs w:val="19"/>
                <w:color w:val="auto"/>
              </w:rPr>
            </w:pPr>
          </w:p>
        </w:tc>
      </w:tr>
      <w:tr>
        <w:trPr>
          <w:trHeight w:val="218"/>
        </w:trPr>
        <w:tc>
          <w:tcPr>
            <w:tcW w:w="1840" w:type="dxa"/>
            <w:vAlign w:val="bottom"/>
            <w:shd w:val="clear" w:color="auto" w:fill="E6E7E8"/>
          </w:tcPr>
          <w:p>
            <w:pPr>
              <w:spacing w:after="0"/>
              <w:rPr>
                <w:sz w:val="20"/>
                <w:szCs w:val="20"/>
                <w:color w:val="auto"/>
              </w:rPr>
            </w:pPr>
            <w:r>
              <w:rPr>
                <w:rFonts w:ascii="Times New Roman" w:cs="Times New Roman" w:eastAsia="Times New Roman" w:hAnsi="Times New Roman"/>
                <w:sz w:val="19"/>
                <w:szCs w:val="19"/>
                <w:color w:val="231F20"/>
              </w:rPr>
              <w:t>2030</w:t>
            </w:r>
          </w:p>
        </w:tc>
        <w:tc>
          <w:tcPr>
            <w:tcW w:w="4380" w:type="dxa"/>
            <w:vAlign w:val="bottom"/>
            <w:shd w:val="clear" w:color="auto" w:fill="E6E7E8"/>
          </w:tcPr>
          <w:p>
            <w:pPr>
              <w:spacing w:after="0"/>
              <w:rPr>
                <w:sz w:val="19"/>
                <w:szCs w:val="19"/>
                <w:color w:val="auto"/>
              </w:rPr>
            </w:pPr>
          </w:p>
        </w:tc>
        <w:tc>
          <w:tcPr>
            <w:tcW w:w="400" w:type="dxa"/>
            <w:vAlign w:val="bottom"/>
            <w:shd w:val="clear" w:color="auto" w:fill="E6E7E8"/>
          </w:tcPr>
          <w:p>
            <w:pPr>
              <w:spacing w:after="0"/>
              <w:rPr>
                <w:sz w:val="19"/>
                <w:szCs w:val="19"/>
                <w:color w:val="auto"/>
              </w:rPr>
            </w:pPr>
          </w:p>
        </w:tc>
        <w:tc>
          <w:tcPr>
            <w:tcW w:w="220" w:type="dxa"/>
            <w:vAlign w:val="bottom"/>
            <w:shd w:val="clear" w:color="auto" w:fill="E6E7E8"/>
          </w:tcPr>
          <w:p>
            <w:pPr>
              <w:spacing w:after="0"/>
              <w:rPr>
                <w:sz w:val="19"/>
                <w:szCs w:val="19"/>
                <w:color w:val="auto"/>
              </w:rPr>
            </w:pPr>
          </w:p>
        </w:tc>
        <w:tc>
          <w:tcPr>
            <w:tcW w:w="1300" w:type="dxa"/>
            <w:vAlign w:val="bottom"/>
            <w:gridSpan w:val="2"/>
            <w:shd w:val="clear" w:color="auto" w:fill="E6E7E8"/>
          </w:tcPr>
          <w:p>
            <w:pPr>
              <w:jc w:val="right"/>
              <w:ind w:right="120"/>
              <w:spacing w:after="0"/>
              <w:rPr>
                <w:sz w:val="20"/>
                <w:szCs w:val="20"/>
                <w:color w:val="auto"/>
              </w:rPr>
            </w:pPr>
            <w:r>
              <w:rPr>
                <w:rFonts w:ascii="Times New Roman" w:cs="Times New Roman" w:eastAsia="Times New Roman" w:hAnsi="Times New Roman"/>
                <w:sz w:val="19"/>
                <w:szCs w:val="19"/>
                <w:color w:val="231F20"/>
              </w:rPr>
              <w:t>478</w:t>
            </w:r>
          </w:p>
        </w:tc>
        <w:tc>
          <w:tcPr>
            <w:tcW w:w="120" w:type="dxa"/>
            <w:vAlign w:val="bottom"/>
            <w:shd w:val="clear" w:color="auto" w:fill="E6E7E8"/>
          </w:tcPr>
          <w:p>
            <w:pPr>
              <w:spacing w:after="0"/>
              <w:rPr>
                <w:sz w:val="19"/>
                <w:szCs w:val="19"/>
                <w:color w:val="auto"/>
              </w:rPr>
            </w:pPr>
          </w:p>
        </w:tc>
        <w:tc>
          <w:tcPr>
            <w:tcW w:w="260" w:type="dxa"/>
            <w:vAlign w:val="bottom"/>
            <w:shd w:val="clear" w:color="auto" w:fill="E6E7E8"/>
          </w:tcPr>
          <w:p>
            <w:pPr>
              <w:spacing w:after="0"/>
              <w:rPr>
                <w:sz w:val="19"/>
                <w:szCs w:val="19"/>
                <w:color w:val="auto"/>
              </w:rPr>
            </w:pPr>
          </w:p>
        </w:tc>
        <w:tc>
          <w:tcPr>
            <w:tcW w:w="114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42</w:t>
            </w:r>
          </w:p>
        </w:tc>
        <w:tc>
          <w:tcPr>
            <w:tcW w:w="60" w:type="dxa"/>
            <w:vAlign w:val="bottom"/>
            <w:shd w:val="clear" w:color="auto" w:fill="E6E7E8"/>
          </w:tcPr>
          <w:p>
            <w:pPr>
              <w:spacing w:after="0"/>
              <w:rPr>
                <w:sz w:val="19"/>
                <w:szCs w:val="19"/>
                <w:color w:val="auto"/>
              </w:rPr>
            </w:pPr>
          </w:p>
        </w:tc>
      </w:tr>
      <w:tr>
        <w:trPr>
          <w:trHeight w:val="218"/>
        </w:trPr>
        <w:tc>
          <w:tcPr>
            <w:tcW w:w="1840" w:type="dxa"/>
            <w:vAlign w:val="bottom"/>
          </w:tcPr>
          <w:p>
            <w:pPr>
              <w:spacing w:after="0"/>
              <w:rPr>
                <w:sz w:val="20"/>
                <w:szCs w:val="20"/>
                <w:color w:val="auto"/>
              </w:rPr>
            </w:pPr>
            <w:r>
              <w:rPr>
                <w:rFonts w:ascii="Times New Roman" w:cs="Times New Roman" w:eastAsia="Times New Roman" w:hAnsi="Times New Roman"/>
                <w:sz w:val="19"/>
                <w:szCs w:val="19"/>
                <w:color w:val="231F20"/>
              </w:rPr>
              <w:t>2031-2035</w:t>
            </w:r>
          </w:p>
        </w:tc>
        <w:tc>
          <w:tcPr>
            <w:tcW w:w="4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231F20"/>
              </w:rPr>
              <w:t>161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60" w:type="dxa"/>
            <w:vAlign w:val="bottom"/>
          </w:tcPr>
          <w:p>
            <w:pPr>
              <w:spacing w:after="0"/>
              <w:rPr>
                <w:sz w:val="18"/>
                <w:szCs w:val="18"/>
                <w:color w:val="auto"/>
              </w:rPr>
            </w:pPr>
          </w:p>
        </w:tc>
      </w:tr>
      <w:tr>
        <w:trPr>
          <w:trHeight w:val="233"/>
        </w:trPr>
        <w:tc>
          <w:tcPr>
            <w:tcW w:w="6220" w:type="dxa"/>
            <w:vAlign w:val="bottom"/>
            <w:tcBorders>
              <w:top w:val="single" w:sz="8" w:color="E6E7E8"/>
              <w:bottom w:val="single" w:sz="8" w:color="E6E7E8"/>
            </w:tcBorders>
            <w:gridSpan w:val="2"/>
            <w:shd w:val="clear" w:color="auto" w:fill="E6E7E8"/>
          </w:tcPr>
          <w:p>
            <w:pPr>
              <w:ind w:left="200"/>
              <w:spacing w:after="0" w:line="214" w:lineRule="exact"/>
              <w:rPr>
                <w:sz w:val="20"/>
                <w:szCs w:val="20"/>
                <w:color w:val="auto"/>
              </w:rPr>
            </w:pPr>
            <w:r>
              <w:rPr>
                <w:rFonts w:ascii="Times New Roman" w:cs="Times New Roman" w:eastAsia="Times New Roman" w:hAnsi="Times New Roman"/>
                <w:sz w:val="19"/>
                <w:szCs w:val="19"/>
                <w:b w:val="1"/>
                <w:bCs w:val="1"/>
                <w:color w:val="231F20"/>
              </w:rPr>
              <w:t>Total Payments</w:t>
            </w:r>
          </w:p>
        </w:tc>
        <w:tc>
          <w:tcPr>
            <w:tcW w:w="400" w:type="dxa"/>
            <w:vAlign w:val="bottom"/>
            <w:tcBorders>
              <w:top w:val="single" w:sz="8" w:color="E6E7E8"/>
              <w:bottom w:val="single" w:sz="8" w:color="E6E7E8"/>
            </w:tcBorders>
            <w:shd w:val="clear" w:color="auto" w:fill="E6E7E8"/>
          </w:tcPr>
          <w:p>
            <w:pPr>
              <w:spacing w:after="0"/>
              <w:rPr>
                <w:sz w:val="20"/>
                <w:szCs w:val="20"/>
                <w:color w:val="auto"/>
              </w:rPr>
            </w:pPr>
          </w:p>
        </w:tc>
        <w:tc>
          <w:tcPr>
            <w:tcW w:w="220" w:type="dxa"/>
            <w:vAlign w:val="bottom"/>
            <w:tcBorders>
              <w:top w:val="single" w:sz="8" w:color="231F20"/>
              <w:bottom w:val="single" w:sz="8" w:color="231F20"/>
            </w:tcBorders>
            <w:shd w:val="clear" w:color="auto" w:fill="E6E7E8"/>
          </w:tcPr>
          <w:p>
            <w:pPr>
              <w:spacing w:after="0"/>
              <w:rPr>
                <w:sz w:val="20"/>
                <w:szCs w:val="20"/>
                <w:color w:val="auto"/>
              </w:rPr>
            </w:pPr>
          </w:p>
        </w:tc>
        <w:tc>
          <w:tcPr>
            <w:tcW w:w="1180" w:type="dxa"/>
            <w:vAlign w:val="bottom"/>
            <w:tcBorders>
              <w:top w:val="single" w:sz="8" w:color="231F20"/>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7,818</w:t>
            </w:r>
          </w:p>
        </w:tc>
        <w:tc>
          <w:tcPr>
            <w:tcW w:w="120" w:type="dxa"/>
            <w:vAlign w:val="bottom"/>
            <w:tcBorders>
              <w:top w:val="single" w:sz="8" w:color="E6E7E8"/>
              <w:bottom w:val="single" w:sz="8" w:color="E6E7E8"/>
            </w:tcBorders>
            <w:shd w:val="clear" w:color="auto" w:fill="E6E7E8"/>
          </w:tcPr>
          <w:p>
            <w:pPr>
              <w:spacing w:after="0"/>
              <w:rPr>
                <w:sz w:val="20"/>
                <w:szCs w:val="20"/>
                <w:color w:val="auto"/>
              </w:rPr>
            </w:pPr>
          </w:p>
        </w:tc>
        <w:tc>
          <w:tcPr>
            <w:tcW w:w="120" w:type="dxa"/>
            <w:vAlign w:val="bottom"/>
            <w:tcBorders>
              <w:top w:val="single" w:sz="8" w:color="E6E7E8"/>
              <w:bottom w:val="single" w:sz="8" w:color="E6E7E8"/>
            </w:tcBorders>
            <w:shd w:val="clear" w:color="auto" w:fill="E6E7E8"/>
          </w:tcPr>
          <w:p>
            <w:pPr>
              <w:spacing w:after="0"/>
              <w:rPr>
                <w:sz w:val="20"/>
                <w:szCs w:val="20"/>
                <w:color w:val="auto"/>
              </w:rPr>
            </w:pPr>
          </w:p>
        </w:tc>
        <w:tc>
          <w:tcPr>
            <w:tcW w:w="260" w:type="dxa"/>
            <w:vAlign w:val="bottom"/>
            <w:tcBorders>
              <w:top w:val="single" w:sz="8" w:color="231F20"/>
              <w:bottom w:val="single" w:sz="8" w:color="231F20"/>
            </w:tcBorders>
            <w:shd w:val="clear" w:color="auto" w:fill="E6E7E8"/>
          </w:tcPr>
          <w:p>
            <w:pPr>
              <w:spacing w:after="0"/>
              <w:rPr>
                <w:sz w:val="20"/>
                <w:szCs w:val="20"/>
                <w:color w:val="auto"/>
              </w:rPr>
            </w:pPr>
          </w:p>
        </w:tc>
        <w:tc>
          <w:tcPr>
            <w:tcW w:w="1140" w:type="dxa"/>
            <w:vAlign w:val="bottom"/>
            <w:tcBorders>
              <w:top w:val="single" w:sz="8" w:color="231F20"/>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659</w:t>
            </w:r>
          </w:p>
        </w:tc>
        <w:tc>
          <w:tcPr>
            <w:tcW w:w="60" w:type="dxa"/>
            <w:vAlign w:val="bottom"/>
            <w:tcBorders>
              <w:top w:val="single" w:sz="8" w:color="E6E7E8"/>
              <w:bottom w:val="single" w:sz="8" w:color="E6E7E8"/>
            </w:tcBorders>
            <w:shd w:val="clear" w:color="auto" w:fill="E6E7E8"/>
          </w:tcPr>
          <w:p>
            <w:pPr>
              <w:spacing w:after="0"/>
              <w:rPr>
                <w:sz w:val="20"/>
                <w:szCs w:val="20"/>
                <w:color w:val="auto"/>
              </w:rPr>
            </w:pPr>
          </w:p>
        </w:tc>
      </w:tr>
      <w:tr>
        <w:trPr>
          <w:trHeight w:val="194"/>
        </w:trPr>
        <w:tc>
          <w:tcPr>
            <w:tcW w:w="6220" w:type="dxa"/>
            <w:vAlign w:val="bottom"/>
            <w:tcBorders>
              <w:bottom w:val="single" w:sz="8" w:color="E6E7E8"/>
            </w:tcBorders>
            <w:gridSpan w:val="2"/>
          </w:tcPr>
          <w:p>
            <w:pPr>
              <w:spacing w:after="0" w:line="193" w:lineRule="exact"/>
              <w:rPr>
                <w:sz w:val="20"/>
                <w:szCs w:val="20"/>
                <w:color w:val="auto"/>
              </w:rPr>
            </w:pPr>
            <w:r>
              <w:rPr>
                <w:rFonts w:ascii="Times New Roman" w:cs="Times New Roman" w:eastAsia="Times New Roman" w:hAnsi="Times New Roman"/>
                <w:sz w:val="19"/>
                <w:szCs w:val="19"/>
                <w:color w:val="231F20"/>
              </w:rPr>
              <w:t>Less: Interest</w:t>
            </w:r>
          </w:p>
        </w:tc>
        <w:tc>
          <w:tcPr>
            <w:tcW w:w="400" w:type="dxa"/>
            <w:vAlign w:val="bottom"/>
            <w:tcBorders>
              <w:bottom w:val="single" w:sz="8" w:color="E6E7E8"/>
            </w:tcBorders>
          </w:tcPr>
          <w:p>
            <w:pPr>
              <w:spacing w:after="0"/>
              <w:rPr>
                <w:sz w:val="16"/>
                <w:szCs w:val="16"/>
                <w:color w:val="auto"/>
              </w:rPr>
            </w:pPr>
          </w:p>
        </w:tc>
        <w:tc>
          <w:tcPr>
            <w:tcW w:w="220" w:type="dxa"/>
            <w:vAlign w:val="bottom"/>
            <w:tcBorders>
              <w:bottom w:val="single" w:sz="8" w:color="231F20"/>
            </w:tcBorders>
          </w:tcPr>
          <w:p>
            <w:pPr>
              <w:spacing w:after="0"/>
              <w:rPr>
                <w:sz w:val="16"/>
                <w:szCs w:val="16"/>
                <w:color w:val="auto"/>
              </w:rPr>
            </w:pPr>
          </w:p>
        </w:tc>
        <w:tc>
          <w:tcPr>
            <w:tcW w:w="1180" w:type="dxa"/>
            <w:vAlign w:val="bottom"/>
            <w:tcBorders>
              <w:bottom w:val="single" w:sz="8" w:color="231F20"/>
            </w:tcBorders>
          </w:tcPr>
          <w:p>
            <w:pPr>
              <w:jc w:val="right"/>
              <w:spacing w:after="0" w:line="193" w:lineRule="exact"/>
              <w:rPr>
                <w:sz w:val="20"/>
                <w:szCs w:val="20"/>
                <w:color w:val="auto"/>
              </w:rPr>
            </w:pPr>
            <w:r>
              <w:rPr>
                <w:rFonts w:ascii="Times New Roman" w:cs="Times New Roman" w:eastAsia="Times New Roman" w:hAnsi="Times New Roman"/>
                <w:sz w:val="19"/>
                <w:szCs w:val="19"/>
                <w:color w:val="231F20"/>
              </w:rPr>
              <w:t>771</w:t>
            </w:r>
          </w:p>
        </w:tc>
        <w:tc>
          <w:tcPr>
            <w:tcW w:w="120" w:type="dxa"/>
            <w:vAlign w:val="bottom"/>
            <w:tcBorders>
              <w:bottom w:val="single" w:sz="8" w:color="E6E7E8"/>
            </w:tcBorders>
          </w:tcPr>
          <w:p>
            <w:pPr>
              <w:spacing w:after="0"/>
              <w:rPr>
                <w:sz w:val="16"/>
                <w:szCs w:val="16"/>
                <w:color w:val="auto"/>
              </w:rPr>
            </w:pPr>
          </w:p>
        </w:tc>
        <w:tc>
          <w:tcPr>
            <w:tcW w:w="120" w:type="dxa"/>
            <w:vAlign w:val="bottom"/>
            <w:tcBorders>
              <w:bottom w:val="single" w:sz="8" w:color="E6E7E8"/>
            </w:tcBorders>
          </w:tcPr>
          <w:p>
            <w:pPr>
              <w:spacing w:after="0"/>
              <w:rPr>
                <w:sz w:val="16"/>
                <w:szCs w:val="16"/>
                <w:color w:val="auto"/>
              </w:rPr>
            </w:pPr>
          </w:p>
        </w:tc>
        <w:tc>
          <w:tcPr>
            <w:tcW w:w="260" w:type="dxa"/>
            <w:vAlign w:val="bottom"/>
            <w:tcBorders>
              <w:bottom w:val="single" w:sz="8" w:color="231F20"/>
            </w:tcBorders>
          </w:tcPr>
          <w:p>
            <w:pPr>
              <w:spacing w:after="0"/>
              <w:rPr>
                <w:sz w:val="16"/>
                <w:szCs w:val="16"/>
                <w:color w:val="auto"/>
              </w:rPr>
            </w:pPr>
          </w:p>
        </w:tc>
        <w:tc>
          <w:tcPr>
            <w:tcW w:w="1140" w:type="dxa"/>
            <w:vAlign w:val="bottom"/>
            <w:tcBorders>
              <w:bottom w:val="single" w:sz="8" w:color="231F20"/>
            </w:tcBorders>
          </w:tcPr>
          <w:p>
            <w:pPr>
              <w:jc w:val="right"/>
              <w:spacing w:after="0" w:line="193" w:lineRule="exact"/>
              <w:rPr>
                <w:sz w:val="20"/>
                <w:szCs w:val="20"/>
                <w:color w:val="auto"/>
              </w:rPr>
            </w:pPr>
            <w:r>
              <w:rPr>
                <w:rFonts w:ascii="Times New Roman" w:cs="Times New Roman" w:eastAsia="Times New Roman" w:hAnsi="Times New Roman"/>
                <w:sz w:val="19"/>
                <w:szCs w:val="19"/>
                <w:color w:val="231F20"/>
              </w:rPr>
              <w:t>57</w:t>
            </w:r>
          </w:p>
        </w:tc>
        <w:tc>
          <w:tcPr>
            <w:tcW w:w="60" w:type="dxa"/>
            <w:vAlign w:val="bottom"/>
            <w:tcBorders>
              <w:bottom w:val="single" w:sz="8" w:color="E6E7E8"/>
            </w:tcBorders>
          </w:tcPr>
          <w:p>
            <w:pPr>
              <w:spacing w:after="0"/>
              <w:rPr>
                <w:sz w:val="16"/>
                <w:szCs w:val="16"/>
                <w:color w:val="auto"/>
              </w:rPr>
            </w:pPr>
          </w:p>
        </w:tc>
      </w:tr>
      <w:tr>
        <w:trPr>
          <w:trHeight w:val="233"/>
        </w:trPr>
        <w:tc>
          <w:tcPr>
            <w:tcW w:w="6220" w:type="dxa"/>
            <w:vAlign w:val="bottom"/>
            <w:tcBorders>
              <w:bottom w:val="single" w:sz="8" w:color="E6E7E8"/>
            </w:tcBorders>
            <w:gridSpan w:val="2"/>
            <w:shd w:val="clear" w:color="auto" w:fill="E6E7E8"/>
          </w:tcPr>
          <w:p>
            <w:pPr>
              <w:spacing w:after="0" w:line="214" w:lineRule="exact"/>
              <w:rPr>
                <w:sz w:val="20"/>
                <w:szCs w:val="20"/>
                <w:color w:val="auto"/>
              </w:rPr>
            </w:pPr>
            <w:r>
              <w:rPr>
                <w:rFonts w:ascii="Times New Roman" w:cs="Times New Roman" w:eastAsia="Times New Roman" w:hAnsi="Times New Roman"/>
                <w:sz w:val="19"/>
                <w:szCs w:val="19"/>
                <w:b w:val="1"/>
                <w:bCs w:val="1"/>
                <w:color w:val="231F20"/>
              </w:rPr>
              <w:t>Amount of Lease Obligations Recorded on Consolidated Balance Sheets</w:t>
            </w:r>
          </w:p>
        </w:tc>
        <w:tc>
          <w:tcPr>
            <w:tcW w:w="400" w:type="dxa"/>
            <w:vAlign w:val="bottom"/>
            <w:tcBorders>
              <w:bottom w:val="single" w:sz="8" w:color="E6E7E8"/>
            </w:tcBorders>
            <w:shd w:val="clear" w:color="auto" w:fill="E6E7E8"/>
          </w:tcPr>
          <w:p>
            <w:pPr>
              <w:spacing w:after="0"/>
              <w:rPr>
                <w:sz w:val="20"/>
                <w:szCs w:val="20"/>
                <w:color w:val="auto"/>
              </w:rPr>
            </w:pPr>
          </w:p>
        </w:tc>
        <w:tc>
          <w:tcPr>
            <w:tcW w:w="220" w:type="dxa"/>
            <w:vAlign w:val="bottom"/>
            <w:tcBorders>
              <w:bottom w:val="single" w:sz="8" w:color="231F20"/>
            </w:tcBorders>
            <w:shd w:val="clear" w:color="auto" w:fill="E6E7E8"/>
          </w:tcPr>
          <w:p>
            <w:pPr>
              <w:jc w:val="right"/>
              <w:ind w:right="56"/>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1180" w:type="dxa"/>
            <w:vAlign w:val="bottom"/>
            <w:tcBorders>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7,047</w:t>
            </w:r>
          </w:p>
        </w:tc>
        <w:tc>
          <w:tcPr>
            <w:tcW w:w="120" w:type="dxa"/>
            <w:vAlign w:val="bottom"/>
            <w:tcBorders>
              <w:bottom w:val="single" w:sz="8" w:color="E6E7E8"/>
            </w:tcBorders>
            <w:shd w:val="clear" w:color="auto" w:fill="E6E7E8"/>
          </w:tcPr>
          <w:p>
            <w:pPr>
              <w:spacing w:after="0"/>
              <w:rPr>
                <w:sz w:val="20"/>
                <w:szCs w:val="20"/>
                <w:color w:val="auto"/>
              </w:rPr>
            </w:pPr>
          </w:p>
        </w:tc>
        <w:tc>
          <w:tcPr>
            <w:tcW w:w="120" w:type="dxa"/>
            <w:vAlign w:val="bottom"/>
            <w:tcBorders>
              <w:bottom w:val="single" w:sz="8" w:color="E6E7E8"/>
            </w:tcBorders>
            <w:shd w:val="clear" w:color="auto" w:fill="E6E7E8"/>
          </w:tcPr>
          <w:p>
            <w:pPr>
              <w:spacing w:after="0"/>
              <w:rPr>
                <w:sz w:val="20"/>
                <w:szCs w:val="20"/>
                <w:color w:val="auto"/>
              </w:rPr>
            </w:pPr>
          </w:p>
        </w:tc>
        <w:tc>
          <w:tcPr>
            <w:tcW w:w="260" w:type="dxa"/>
            <w:vAlign w:val="bottom"/>
            <w:tcBorders>
              <w:bottom w:val="single" w:sz="8" w:color="231F20"/>
            </w:tcBorders>
            <w:shd w:val="clear" w:color="auto" w:fill="E6E7E8"/>
          </w:tcPr>
          <w:p>
            <w:pPr>
              <w:jc w:val="right"/>
              <w:ind w:right="65"/>
              <w:spacing w:after="0" w:line="214" w:lineRule="exact"/>
              <w:rPr>
                <w:sz w:val="20"/>
                <w:szCs w:val="20"/>
                <w:color w:val="auto"/>
              </w:rPr>
            </w:pPr>
            <w:r>
              <w:rPr>
                <w:rFonts w:ascii="Times New Roman" w:cs="Times New Roman" w:eastAsia="Times New Roman" w:hAnsi="Times New Roman"/>
                <w:sz w:val="19"/>
                <w:szCs w:val="19"/>
                <w:b w:val="1"/>
                <w:bCs w:val="1"/>
                <w:color w:val="231F20"/>
                <w:w w:val="83"/>
              </w:rPr>
              <w:t>$</w:t>
            </w:r>
          </w:p>
        </w:tc>
        <w:tc>
          <w:tcPr>
            <w:tcW w:w="1140" w:type="dxa"/>
            <w:vAlign w:val="bottom"/>
            <w:tcBorders>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602</w:t>
            </w:r>
          </w:p>
        </w:tc>
        <w:tc>
          <w:tcPr>
            <w:tcW w:w="60" w:type="dxa"/>
            <w:vAlign w:val="bottom"/>
            <w:tcBorders>
              <w:bottom w:val="single" w:sz="8" w:color="E6E7E8"/>
            </w:tcBorders>
            <w:shd w:val="clear" w:color="auto" w:fill="E6E7E8"/>
          </w:tcPr>
          <w:p>
            <w:pPr>
              <w:spacing w:after="0"/>
              <w:rPr>
                <w:sz w:val="20"/>
                <w:szCs w:val="20"/>
                <w:color w:val="auto"/>
              </w:rPr>
            </w:pPr>
          </w:p>
        </w:tc>
      </w:tr>
      <w:tr>
        <w:trPr>
          <w:trHeight w:val="20"/>
        </w:trPr>
        <w:tc>
          <w:tcPr>
            <w:tcW w:w="18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1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20" w:firstLine="612"/>
        <w:spacing w:after="0" w:line="247" w:lineRule="auto"/>
        <w:rPr>
          <w:sz w:val="20"/>
          <w:szCs w:val="20"/>
          <w:color w:val="auto"/>
        </w:rPr>
      </w:pPr>
      <w:r>
        <w:rPr>
          <w:rFonts w:ascii="Times New Roman" w:cs="Times New Roman" w:eastAsia="Times New Roman" w:hAnsi="Times New Roman"/>
          <w:sz w:val="21"/>
          <w:szCs w:val="21"/>
          <w:color w:val="231F20"/>
        </w:rPr>
        <w:t>Operating lease obligations are based on the net present value of the remaining lease payments over the remaining lease term. In determining the present value of lease payments, the Company used the interest rate stated in each lease agreement. As of December 31, 2025, the weighted average remaining lease term is 3.8 years and the weighted average operating discount rate used to determine the operating lease obligations was 5.3%. As of December 31, 2024, the weighted average remaining lease term was 4.2 years and the weighted average operating discount rate used to determine the operating lease obligations was 5.1%.</w:t>
      </w:r>
    </w:p>
    <w:p>
      <w:pPr>
        <w:sectPr>
          <w:pgSz w:w="12240" w:h="15840" w:orient="portrait"/>
          <w:cols w:equalWidth="0" w:num="1">
            <w:col w:w="10780"/>
          </w:cols>
          <w:pgMar w:left="720" w:top="928" w:right="74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62</w:t>
      </w:r>
    </w:p>
    <w:p>
      <w:pPr>
        <w:sectPr>
          <w:pgSz w:w="12240" w:h="15840" w:orient="portrait"/>
          <w:cols w:equalWidth="0" w:num="1">
            <w:col w:w="10780"/>
          </w:cols>
          <w:pgMar w:left="720" w:top="928" w:right="740" w:bottom="188"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1"/>
          <w:szCs w:val="21"/>
          <w:b w:val="1"/>
          <w:bCs w:val="1"/>
          <w:color w:val="231F20"/>
        </w:rPr>
        <w:t>Guarantees</w:t>
      </w:r>
    </w:p>
    <w:p>
      <w:pPr>
        <w:spacing w:after="0" w:line="142" w:lineRule="exact"/>
        <w:rPr>
          <w:sz w:val="20"/>
          <w:szCs w:val="20"/>
          <w:color w:val="auto"/>
        </w:rPr>
      </w:pPr>
    </w:p>
    <w:p>
      <w:pPr>
        <w:ind w:right="60" w:firstLine="619"/>
        <w:spacing w:after="0" w:line="259" w:lineRule="auto"/>
        <w:rPr>
          <w:sz w:val="20"/>
          <w:szCs w:val="20"/>
          <w:color w:val="auto"/>
        </w:rPr>
      </w:pPr>
      <w:r>
        <w:rPr>
          <w:rFonts w:ascii="Times New Roman" w:cs="Times New Roman" w:eastAsia="Times New Roman" w:hAnsi="Times New Roman"/>
          <w:sz w:val="21"/>
          <w:szCs w:val="21"/>
          <w:color w:val="231F20"/>
        </w:rPr>
        <w:t>The Company provides limited guarantees on certain energy and natural gas asset management contracts entered into by the distribution utilities. The Company’s policy is to limit the duration of these guarantees. As of December 31, 2025, there were $50.3 million of guarantees outstanding.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Note 5: Equity</w:t>
      </w:r>
    </w:p>
    <w:p>
      <w:pPr>
        <w:spacing w:after="0" w:line="1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231F20"/>
        </w:rPr>
        <w:t>The Company has common stock outstanding and one of the Company’s subsidiaries has preferred stock outstanding.</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Common Stock</w:t>
      </w:r>
    </w:p>
    <w:p>
      <w:pPr>
        <w:spacing w:after="0" w:line="124" w:lineRule="exact"/>
        <w:rPr>
          <w:sz w:val="20"/>
          <w:szCs w:val="20"/>
          <w:color w:val="auto"/>
        </w:rPr>
      </w:pPr>
    </w:p>
    <w:p>
      <w:pPr>
        <w:jc w:val="both"/>
        <w:ind w:right="240" w:firstLine="619"/>
        <w:spacing w:after="0" w:line="259" w:lineRule="auto"/>
        <w:rPr>
          <w:sz w:val="20"/>
          <w:szCs w:val="20"/>
          <w:color w:val="auto"/>
        </w:rPr>
      </w:pPr>
      <w:r>
        <w:rPr>
          <w:rFonts w:ascii="Times New Roman" w:cs="Times New Roman" w:eastAsia="Times New Roman" w:hAnsi="Times New Roman"/>
          <w:sz w:val="21"/>
          <w:szCs w:val="21"/>
          <w:color w:val="231F20"/>
        </w:rPr>
        <w:t>The Company’s common stock trades on the New York Stock Exchange under the symbol “UTL”. The Company had 17,919,191 and 16,192,345 shares of common stock outstanding at December 31, 2025 and December 31, 2024, respectively. The Company has 25,000,000 shares of common stock authorized as of December 31, 2025 and December 31, 2024.</w:t>
      </w:r>
    </w:p>
    <w:p>
      <w:pPr>
        <w:spacing w:after="0" w:line="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231F20"/>
        </w:rPr>
        <w:t>The following table summarizes the Company’s common shares activity for the year ended December 31, 2025:</w:t>
      </w:r>
    </w:p>
    <w:p>
      <w:pPr>
        <w:spacing w:after="0" w:line="377"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7740" w:type="dxa"/>
            <w:vAlign w:val="bottom"/>
            <w:tcBorders>
              <w:bottom w:val="single" w:sz="8" w:color="231F20"/>
            </w:tcBorders>
          </w:tcPr>
          <w:p>
            <w:pPr>
              <w:ind w:left="3340"/>
              <w:spacing w:after="0"/>
              <w:rPr>
                <w:sz w:val="20"/>
                <w:szCs w:val="20"/>
                <w:color w:val="auto"/>
              </w:rPr>
            </w:pPr>
            <w:r>
              <w:rPr>
                <w:rFonts w:ascii="Times New Roman" w:cs="Times New Roman" w:eastAsia="Times New Roman" w:hAnsi="Times New Roman"/>
                <w:sz w:val="16"/>
                <w:szCs w:val="16"/>
                <w:b w:val="1"/>
                <w:bCs w:val="1"/>
                <w:color w:val="231F20"/>
              </w:rPr>
              <w:t>Common Stock</w:t>
            </w:r>
          </w:p>
        </w:tc>
        <w:tc>
          <w:tcPr>
            <w:tcW w:w="200" w:type="dxa"/>
            <w:vAlign w:val="bottom"/>
            <w:tcBorders>
              <w:bottom w:val="single" w:sz="8" w:color="E6E7E8"/>
            </w:tcBorders>
          </w:tcPr>
          <w:p>
            <w:pPr>
              <w:spacing w:after="0"/>
              <w:rPr>
                <w:sz w:val="17"/>
                <w:szCs w:val="17"/>
                <w:color w:val="auto"/>
              </w:rPr>
            </w:pPr>
          </w:p>
        </w:tc>
        <w:tc>
          <w:tcPr>
            <w:tcW w:w="1780" w:type="dxa"/>
            <w:vAlign w:val="bottom"/>
            <w:tcBorders>
              <w:bottom w:val="single" w:sz="8" w:color="231F20"/>
            </w:tcBorders>
          </w:tcPr>
          <w:p>
            <w:pPr>
              <w:jc w:val="right"/>
              <w:ind w:right="625"/>
              <w:spacing w:after="0"/>
              <w:rPr>
                <w:sz w:val="20"/>
                <w:szCs w:val="20"/>
                <w:color w:val="auto"/>
              </w:rPr>
            </w:pPr>
            <w:r>
              <w:rPr>
                <w:rFonts w:ascii="Times New Roman" w:cs="Times New Roman" w:eastAsia="Times New Roman" w:hAnsi="Times New Roman"/>
                <w:sz w:val="16"/>
                <w:szCs w:val="16"/>
                <w:color w:val="231F20"/>
              </w:rPr>
              <w:t>Shares</w:t>
            </w:r>
          </w:p>
        </w:tc>
      </w:tr>
      <w:tr>
        <w:trPr>
          <w:trHeight w:val="239"/>
        </w:trPr>
        <w:tc>
          <w:tcPr>
            <w:tcW w:w="774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Shares as of December 31, 2024</w:t>
            </w:r>
          </w:p>
        </w:tc>
        <w:tc>
          <w:tcPr>
            <w:tcW w:w="200" w:type="dxa"/>
            <w:vAlign w:val="bottom"/>
            <w:shd w:val="clear" w:color="auto" w:fill="E6E7E8"/>
          </w:tcPr>
          <w:p>
            <w:pPr>
              <w:spacing w:after="0"/>
              <w:rPr>
                <w:sz w:val="20"/>
                <w:szCs w:val="20"/>
                <w:color w:val="auto"/>
              </w:rPr>
            </w:pPr>
          </w:p>
        </w:tc>
        <w:tc>
          <w:tcPr>
            <w:tcW w:w="1780" w:type="dxa"/>
            <w:vAlign w:val="bottom"/>
            <w:shd w:val="clear" w:color="auto" w:fill="E6E7E8"/>
          </w:tcPr>
          <w:p>
            <w:pPr>
              <w:jc w:val="right"/>
              <w:ind w:right="5"/>
              <w:spacing w:after="0"/>
              <w:rPr>
                <w:sz w:val="20"/>
                <w:szCs w:val="20"/>
                <w:color w:val="auto"/>
              </w:rPr>
            </w:pPr>
            <w:r>
              <w:rPr>
                <w:rFonts w:ascii="Times New Roman" w:cs="Times New Roman" w:eastAsia="Times New Roman" w:hAnsi="Times New Roman"/>
                <w:sz w:val="20"/>
                <w:szCs w:val="20"/>
                <w:color w:val="231F20"/>
              </w:rPr>
              <w:t>16,192,345</w:t>
            </w:r>
          </w:p>
        </w:tc>
      </w:tr>
      <w:tr>
        <w:trPr>
          <w:trHeight w:val="244"/>
        </w:trPr>
        <w:tc>
          <w:tcPr>
            <w:tcW w:w="7740" w:type="dxa"/>
            <w:vAlign w:val="bottom"/>
          </w:tcPr>
          <w:p>
            <w:pPr>
              <w:spacing w:after="0"/>
              <w:rPr>
                <w:sz w:val="20"/>
                <w:szCs w:val="20"/>
                <w:color w:val="auto"/>
              </w:rPr>
            </w:pPr>
            <w:r>
              <w:rPr>
                <w:rFonts w:ascii="Times New Roman" w:cs="Times New Roman" w:eastAsia="Times New Roman" w:hAnsi="Times New Roman"/>
                <w:sz w:val="20"/>
                <w:szCs w:val="20"/>
                <w:color w:val="231F20"/>
              </w:rPr>
              <w:t>Shares Issued - Equity Issuance</w:t>
            </w:r>
          </w:p>
        </w:tc>
        <w:tc>
          <w:tcPr>
            <w:tcW w:w="200" w:type="dxa"/>
            <w:vAlign w:val="bottom"/>
          </w:tcPr>
          <w:p>
            <w:pPr>
              <w:spacing w:after="0"/>
              <w:rPr>
                <w:sz w:val="21"/>
                <w:szCs w:val="21"/>
                <w:color w:val="auto"/>
              </w:rPr>
            </w:pPr>
          </w:p>
        </w:tc>
        <w:tc>
          <w:tcPr>
            <w:tcW w:w="17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1,602,358</w:t>
            </w:r>
          </w:p>
        </w:tc>
      </w:tr>
      <w:tr>
        <w:trPr>
          <w:trHeight w:val="244"/>
        </w:trPr>
        <w:tc>
          <w:tcPr>
            <w:tcW w:w="774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Shares Issued - ATM</w:t>
            </w:r>
          </w:p>
        </w:tc>
        <w:tc>
          <w:tcPr>
            <w:tcW w:w="1980" w:type="dxa"/>
            <w:vAlign w:val="bottom"/>
            <w:gridSpan w:val="2"/>
            <w:shd w:val="clear" w:color="auto" w:fill="E6E7E8"/>
          </w:tcPr>
          <w:p>
            <w:pPr>
              <w:jc w:val="right"/>
              <w:ind w:right="5"/>
              <w:spacing w:after="0"/>
              <w:rPr>
                <w:sz w:val="20"/>
                <w:szCs w:val="20"/>
                <w:color w:val="auto"/>
              </w:rPr>
            </w:pPr>
            <w:r>
              <w:rPr>
                <w:rFonts w:ascii="Times New Roman" w:cs="Times New Roman" w:eastAsia="Times New Roman" w:hAnsi="Times New Roman"/>
                <w:sz w:val="20"/>
                <w:szCs w:val="20"/>
                <w:color w:val="231F20"/>
              </w:rPr>
              <w:t>27,620</w:t>
            </w:r>
          </w:p>
        </w:tc>
      </w:tr>
      <w:tr>
        <w:trPr>
          <w:trHeight w:val="244"/>
        </w:trPr>
        <w:tc>
          <w:tcPr>
            <w:tcW w:w="7740" w:type="dxa"/>
            <w:vAlign w:val="bottom"/>
          </w:tcPr>
          <w:p>
            <w:pPr>
              <w:spacing w:after="0"/>
              <w:rPr>
                <w:sz w:val="20"/>
                <w:szCs w:val="20"/>
                <w:color w:val="auto"/>
              </w:rPr>
            </w:pPr>
            <w:r>
              <w:rPr>
                <w:rFonts w:ascii="Times New Roman" w:cs="Times New Roman" w:eastAsia="Times New Roman" w:hAnsi="Times New Roman"/>
                <w:sz w:val="20"/>
                <w:szCs w:val="20"/>
                <w:color w:val="231F20"/>
              </w:rPr>
              <w:t>Shares Issued - DRP</w:t>
            </w:r>
          </w:p>
        </w:tc>
        <w:tc>
          <w:tcPr>
            <w:tcW w:w="1980" w:type="dxa"/>
            <w:vAlign w:val="bottom"/>
            <w:gridSpan w:val="2"/>
          </w:tcPr>
          <w:p>
            <w:pPr>
              <w:jc w:val="right"/>
              <w:ind w:right="5"/>
              <w:spacing w:after="0"/>
              <w:rPr>
                <w:sz w:val="20"/>
                <w:szCs w:val="20"/>
                <w:color w:val="auto"/>
              </w:rPr>
            </w:pPr>
            <w:r>
              <w:rPr>
                <w:rFonts w:ascii="Times New Roman" w:cs="Times New Roman" w:eastAsia="Times New Roman" w:hAnsi="Times New Roman"/>
                <w:sz w:val="20"/>
                <w:szCs w:val="20"/>
                <w:color w:val="231F20"/>
              </w:rPr>
              <w:t>21,519</w:t>
            </w:r>
          </w:p>
        </w:tc>
      </w:tr>
      <w:tr>
        <w:trPr>
          <w:trHeight w:val="244"/>
        </w:trPr>
        <w:tc>
          <w:tcPr>
            <w:tcW w:w="774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Shares Issued - Directors</w:t>
            </w:r>
          </w:p>
        </w:tc>
        <w:tc>
          <w:tcPr>
            <w:tcW w:w="1980" w:type="dxa"/>
            <w:vAlign w:val="bottom"/>
            <w:gridSpan w:val="2"/>
            <w:shd w:val="clear" w:color="auto" w:fill="E6E7E8"/>
          </w:tcPr>
          <w:p>
            <w:pPr>
              <w:jc w:val="right"/>
              <w:ind w:right="5"/>
              <w:spacing w:after="0"/>
              <w:rPr>
                <w:sz w:val="20"/>
                <w:szCs w:val="20"/>
                <w:color w:val="auto"/>
              </w:rPr>
            </w:pPr>
            <w:r>
              <w:rPr>
                <w:rFonts w:ascii="Times New Roman" w:cs="Times New Roman" w:eastAsia="Times New Roman" w:hAnsi="Times New Roman"/>
                <w:sz w:val="20"/>
                <w:szCs w:val="20"/>
                <w:color w:val="231F20"/>
              </w:rPr>
              <w:t>14,610</w:t>
            </w:r>
          </w:p>
        </w:tc>
      </w:tr>
      <w:tr>
        <w:trPr>
          <w:trHeight w:val="244"/>
        </w:trPr>
        <w:tc>
          <w:tcPr>
            <w:tcW w:w="7740" w:type="dxa"/>
            <w:vAlign w:val="bottom"/>
          </w:tcPr>
          <w:p>
            <w:pPr>
              <w:spacing w:after="0"/>
              <w:rPr>
                <w:sz w:val="20"/>
                <w:szCs w:val="20"/>
                <w:color w:val="auto"/>
              </w:rPr>
            </w:pPr>
            <w:r>
              <w:rPr>
                <w:rFonts w:ascii="Times New Roman" w:cs="Times New Roman" w:eastAsia="Times New Roman" w:hAnsi="Times New Roman"/>
                <w:sz w:val="20"/>
                <w:szCs w:val="20"/>
                <w:color w:val="231F20"/>
              </w:rPr>
              <w:t>Shares Issued - RSU Settlement</w:t>
            </w:r>
          </w:p>
        </w:tc>
        <w:tc>
          <w:tcPr>
            <w:tcW w:w="1980" w:type="dxa"/>
            <w:vAlign w:val="bottom"/>
            <w:gridSpan w:val="2"/>
          </w:tcPr>
          <w:p>
            <w:pPr>
              <w:jc w:val="right"/>
              <w:ind w:right="5"/>
              <w:spacing w:after="0"/>
              <w:rPr>
                <w:sz w:val="20"/>
                <w:szCs w:val="20"/>
                <w:color w:val="auto"/>
              </w:rPr>
            </w:pPr>
            <w:r>
              <w:rPr>
                <w:rFonts w:ascii="Times New Roman" w:cs="Times New Roman" w:eastAsia="Times New Roman" w:hAnsi="Times New Roman"/>
                <w:sz w:val="20"/>
                <w:szCs w:val="20"/>
                <w:color w:val="231F20"/>
              </w:rPr>
              <w:t>8,525</w:t>
            </w:r>
          </w:p>
        </w:tc>
      </w:tr>
      <w:tr>
        <w:trPr>
          <w:trHeight w:val="244"/>
        </w:trPr>
        <w:tc>
          <w:tcPr>
            <w:tcW w:w="774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Shares Issued - Time Restricted</w:t>
            </w:r>
          </w:p>
        </w:tc>
        <w:tc>
          <w:tcPr>
            <w:tcW w:w="1980" w:type="dxa"/>
            <w:vAlign w:val="bottom"/>
            <w:gridSpan w:val="2"/>
            <w:shd w:val="clear" w:color="auto" w:fill="E6E7E8"/>
          </w:tcPr>
          <w:p>
            <w:pPr>
              <w:jc w:val="right"/>
              <w:ind w:right="5"/>
              <w:spacing w:after="0"/>
              <w:rPr>
                <w:sz w:val="20"/>
                <w:szCs w:val="20"/>
                <w:color w:val="auto"/>
              </w:rPr>
            </w:pPr>
            <w:r>
              <w:rPr>
                <w:rFonts w:ascii="Times New Roman" w:cs="Times New Roman" w:eastAsia="Times New Roman" w:hAnsi="Times New Roman"/>
                <w:sz w:val="20"/>
                <w:szCs w:val="20"/>
                <w:color w:val="231F20"/>
              </w:rPr>
              <w:t>26,430</w:t>
            </w:r>
          </w:p>
        </w:tc>
      </w:tr>
      <w:tr>
        <w:trPr>
          <w:trHeight w:val="244"/>
        </w:trPr>
        <w:tc>
          <w:tcPr>
            <w:tcW w:w="7740" w:type="dxa"/>
            <w:vAlign w:val="bottom"/>
          </w:tcPr>
          <w:p>
            <w:pPr>
              <w:spacing w:after="0"/>
              <w:rPr>
                <w:sz w:val="20"/>
                <w:szCs w:val="20"/>
                <w:color w:val="auto"/>
              </w:rPr>
            </w:pPr>
            <w:r>
              <w:rPr>
                <w:rFonts w:ascii="Times New Roman" w:cs="Times New Roman" w:eastAsia="Times New Roman" w:hAnsi="Times New Roman"/>
                <w:sz w:val="20"/>
                <w:szCs w:val="20"/>
                <w:color w:val="231F20"/>
              </w:rPr>
              <w:t>Shares Issued - Performance Restricted</w:t>
            </w:r>
          </w:p>
        </w:tc>
        <w:tc>
          <w:tcPr>
            <w:tcW w:w="1980" w:type="dxa"/>
            <w:vAlign w:val="bottom"/>
            <w:gridSpan w:val="2"/>
          </w:tcPr>
          <w:p>
            <w:pPr>
              <w:jc w:val="right"/>
              <w:ind w:right="5"/>
              <w:spacing w:after="0"/>
              <w:rPr>
                <w:sz w:val="20"/>
                <w:szCs w:val="20"/>
                <w:color w:val="auto"/>
              </w:rPr>
            </w:pPr>
            <w:r>
              <w:rPr>
                <w:rFonts w:ascii="Times New Roman" w:cs="Times New Roman" w:eastAsia="Times New Roman" w:hAnsi="Times New Roman"/>
                <w:sz w:val="20"/>
                <w:szCs w:val="20"/>
                <w:color w:val="231F20"/>
              </w:rPr>
              <w:t>26,430</w:t>
            </w:r>
          </w:p>
        </w:tc>
      </w:tr>
      <w:tr>
        <w:trPr>
          <w:trHeight w:val="244"/>
        </w:trPr>
        <w:tc>
          <w:tcPr>
            <w:tcW w:w="774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Forfeited Shares - Time Restricted</w:t>
            </w:r>
          </w:p>
        </w:tc>
        <w:tc>
          <w:tcPr>
            <w:tcW w:w="1980" w:type="dxa"/>
            <w:vAlign w:val="bottom"/>
            <w:gridSpan w:val="2"/>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(396)</w:t>
            </w:r>
          </w:p>
        </w:tc>
      </w:tr>
      <w:tr>
        <w:trPr>
          <w:trHeight w:val="244"/>
        </w:trPr>
        <w:tc>
          <w:tcPr>
            <w:tcW w:w="7740" w:type="dxa"/>
            <w:vAlign w:val="bottom"/>
          </w:tcPr>
          <w:p>
            <w:pPr>
              <w:spacing w:after="0"/>
              <w:rPr>
                <w:sz w:val="20"/>
                <w:szCs w:val="20"/>
                <w:color w:val="auto"/>
              </w:rPr>
            </w:pPr>
            <w:r>
              <w:rPr>
                <w:rFonts w:ascii="Times New Roman" w:cs="Times New Roman" w:eastAsia="Times New Roman" w:hAnsi="Times New Roman"/>
                <w:sz w:val="20"/>
                <w:szCs w:val="20"/>
                <w:color w:val="231F20"/>
              </w:rPr>
              <w:t>Forfeited Shares - Performance Restricted</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(250)</w:t>
            </w:r>
          </w:p>
        </w:tc>
      </w:tr>
      <w:tr>
        <w:trPr>
          <w:trHeight w:val="239"/>
        </w:trPr>
        <w:tc>
          <w:tcPr>
            <w:tcW w:w="7740" w:type="dxa"/>
            <w:vAlign w:val="bottom"/>
            <w:tcBorders>
              <w:top w:val="single" w:sz="8" w:color="E6E7E8"/>
            </w:tcBorders>
            <w:shd w:val="clear" w:color="auto" w:fill="E6E7E8"/>
          </w:tcPr>
          <w:p>
            <w:pPr>
              <w:spacing w:after="0"/>
              <w:rPr>
                <w:sz w:val="20"/>
                <w:szCs w:val="20"/>
                <w:color w:val="auto"/>
              </w:rPr>
            </w:pPr>
            <w:r>
              <w:rPr>
                <w:rFonts w:ascii="Times New Roman" w:cs="Times New Roman" w:eastAsia="Times New Roman" w:hAnsi="Times New Roman"/>
                <w:sz w:val="20"/>
                <w:szCs w:val="20"/>
                <w:color w:val="231F20"/>
              </w:rPr>
              <w:t>Shares as of December 31, 2025</w:t>
            </w:r>
          </w:p>
        </w:tc>
        <w:tc>
          <w:tcPr>
            <w:tcW w:w="200" w:type="dxa"/>
            <w:vAlign w:val="bottom"/>
            <w:tcBorders>
              <w:top w:val="single" w:sz="8" w:color="E6E7E8"/>
            </w:tcBorders>
            <w:shd w:val="clear" w:color="auto" w:fill="E6E7E8"/>
          </w:tcPr>
          <w:p>
            <w:pPr>
              <w:spacing w:after="0"/>
              <w:rPr>
                <w:sz w:val="20"/>
                <w:szCs w:val="20"/>
                <w:color w:val="auto"/>
              </w:rPr>
            </w:pPr>
          </w:p>
        </w:tc>
        <w:tc>
          <w:tcPr>
            <w:tcW w:w="1780" w:type="dxa"/>
            <w:vAlign w:val="bottom"/>
            <w:tcBorders>
              <w:top w:val="single" w:sz="8" w:color="231F20"/>
              <w:bottom w:val="single" w:sz="8" w:color="231F20"/>
            </w:tcBorders>
            <w:shd w:val="clear" w:color="auto" w:fill="E6E7E8"/>
          </w:tcPr>
          <w:p>
            <w:pPr>
              <w:jc w:val="right"/>
              <w:ind w:right="5"/>
              <w:spacing w:after="0"/>
              <w:rPr>
                <w:sz w:val="20"/>
                <w:szCs w:val="20"/>
                <w:color w:val="auto"/>
              </w:rPr>
            </w:pPr>
            <w:r>
              <w:rPr>
                <w:rFonts w:ascii="Times New Roman" w:cs="Times New Roman" w:eastAsia="Times New Roman" w:hAnsi="Times New Roman"/>
                <w:sz w:val="20"/>
                <w:szCs w:val="20"/>
                <w:color w:val="231F20"/>
              </w:rPr>
              <w:t>17,919,191</w:t>
            </w:r>
          </w:p>
        </w:tc>
      </w:tr>
      <w:tr>
        <w:trPr>
          <w:trHeight w:val="20"/>
        </w:trPr>
        <w:tc>
          <w:tcPr>
            <w:tcW w:w="7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Borders>
              <w:bottom w:val="single" w:sz="8" w:color="231F20"/>
            </w:tcBorders>
          </w:tcPr>
          <w:p>
            <w:pPr>
              <w:spacing w:after="0" w:line="20" w:lineRule="exact"/>
              <w:rPr>
                <w:sz w:val="1"/>
                <w:szCs w:val="1"/>
                <w:color w:val="auto"/>
              </w:rPr>
            </w:pPr>
          </w:p>
        </w:tc>
      </w:tr>
    </w:tbl>
    <w:p>
      <w:pPr>
        <w:spacing w:after="0" w:line="215"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21"/>
          <w:szCs w:val="21"/>
          <w:b w:val="1"/>
          <w:bCs w:val="1"/>
          <w:color w:val="231F20"/>
        </w:rPr>
        <w:t>Unitil Corporation Underwritten Common Stock Offering—</w:t>
      </w:r>
      <w:r>
        <w:rPr>
          <w:rFonts w:ascii="Times New Roman" w:cs="Times New Roman" w:eastAsia="Times New Roman" w:hAnsi="Times New Roman"/>
          <w:sz w:val="21"/>
          <w:szCs w:val="21"/>
          <w:color w:val="231F20"/>
        </w:rPr>
        <w:t>On August 18, 2025, the Company issued and sold</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1,602,358 shares of its common stock at a price of $46.65 per share in an underwritten registered public offering (Offering). The Company’s net increase to Common Equity and Cash proceeds from the Offering was approximately $71.8 million. The proceeds will be used to make equity capital contributions to the Company’s regulated utility subsidiaries, to repay debt and for other general corporate purposes. Overall, the results of operations and earnings in 2025 reflect the higher number of average shares outstanding.</w:t>
      </w:r>
    </w:p>
    <w:p>
      <w:pPr>
        <w:spacing w:after="0" w:line="192" w:lineRule="exact"/>
        <w:rPr>
          <w:sz w:val="20"/>
          <w:szCs w:val="20"/>
          <w:color w:val="auto"/>
        </w:rPr>
      </w:pPr>
    </w:p>
    <w:p>
      <w:pPr>
        <w:ind w:right="80" w:firstLine="619"/>
        <w:spacing w:after="0" w:line="250" w:lineRule="auto"/>
        <w:rPr>
          <w:sz w:val="20"/>
          <w:szCs w:val="20"/>
          <w:color w:val="auto"/>
        </w:rPr>
      </w:pPr>
      <w:r>
        <w:rPr>
          <w:rFonts w:ascii="Times New Roman" w:cs="Times New Roman" w:eastAsia="Times New Roman" w:hAnsi="Times New Roman"/>
          <w:sz w:val="20"/>
          <w:szCs w:val="20"/>
          <w:b w:val="1"/>
          <w:bCs w:val="1"/>
          <w:color w:val="231F20"/>
        </w:rPr>
        <w:t>At-the-Market Equity Offering Program</w:t>
      </w:r>
      <w:r>
        <w:rPr>
          <w:rFonts w:ascii="Times New Roman" w:cs="Times New Roman" w:eastAsia="Times New Roman" w:hAnsi="Times New Roman"/>
          <w:sz w:val="21"/>
          <w:szCs w:val="21"/>
          <w:b w:val="1"/>
          <w:bCs w:val="1"/>
          <w:color w:val="231F20"/>
        </w:rPr>
        <w:t>—</w:t>
      </w:r>
      <w:r>
        <w:rPr>
          <w:rFonts w:ascii="Times New Roman" w:cs="Times New Roman" w:eastAsia="Times New Roman" w:hAnsi="Times New Roman"/>
          <w:sz w:val="20"/>
          <w:szCs w:val="20"/>
          <w:color w:val="231F20"/>
        </w:rPr>
        <w:t>On June 3, 2025, the Company entered into an at-the-market equity offering</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program (ATM program) with sales agents under which the Company may, from time to time, offer and sell shares of its common stock having an aggregate offering price of up to $ 50 million. Sales of common stock under the ATM program are made pursuant to a shelf registration statement on Form S-3 (File No. File No. 333-287753) and a related prospectus supplement filed with the Securities and Exchange Commission.</w:t>
      </w:r>
    </w:p>
    <w:p>
      <w:pPr>
        <w:spacing w:after="0" w:line="197" w:lineRule="exact"/>
        <w:rPr>
          <w:sz w:val="20"/>
          <w:szCs w:val="20"/>
          <w:color w:val="auto"/>
        </w:rPr>
      </w:pPr>
    </w:p>
    <w:p>
      <w:pPr>
        <w:ind w:right="180" w:firstLine="619"/>
        <w:spacing w:after="0" w:line="258" w:lineRule="auto"/>
        <w:rPr>
          <w:sz w:val="20"/>
          <w:szCs w:val="20"/>
          <w:color w:val="auto"/>
        </w:rPr>
      </w:pPr>
      <w:r>
        <w:rPr>
          <w:rFonts w:ascii="Times New Roman" w:cs="Times New Roman" w:eastAsia="Times New Roman" w:hAnsi="Times New Roman"/>
          <w:sz w:val="20"/>
          <w:szCs w:val="20"/>
          <w:color w:val="231F20"/>
        </w:rPr>
        <w:t>During the year ended December 31, 2025, the Company sold 27,620 shares of common stock under the ATM program at an average price of $53.00 per share, resulting in gross proceeds of $1.5 million and net proceeds of $1.4 million after deducting commissions and offering expenses. As of December 31, 2025, $48.5 million remains available for future sales under the program.</w:t>
      </w:r>
    </w:p>
    <w:p>
      <w:pPr>
        <w:spacing w:after="0" w:line="188" w:lineRule="exact"/>
        <w:rPr>
          <w:sz w:val="20"/>
          <w:szCs w:val="20"/>
          <w:color w:val="auto"/>
        </w:rPr>
      </w:pPr>
    </w:p>
    <w:p>
      <w:pPr>
        <w:jc w:val="both"/>
        <w:ind w:right="560" w:firstLine="619"/>
        <w:spacing w:after="0" w:line="258" w:lineRule="auto"/>
        <w:rPr>
          <w:sz w:val="20"/>
          <w:szCs w:val="20"/>
          <w:color w:val="auto"/>
        </w:rPr>
      </w:pPr>
      <w:r>
        <w:rPr>
          <w:rFonts w:ascii="Times New Roman" w:cs="Times New Roman" w:eastAsia="Times New Roman" w:hAnsi="Times New Roman"/>
          <w:sz w:val="20"/>
          <w:szCs w:val="20"/>
          <w:color w:val="231F20"/>
        </w:rPr>
        <w:t>The Company intends to use the net proceeds from the ATM program for general corporate purposes, including capital contributions to the Company's utility subsidiaries, repayment of debt, acquisitions, capital expenditures and working capital, as described in the prospectus supplement relating to the ATM program.</w:t>
      </w:r>
    </w:p>
    <w:p>
      <w:pPr>
        <w:spacing w:after="0" w:line="183" w:lineRule="exact"/>
        <w:rPr>
          <w:sz w:val="20"/>
          <w:szCs w:val="20"/>
          <w:color w:val="auto"/>
        </w:rPr>
      </w:pPr>
    </w:p>
    <w:p>
      <w:pPr>
        <w:ind w:right="120" w:firstLine="619"/>
        <w:spacing w:after="0" w:line="271" w:lineRule="auto"/>
        <w:rPr>
          <w:sz w:val="20"/>
          <w:szCs w:val="20"/>
          <w:color w:val="auto"/>
        </w:rPr>
      </w:pPr>
      <w:r>
        <w:rPr>
          <w:rFonts w:ascii="Times New Roman" w:cs="Times New Roman" w:eastAsia="Times New Roman" w:hAnsi="Times New Roman"/>
          <w:sz w:val="20"/>
          <w:szCs w:val="20"/>
          <w:b w:val="1"/>
          <w:bCs w:val="1"/>
          <w:color w:val="231F20"/>
        </w:rPr>
        <w:t>Dividend Reinvestment and Stock Purchase Plan—</w:t>
      </w:r>
      <w:r>
        <w:rPr>
          <w:rFonts w:ascii="Times New Roman" w:cs="Times New Roman" w:eastAsia="Times New Roman" w:hAnsi="Times New Roman"/>
          <w:sz w:val="20"/>
          <w:szCs w:val="20"/>
          <w:color w:val="231F20"/>
        </w:rPr>
        <w:t>During 2025, the Company sold 21,519 shares of its common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stock, at an average price of $51.83 per share, in connection with its Dividend Reinvestment and Stock Purchase Plan (DRP) and its 401(k) plans resulting in net proceeds of $ 1.1 million. The DRP provides participants in the plan a method for investing cash dividends on the Company’s common stock and cash payments in additional shares of the Company’s common stock.</w:t>
      </w:r>
    </w:p>
    <w:p>
      <w:pPr>
        <w:sectPr>
          <w:pgSz w:w="12240" w:h="15840" w:orient="portrait"/>
          <w:cols w:equalWidth="0" w:num="1">
            <w:col w:w="10800"/>
          </w:cols>
          <w:pgMar w:left="720" w:top="924" w:right="720" w:bottom="188"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63</w:t>
      </w:r>
    </w:p>
    <w:p>
      <w:pPr>
        <w:sectPr>
          <w:pgSz w:w="12240" w:h="15840" w:orient="portrait"/>
          <w:cols w:equalWidth="0" w:num="1">
            <w:col w:w="10800"/>
          </w:cols>
          <w:pgMar w:left="720" w:top="924" w:right="720" w:bottom="188" w:gutter="0" w:footer="0" w:header="0"/>
          <w:type w:val="continuous"/>
        </w:sectPr>
      </w:pPr>
    </w:p>
    <w:bookmarkStart w:id="83" w:name="page84"/>
    <w:bookmarkEnd w:id="83"/>
    <w:p>
      <w:pPr>
        <w:ind w:right="420"/>
        <w:spacing w:after="0" w:line="279" w:lineRule="auto"/>
        <w:rPr>
          <w:sz w:val="20"/>
          <w:szCs w:val="20"/>
          <w:color w:val="auto"/>
        </w:rPr>
      </w:pPr>
      <w:r>
        <w:rPr>
          <w:rFonts w:ascii="Times New Roman" w:cs="Times New Roman" w:eastAsia="Times New Roman" w:hAnsi="Times New Roman"/>
          <w:sz w:val="21"/>
          <w:szCs w:val="21"/>
          <w:color w:val="231F20"/>
        </w:rPr>
        <w:t>During 2024 and 2023, the Company raised $1.1 million and $1.1 million, respectively, through the issuance of 19,510 and 21,321 shares, respectively, of its common stock in connection with its DRP and 401(k) plans.</w:t>
      </w:r>
    </w:p>
    <w:p>
      <w:pPr>
        <w:spacing w:after="0" w:line="158" w:lineRule="exact"/>
        <w:rPr>
          <w:sz w:val="20"/>
          <w:szCs w:val="20"/>
          <w:color w:val="auto"/>
        </w:rPr>
      </w:pPr>
    </w:p>
    <w:p>
      <w:pPr>
        <w:ind w:firstLine="612"/>
        <w:spacing w:after="0" w:line="244" w:lineRule="auto"/>
        <w:rPr>
          <w:sz w:val="20"/>
          <w:szCs w:val="20"/>
          <w:color w:val="auto"/>
        </w:rPr>
      </w:pPr>
      <w:r>
        <w:rPr>
          <w:rFonts w:ascii="Times New Roman" w:cs="Times New Roman" w:eastAsia="Times New Roman" w:hAnsi="Times New Roman"/>
          <w:sz w:val="21"/>
          <w:szCs w:val="21"/>
          <w:b w:val="1"/>
          <w:bCs w:val="1"/>
          <w:color w:val="231F20"/>
        </w:rPr>
        <w:t>Common Shares Repurchased, Cancelled and Retired—</w:t>
      </w:r>
      <w:r>
        <w:rPr>
          <w:rFonts w:ascii="Times New Roman" w:cs="Times New Roman" w:eastAsia="Times New Roman" w:hAnsi="Times New Roman"/>
          <w:sz w:val="21"/>
          <w:szCs w:val="21"/>
          <w:color w:val="231F20"/>
        </w:rPr>
        <w:t>Pursuant to the written trading plan under Rule 10b5-1 under</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the Securities Exchange Act of 1934, as amended (the Exchange Act), adopted by the Company on May 1, 2014 (trading plan), until October 3, 2024, the Company periodically repurchased shares of its common stock on the open market related to the stock portion of the annual retainer for the members of the Company’s Board of Directors. Until December 1, 2018, the Company also periodically repurchased shares of its common stock on the open market related to Employee Length of Service Awards. On May 31, 2024, the Company’s 2023 trading plan terminated in accordance with its terms. The Company did not adopt a new written trading plan under Rule 10b5-1 and does not anticipate doing so in the near term. (See Part II, Item 5, for additional information). During 2025, 2024 and 2023, the Company repurchased zero, zero and 14,680 shares of its common stock, respectively, pursuant to the Rule 10b5-1 trading plan. The expense recognized by the Company for these repurchases was zero, zero, and $0.6 million in 2025, 2024 and 2023, respectively.</w:t>
      </w:r>
    </w:p>
    <w:p>
      <w:pPr>
        <w:spacing w:after="0" w:line="2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231F20"/>
        </w:rPr>
        <w:t>During 2025, 2024 and 2023, the Company did not cancel or retire any of its common stock.</w:t>
      </w:r>
    </w:p>
    <w:p>
      <w:pPr>
        <w:spacing w:after="0" w:line="236" w:lineRule="exact"/>
        <w:rPr>
          <w:sz w:val="20"/>
          <w:szCs w:val="20"/>
          <w:color w:val="auto"/>
        </w:rPr>
      </w:pPr>
    </w:p>
    <w:p>
      <w:pPr>
        <w:jc w:val="both"/>
        <w:ind w:right="140" w:firstLine="612"/>
        <w:spacing w:after="0" w:line="261" w:lineRule="auto"/>
        <w:rPr>
          <w:sz w:val="20"/>
          <w:szCs w:val="20"/>
          <w:color w:val="auto"/>
        </w:rPr>
      </w:pPr>
      <w:r>
        <w:rPr>
          <w:rFonts w:ascii="Times New Roman" w:cs="Times New Roman" w:eastAsia="Times New Roman" w:hAnsi="Times New Roman"/>
          <w:sz w:val="21"/>
          <w:szCs w:val="21"/>
          <w:b w:val="1"/>
          <w:bCs w:val="1"/>
          <w:color w:val="231F20"/>
        </w:rPr>
        <w:t>Stock-Based Compensation Plans—</w:t>
      </w:r>
      <w:r>
        <w:rPr>
          <w:rFonts w:ascii="Times New Roman" w:cs="Times New Roman" w:eastAsia="Times New Roman" w:hAnsi="Times New Roman"/>
          <w:sz w:val="21"/>
          <w:szCs w:val="21"/>
          <w:color w:val="231F20"/>
        </w:rPr>
        <w:t>Unitil maintains a stock-based compensation plan. The Company accounts for its</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stock-based compensation plan in accordance with the provisions of the FASB Codification and measures compensation costs at fair value at the grant date.</w:t>
      </w:r>
    </w:p>
    <w:p>
      <w:pPr>
        <w:spacing w:after="0" w:line="181" w:lineRule="exact"/>
        <w:rPr>
          <w:sz w:val="20"/>
          <w:szCs w:val="20"/>
          <w:color w:val="auto"/>
        </w:rPr>
      </w:pPr>
    </w:p>
    <w:p>
      <w:pPr>
        <w:ind w:firstLine="612"/>
        <w:spacing w:after="0" w:line="243" w:lineRule="auto"/>
        <w:rPr>
          <w:sz w:val="20"/>
          <w:szCs w:val="20"/>
          <w:color w:val="auto"/>
        </w:rPr>
      </w:pPr>
      <w:r>
        <w:rPr>
          <w:rFonts w:ascii="Times New Roman" w:cs="Times New Roman" w:eastAsia="Times New Roman" w:hAnsi="Times New Roman"/>
          <w:sz w:val="21"/>
          <w:szCs w:val="21"/>
          <w:color w:val="231F20"/>
        </w:rPr>
        <w:t>The Company maintains the Unitil Corporation Third Amended and Restated 2003 Stock Plan (as amended, the “Stock Plan”). Participants in the Stock Plan are selected by the Compensation Committee of the Board of Directors to receive awards under the Stock Plan, including: (i) awards of restricted shares that vest based on time (Time Restricted Shares); (ii) awards of restricted shares that vest based on performance (Performance Restricted Shares), effective January 24, 2023; or (iii) awards of restricted stock units (Restricted Stock Units). The Compensation Committee has the authority to determine the sizes of awards; determine the terms and conditions of awards in a manner consistent with the Stock Plan; construe and interpret the Stock Plan and any agreement or instrument entered into under the Stock Plan as they apply to participants; establish, amend, or waive rules and regulations for the Stock Plan’s administration as they apply to participants; and, subject to the provisions of the Stock Plan, amend the terms and conditions of any outstanding award to the extent such terms and conditions are within the discretion of the Compensation Committee as provided for in the Stock Plan. On April 19, 2012 and May 1, 2024, the Company’s shareholders approved amendments to the Stock Plan to, among other things, increase the maximum number of shares of common stock available for awards to plan participants.</w:t>
      </w:r>
    </w:p>
    <w:p>
      <w:pPr>
        <w:spacing w:after="0" w:line="204"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21"/>
          <w:szCs w:val="21"/>
          <w:color w:val="231F20"/>
        </w:rPr>
        <w:t>The maximum number of shares available for awards to participants under the Stock Plan was 677,500 as of March 31, 2024, and was increased on May 1, 2024 to 1,027,500. The maximum number of shares that may be awarded in any one calendar year to any one participant is 20,000. In the event of certain changes in capitalization of the Company, the Compensation Committee is authorized to make an equitable adjustment to the number and kind of shares of common stock that may be delivered under the Stock Plan and, in addition, may authorize and make an equitable adjustment to the Stock Plan’s annual individual award limit.</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231F20"/>
        </w:rPr>
        <w:t>Time Restricted Shares</w:t>
      </w:r>
    </w:p>
    <w:p>
      <w:pPr>
        <w:spacing w:after="0" w:line="120" w:lineRule="exact"/>
        <w:rPr>
          <w:sz w:val="20"/>
          <w:szCs w:val="20"/>
          <w:color w:val="auto"/>
        </w:rPr>
      </w:pPr>
    </w:p>
    <w:p>
      <w:pPr>
        <w:ind w:right="160" w:firstLine="612"/>
        <w:spacing w:after="0" w:line="249" w:lineRule="auto"/>
        <w:rPr>
          <w:sz w:val="20"/>
          <w:szCs w:val="20"/>
          <w:color w:val="auto"/>
        </w:rPr>
      </w:pPr>
      <w:r>
        <w:rPr>
          <w:rFonts w:ascii="Times New Roman" w:cs="Times New Roman" w:eastAsia="Times New Roman" w:hAnsi="Times New Roman"/>
          <w:sz w:val="21"/>
          <w:szCs w:val="21"/>
          <w:color w:val="231F20"/>
        </w:rPr>
        <w:t>Outstanding awards of Time Restricted Shares fully vest over a period of four years at a rate of 25% each year. During the vesting period, dividends on Time Restricted Shares underlying the award may be credited to a participant’s account. The Company may deduct or withhold, or require a participant to remit to the Company, an amount sufficient to satisfy any taxes required by federal, state, or local law or regulation to be withheld with respect to any taxable event arising in connection with an award.</w:t>
      </w:r>
    </w:p>
    <w:p>
      <w:pPr>
        <w:spacing w:after="0" w:line="195" w:lineRule="exact"/>
        <w:rPr>
          <w:sz w:val="20"/>
          <w:szCs w:val="20"/>
          <w:color w:val="auto"/>
        </w:rPr>
      </w:pPr>
    </w:p>
    <w:p>
      <w:pPr>
        <w:ind w:right="200" w:firstLine="612"/>
        <w:spacing w:after="0" w:line="279" w:lineRule="auto"/>
        <w:rPr>
          <w:sz w:val="20"/>
          <w:szCs w:val="20"/>
          <w:color w:val="auto"/>
        </w:rPr>
      </w:pPr>
      <w:r>
        <w:rPr>
          <w:rFonts w:ascii="Times New Roman" w:cs="Times New Roman" w:eastAsia="Times New Roman" w:hAnsi="Times New Roman"/>
          <w:sz w:val="21"/>
          <w:szCs w:val="21"/>
          <w:color w:val="231F20"/>
        </w:rPr>
        <w:t>Prior to the end of the vesting period, the Time Restricted Shares are subject to forfeiture if the participant ceases to be employed by the Company other than due to the participant’s death, disability or retirement.</w:t>
      </w:r>
    </w:p>
    <w:p>
      <w:pPr>
        <w:sectPr>
          <w:pgSz w:w="12240" w:h="15840" w:orient="portrait"/>
          <w:cols w:equalWidth="0" w:num="1">
            <w:col w:w="10780"/>
          </w:cols>
          <w:pgMar w:left="720" w:top="929" w:right="74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64</w:t>
      </w:r>
    </w:p>
    <w:p>
      <w:pPr>
        <w:sectPr>
          <w:pgSz w:w="12240" w:h="15840" w:orient="portrait"/>
          <w:cols w:equalWidth="0" w:num="1">
            <w:col w:w="10780"/>
          </w:cols>
          <w:pgMar w:left="720" w:top="929" w:right="740" w:bottom="188" w:gutter="0" w:footer="0" w:header="0"/>
          <w:type w:val="continuous"/>
        </w:sectPr>
      </w:pPr>
    </w:p>
    <w:bookmarkStart w:id="84" w:name="page85"/>
    <w:bookmarkEnd w:id="84"/>
    <w:p>
      <w:pPr>
        <w:ind w:right="80" w:firstLine="612"/>
        <w:spacing w:after="0" w:line="279" w:lineRule="auto"/>
        <w:rPr>
          <w:sz w:val="20"/>
          <w:szCs w:val="20"/>
          <w:color w:val="auto"/>
        </w:rPr>
      </w:pPr>
      <w:r>
        <w:rPr>
          <w:rFonts w:ascii="Times New Roman" w:cs="Times New Roman" w:eastAsia="Times New Roman" w:hAnsi="Times New Roman"/>
          <w:sz w:val="21"/>
          <w:szCs w:val="21"/>
          <w:color w:val="231F20"/>
        </w:rPr>
        <w:t>Time Restricted Shares issued in the years ended 2023, 2024, and 2025 in conjunction with the Stock Plan are presented in the following table:</w:t>
      </w:r>
    </w:p>
    <w:p>
      <w:pPr>
        <w:spacing w:after="0" w:line="199"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2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Aggregate</w:t>
            </w:r>
          </w:p>
        </w:tc>
      </w:tr>
      <w:tr>
        <w:trPr>
          <w:trHeight w:val="203"/>
        </w:trPr>
        <w:tc>
          <w:tcPr>
            <w:tcW w:w="27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Issuance Date</w:t>
            </w:r>
          </w:p>
        </w:tc>
        <w:tc>
          <w:tcPr>
            <w:tcW w:w="160" w:type="dxa"/>
            <w:vAlign w:val="bottom"/>
            <w:tcBorders>
              <w:bottom w:val="single" w:sz="8" w:color="E6E7E8"/>
            </w:tcBorders>
          </w:tcPr>
          <w:p>
            <w:pPr>
              <w:spacing w:after="0"/>
              <w:rPr>
                <w:sz w:val="17"/>
                <w:szCs w:val="17"/>
                <w:color w:val="auto"/>
              </w:rPr>
            </w:pPr>
          </w:p>
        </w:tc>
        <w:tc>
          <w:tcPr>
            <w:tcW w:w="27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Shares</w:t>
            </w:r>
          </w:p>
        </w:tc>
        <w:tc>
          <w:tcPr>
            <w:tcW w:w="160" w:type="dxa"/>
            <w:vAlign w:val="bottom"/>
            <w:tcBorders>
              <w:bottom w:val="single" w:sz="8" w:color="E6E7E8"/>
            </w:tcBorders>
          </w:tcPr>
          <w:p>
            <w:pPr>
              <w:spacing w:after="0"/>
              <w:rPr>
                <w:sz w:val="17"/>
                <w:szCs w:val="17"/>
                <w:color w:val="auto"/>
              </w:rPr>
            </w:pPr>
          </w:p>
        </w:tc>
        <w:tc>
          <w:tcPr>
            <w:tcW w:w="27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Market Value (millions)</w:t>
            </w:r>
          </w:p>
        </w:tc>
      </w:tr>
      <w:tr>
        <w:trPr>
          <w:trHeight w:val="214"/>
        </w:trPr>
        <w:tc>
          <w:tcPr>
            <w:tcW w:w="2780" w:type="dxa"/>
            <w:vAlign w:val="bottom"/>
            <w:shd w:val="clear" w:color="auto" w:fill="E6E7E8"/>
          </w:tcPr>
          <w:p>
            <w:pPr>
              <w:jc w:val="center"/>
              <w:spacing w:after="0" w:line="214" w:lineRule="exact"/>
              <w:rPr>
                <w:sz w:val="20"/>
                <w:szCs w:val="20"/>
                <w:color w:val="auto"/>
              </w:rPr>
            </w:pPr>
            <w:r>
              <w:rPr>
                <w:rFonts w:ascii="Times New Roman" w:cs="Times New Roman" w:eastAsia="Times New Roman" w:hAnsi="Times New Roman"/>
                <w:sz w:val="19"/>
                <w:szCs w:val="19"/>
                <w:color w:val="231F20"/>
              </w:rPr>
              <w:t>1/24/2023</w:t>
            </w:r>
          </w:p>
        </w:tc>
        <w:tc>
          <w:tcPr>
            <w:tcW w:w="160" w:type="dxa"/>
            <w:vAlign w:val="bottom"/>
            <w:shd w:val="clear" w:color="auto" w:fill="E6E7E8"/>
          </w:tcPr>
          <w:p>
            <w:pPr>
              <w:spacing w:after="0"/>
              <w:rPr>
                <w:sz w:val="18"/>
                <w:szCs w:val="18"/>
                <w:color w:val="auto"/>
              </w:rPr>
            </w:pPr>
          </w:p>
        </w:tc>
        <w:tc>
          <w:tcPr>
            <w:tcW w:w="2760" w:type="dxa"/>
            <w:vAlign w:val="bottom"/>
            <w:shd w:val="clear" w:color="auto" w:fill="E6E7E8"/>
          </w:tcPr>
          <w:p>
            <w:pPr>
              <w:jc w:val="center"/>
              <w:spacing w:after="0" w:line="214" w:lineRule="exact"/>
              <w:rPr>
                <w:sz w:val="20"/>
                <w:szCs w:val="20"/>
                <w:color w:val="auto"/>
              </w:rPr>
            </w:pPr>
            <w:r>
              <w:rPr>
                <w:rFonts w:ascii="Times New Roman" w:cs="Times New Roman" w:eastAsia="Times New Roman" w:hAnsi="Times New Roman"/>
                <w:sz w:val="19"/>
                <w:szCs w:val="19"/>
                <w:color w:val="231F20"/>
                <w:w w:val="99"/>
              </w:rPr>
              <w:t>18,770</w:t>
            </w:r>
          </w:p>
        </w:tc>
        <w:tc>
          <w:tcPr>
            <w:tcW w:w="160" w:type="dxa"/>
            <w:vAlign w:val="bottom"/>
            <w:shd w:val="clear" w:color="auto" w:fill="E6E7E8"/>
          </w:tcPr>
          <w:p>
            <w:pPr>
              <w:spacing w:after="0"/>
              <w:rPr>
                <w:sz w:val="18"/>
                <w:szCs w:val="18"/>
                <w:color w:val="auto"/>
              </w:rPr>
            </w:pPr>
          </w:p>
        </w:tc>
        <w:tc>
          <w:tcPr>
            <w:tcW w:w="2780" w:type="dxa"/>
            <w:vAlign w:val="bottom"/>
            <w:shd w:val="clear" w:color="auto" w:fill="E6E7E8"/>
          </w:tcPr>
          <w:p>
            <w:pPr>
              <w:jc w:val="center"/>
              <w:spacing w:after="0" w:line="214" w:lineRule="exact"/>
              <w:rPr>
                <w:sz w:val="20"/>
                <w:szCs w:val="20"/>
                <w:color w:val="auto"/>
              </w:rPr>
            </w:pPr>
            <w:r>
              <w:rPr>
                <w:rFonts w:ascii="Times New Roman" w:cs="Times New Roman" w:eastAsia="Times New Roman" w:hAnsi="Times New Roman"/>
                <w:sz w:val="19"/>
                <w:szCs w:val="19"/>
                <w:color w:val="231F20"/>
              </w:rPr>
              <w:t>$1.0</w:t>
            </w:r>
          </w:p>
        </w:tc>
      </w:tr>
      <w:tr>
        <w:trPr>
          <w:trHeight w:val="218"/>
        </w:trPr>
        <w:tc>
          <w:tcPr>
            <w:tcW w:w="278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1/30/2024</w:t>
            </w:r>
          </w:p>
        </w:tc>
        <w:tc>
          <w:tcPr>
            <w:tcW w:w="160" w:type="dxa"/>
            <w:vAlign w:val="bottom"/>
          </w:tcPr>
          <w:p>
            <w:pPr>
              <w:spacing w:after="0"/>
              <w:rPr>
                <w:sz w:val="19"/>
                <w:szCs w:val="19"/>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9"/>
              </w:rPr>
              <w:t>22,680</w:t>
            </w:r>
          </w:p>
        </w:tc>
        <w:tc>
          <w:tcPr>
            <w:tcW w:w="160" w:type="dxa"/>
            <w:vAlign w:val="bottom"/>
          </w:tcPr>
          <w:p>
            <w:pPr>
              <w:spacing w:after="0"/>
              <w:rPr>
                <w:sz w:val="19"/>
                <w:szCs w:val="19"/>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$1.1</w:t>
            </w:r>
          </w:p>
        </w:tc>
      </w:tr>
      <w:tr>
        <w:trPr>
          <w:trHeight w:val="218"/>
        </w:trPr>
        <w:tc>
          <w:tcPr>
            <w:tcW w:w="2780" w:type="dxa"/>
            <w:vAlign w:val="bottom"/>
            <w:shd w:val="clear" w:color="auto" w:fill="E6E7E8"/>
          </w:tcPr>
          <w:p>
            <w:pPr>
              <w:jc w:val="center"/>
              <w:spacing w:after="0"/>
              <w:rPr>
                <w:sz w:val="20"/>
                <w:szCs w:val="20"/>
                <w:color w:val="auto"/>
              </w:rPr>
            </w:pPr>
            <w:r>
              <w:rPr>
                <w:rFonts w:ascii="Times New Roman" w:cs="Times New Roman" w:eastAsia="Times New Roman" w:hAnsi="Times New Roman"/>
                <w:sz w:val="19"/>
                <w:szCs w:val="19"/>
                <w:color w:val="231F20"/>
              </w:rPr>
              <w:t>1/28/2025</w:t>
            </w:r>
          </w:p>
        </w:tc>
        <w:tc>
          <w:tcPr>
            <w:tcW w:w="2920" w:type="dxa"/>
            <w:vAlign w:val="bottom"/>
            <w:gridSpan w:val="2"/>
            <w:shd w:val="clear" w:color="auto" w:fill="E6E7E8"/>
          </w:tcPr>
          <w:p>
            <w:pPr>
              <w:jc w:val="center"/>
              <w:ind w:left="65"/>
              <w:spacing w:after="0"/>
              <w:rPr>
                <w:sz w:val="20"/>
                <w:szCs w:val="20"/>
                <w:color w:val="auto"/>
              </w:rPr>
            </w:pPr>
            <w:r>
              <w:rPr>
                <w:rFonts w:ascii="Times New Roman" w:cs="Times New Roman" w:eastAsia="Times New Roman" w:hAnsi="Times New Roman"/>
                <w:sz w:val="19"/>
                <w:szCs w:val="19"/>
                <w:color w:val="231F20"/>
                <w:w w:val="99"/>
              </w:rPr>
              <w:t>26,430</w:t>
            </w:r>
          </w:p>
        </w:tc>
        <w:tc>
          <w:tcPr>
            <w:tcW w:w="2940" w:type="dxa"/>
            <w:vAlign w:val="bottom"/>
            <w:gridSpan w:val="2"/>
            <w:shd w:val="clear" w:color="auto" w:fill="E6E7E8"/>
          </w:tcPr>
          <w:p>
            <w:pPr>
              <w:jc w:val="center"/>
              <w:ind w:left="65"/>
              <w:spacing w:after="0"/>
              <w:rPr>
                <w:sz w:val="20"/>
                <w:szCs w:val="20"/>
                <w:color w:val="auto"/>
              </w:rPr>
            </w:pPr>
            <w:r>
              <w:rPr>
                <w:rFonts w:ascii="Times New Roman" w:cs="Times New Roman" w:eastAsia="Times New Roman" w:hAnsi="Times New Roman"/>
                <w:sz w:val="19"/>
                <w:szCs w:val="19"/>
                <w:color w:val="231F20"/>
              </w:rPr>
              <w:t>$1.4</w:t>
            </w:r>
          </w:p>
        </w:tc>
      </w:tr>
    </w:tbl>
    <w:p>
      <w:pPr>
        <w:spacing w:after="0" w:line="255" w:lineRule="exact"/>
        <w:rPr>
          <w:sz w:val="20"/>
          <w:szCs w:val="20"/>
          <w:color w:val="auto"/>
        </w:rPr>
      </w:pPr>
    </w:p>
    <w:p>
      <w:pPr>
        <w:ind w:right="140" w:firstLine="612"/>
        <w:spacing w:after="0" w:line="247" w:lineRule="auto"/>
        <w:rPr>
          <w:sz w:val="20"/>
          <w:szCs w:val="20"/>
          <w:color w:val="auto"/>
        </w:rPr>
      </w:pPr>
      <w:r>
        <w:rPr>
          <w:rFonts w:ascii="Times New Roman" w:cs="Times New Roman" w:eastAsia="Times New Roman" w:hAnsi="Times New Roman"/>
          <w:sz w:val="21"/>
          <w:szCs w:val="21"/>
          <w:color w:val="231F20"/>
        </w:rPr>
        <w:t>The compensation expense associated with the issuance of Time Restricted Shares under the Stock Plan is being recorded over the vesting period and was $1.9 million, $1.4 million and $1.4 million in 2025, 2024 and 2023, respectively. At December 31, 2025, there was approximately $0.8 million of total unrecognized compensation cost for Time Restricted Shares under the Stock Plan which is expected to be recognized over approximately 2.6 years. During 2025, there were 396 Time Restricted Shares forfeited and zero Time Restricted Shares cancelled under the Stock Plan. On January 27, 2026, there were 32,330 Time Restricted Shares issued under the Stock Plan with an aggregate market value of $1.6 million.</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31F20"/>
        </w:rPr>
        <w:t>Performance Restricted Shares</w:t>
      </w:r>
    </w:p>
    <w:p>
      <w:pPr>
        <w:spacing w:after="0" w:line="119" w:lineRule="exact"/>
        <w:rPr>
          <w:sz w:val="20"/>
          <w:szCs w:val="20"/>
          <w:color w:val="auto"/>
        </w:rPr>
      </w:pPr>
    </w:p>
    <w:p>
      <w:pPr>
        <w:ind w:right="80" w:firstLine="619"/>
        <w:spacing w:after="0" w:line="245" w:lineRule="auto"/>
        <w:rPr>
          <w:sz w:val="20"/>
          <w:szCs w:val="20"/>
          <w:color w:val="auto"/>
        </w:rPr>
      </w:pPr>
      <w:r>
        <w:rPr>
          <w:rFonts w:ascii="Times New Roman" w:cs="Times New Roman" w:eastAsia="Times New Roman" w:hAnsi="Times New Roman"/>
          <w:sz w:val="21"/>
          <w:szCs w:val="21"/>
          <w:color w:val="231F20"/>
        </w:rPr>
        <w:t>Outstanding awards of Performance Restricted Shares vest after a performance period of three years based on the attainment of certain goals set by the Compensation Committee at the beginning of the performance period. If goals are met, awards of Performance Restricted Shares may vest fully; if goals are exceeded, awards of Performance Restricted Shares may vest fully and additional shares of common stock may be awarded; if goals are not met, a portion of the Performance Restricted Shares may vest and/or all or a portion of the Performance Restricted Shares may be forfeited. During the performance period, dividends on Performance Restricted Shares underlying the award may be credited to a participant’s account. The Company may deduct or withhold, or require a participant to remit to the Company, an amount sufficient to satisfy any taxes required by federal, state, or local law or regulation to be withheld with respect to any taxable event arising in connection with an award.</w:t>
      </w:r>
    </w:p>
    <w:p>
      <w:pPr>
        <w:spacing w:after="0" w:line="200" w:lineRule="exact"/>
        <w:rPr>
          <w:sz w:val="20"/>
          <w:szCs w:val="20"/>
          <w:color w:val="auto"/>
        </w:rPr>
      </w:pPr>
    </w:p>
    <w:p>
      <w:pPr>
        <w:ind w:right="180" w:firstLine="619"/>
        <w:spacing w:after="0" w:line="279" w:lineRule="auto"/>
        <w:rPr>
          <w:sz w:val="20"/>
          <w:szCs w:val="20"/>
          <w:color w:val="auto"/>
        </w:rPr>
      </w:pPr>
      <w:r>
        <w:rPr>
          <w:rFonts w:ascii="Times New Roman" w:cs="Times New Roman" w:eastAsia="Times New Roman" w:hAnsi="Times New Roman"/>
          <w:sz w:val="21"/>
          <w:szCs w:val="21"/>
          <w:color w:val="231F20"/>
        </w:rPr>
        <w:t>Prior to the end of the performance period, the Performance Restricted Shares are subject to forfeiture if the participant ceases to be employed by the Company other than due to the participant’s death, disability or retirement.</w:t>
      </w:r>
    </w:p>
    <w:p>
      <w:pPr>
        <w:spacing w:after="0" w:line="162" w:lineRule="exact"/>
        <w:rPr>
          <w:sz w:val="20"/>
          <w:szCs w:val="20"/>
          <w:color w:val="auto"/>
        </w:rPr>
      </w:pPr>
    </w:p>
    <w:p>
      <w:pPr>
        <w:ind w:right="360" w:firstLine="619"/>
        <w:spacing w:after="0" w:line="279" w:lineRule="auto"/>
        <w:rPr>
          <w:sz w:val="20"/>
          <w:szCs w:val="20"/>
          <w:color w:val="auto"/>
        </w:rPr>
      </w:pPr>
      <w:r>
        <w:rPr>
          <w:rFonts w:ascii="Times New Roman" w:cs="Times New Roman" w:eastAsia="Times New Roman" w:hAnsi="Times New Roman"/>
          <w:sz w:val="21"/>
          <w:szCs w:val="21"/>
          <w:color w:val="231F20"/>
        </w:rPr>
        <w:t>Performance Restricted Shares issued in the years ended 2023, 2024 and 2025 in conjunction with the Stock Plan are presented in the following table:</w:t>
      </w:r>
    </w:p>
    <w:p>
      <w:pPr>
        <w:spacing w:after="0" w:line="179"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2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Aggregate</w:t>
            </w:r>
          </w:p>
        </w:tc>
      </w:tr>
      <w:tr>
        <w:trPr>
          <w:trHeight w:val="203"/>
        </w:trPr>
        <w:tc>
          <w:tcPr>
            <w:tcW w:w="27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Issuance Date</w:t>
            </w:r>
          </w:p>
        </w:tc>
        <w:tc>
          <w:tcPr>
            <w:tcW w:w="160" w:type="dxa"/>
            <w:vAlign w:val="bottom"/>
            <w:tcBorders>
              <w:bottom w:val="single" w:sz="8" w:color="E6E7E8"/>
            </w:tcBorders>
          </w:tcPr>
          <w:p>
            <w:pPr>
              <w:spacing w:after="0"/>
              <w:rPr>
                <w:sz w:val="17"/>
                <w:szCs w:val="17"/>
                <w:color w:val="auto"/>
              </w:rPr>
            </w:pPr>
          </w:p>
        </w:tc>
        <w:tc>
          <w:tcPr>
            <w:tcW w:w="27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Shares</w:t>
            </w:r>
          </w:p>
        </w:tc>
        <w:tc>
          <w:tcPr>
            <w:tcW w:w="160" w:type="dxa"/>
            <w:vAlign w:val="bottom"/>
            <w:tcBorders>
              <w:bottom w:val="single" w:sz="8" w:color="E6E7E8"/>
            </w:tcBorders>
          </w:tcPr>
          <w:p>
            <w:pPr>
              <w:spacing w:after="0"/>
              <w:rPr>
                <w:sz w:val="17"/>
                <w:szCs w:val="17"/>
                <w:color w:val="auto"/>
              </w:rPr>
            </w:pPr>
          </w:p>
        </w:tc>
        <w:tc>
          <w:tcPr>
            <w:tcW w:w="27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Market Value (millions)</w:t>
            </w:r>
          </w:p>
        </w:tc>
      </w:tr>
      <w:tr>
        <w:trPr>
          <w:trHeight w:val="228"/>
        </w:trPr>
        <w:tc>
          <w:tcPr>
            <w:tcW w:w="2780" w:type="dxa"/>
            <w:vAlign w:val="bottom"/>
            <w:shd w:val="clear" w:color="auto" w:fill="E6E7E8"/>
          </w:tcPr>
          <w:p>
            <w:pPr>
              <w:jc w:val="center"/>
              <w:spacing w:after="0"/>
              <w:rPr>
                <w:sz w:val="20"/>
                <w:szCs w:val="20"/>
                <w:color w:val="auto"/>
              </w:rPr>
            </w:pPr>
            <w:r>
              <w:rPr>
                <w:rFonts w:ascii="Times New Roman" w:cs="Times New Roman" w:eastAsia="Times New Roman" w:hAnsi="Times New Roman"/>
                <w:sz w:val="19"/>
                <w:szCs w:val="19"/>
                <w:color w:val="231F20"/>
                <w:w w:val="98"/>
              </w:rPr>
              <w:t>1/24/2023</w:t>
            </w:r>
          </w:p>
        </w:tc>
        <w:tc>
          <w:tcPr>
            <w:tcW w:w="160" w:type="dxa"/>
            <w:vAlign w:val="bottom"/>
            <w:shd w:val="clear" w:color="auto" w:fill="E6E7E8"/>
          </w:tcPr>
          <w:p>
            <w:pPr>
              <w:spacing w:after="0"/>
              <w:rPr>
                <w:sz w:val="19"/>
                <w:szCs w:val="19"/>
                <w:color w:val="auto"/>
              </w:rPr>
            </w:pPr>
          </w:p>
        </w:tc>
        <w:tc>
          <w:tcPr>
            <w:tcW w:w="2760" w:type="dxa"/>
            <w:vAlign w:val="bottom"/>
            <w:shd w:val="clear" w:color="auto" w:fill="E6E7E8"/>
          </w:tcPr>
          <w:p>
            <w:pPr>
              <w:jc w:val="center"/>
              <w:spacing w:after="0"/>
              <w:rPr>
                <w:sz w:val="20"/>
                <w:szCs w:val="20"/>
                <w:color w:val="auto"/>
              </w:rPr>
            </w:pPr>
            <w:r>
              <w:rPr>
                <w:rFonts w:ascii="Times New Roman" w:cs="Times New Roman" w:eastAsia="Times New Roman" w:hAnsi="Times New Roman"/>
                <w:sz w:val="19"/>
                <w:szCs w:val="19"/>
                <w:color w:val="231F20"/>
                <w:w w:val="99"/>
              </w:rPr>
              <w:t>18,770</w:t>
            </w:r>
          </w:p>
        </w:tc>
        <w:tc>
          <w:tcPr>
            <w:tcW w:w="160" w:type="dxa"/>
            <w:vAlign w:val="bottom"/>
            <w:shd w:val="clear" w:color="auto" w:fill="E6E7E8"/>
          </w:tcPr>
          <w:p>
            <w:pPr>
              <w:spacing w:after="0"/>
              <w:rPr>
                <w:sz w:val="19"/>
                <w:szCs w:val="19"/>
                <w:color w:val="auto"/>
              </w:rPr>
            </w:pPr>
          </w:p>
        </w:tc>
        <w:tc>
          <w:tcPr>
            <w:tcW w:w="2780" w:type="dxa"/>
            <w:vAlign w:val="bottom"/>
            <w:shd w:val="clear" w:color="auto" w:fill="E6E7E8"/>
          </w:tcPr>
          <w:p>
            <w:pPr>
              <w:jc w:val="center"/>
              <w:spacing w:after="0"/>
              <w:rPr>
                <w:sz w:val="20"/>
                <w:szCs w:val="20"/>
                <w:color w:val="auto"/>
              </w:rPr>
            </w:pPr>
            <w:r>
              <w:rPr>
                <w:rFonts w:ascii="Times New Roman" w:cs="Times New Roman" w:eastAsia="Times New Roman" w:hAnsi="Times New Roman"/>
                <w:sz w:val="19"/>
                <w:szCs w:val="19"/>
                <w:color w:val="231F20"/>
              </w:rPr>
              <w:t>$1.0</w:t>
            </w:r>
          </w:p>
        </w:tc>
      </w:tr>
      <w:tr>
        <w:trPr>
          <w:trHeight w:val="233"/>
        </w:trPr>
        <w:tc>
          <w:tcPr>
            <w:tcW w:w="278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8"/>
              </w:rPr>
              <w:t>1/30/2024</w:t>
            </w:r>
          </w:p>
        </w:tc>
        <w:tc>
          <w:tcPr>
            <w:tcW w:w="16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9"/>
              </w:rPr>
              <w:t>22,680</w:t>
            </w:r>
          </w:p>
        </w:tc>
        <w:tc>
          <w:tcPr>
            <w:tcW w:w="16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$1.1</w:t>
            </w:r>
          </w:p>
        </w:tc>
      </w:tr>
      <w:tr>
        <w:trPr>
          <w:trHeight w:val="233"/>
        </w:trPr>
        <w:tc>
          <w:tcPr>
            <w:tcW w:w="2780" w:type="dxa"/>
            <w:vAlign w:val="bottom"/>
            <w:shd w:val="clear" w:color="auto" w:fill="E6E7E8"/>
          </w:tcPr>
          <w:p>
            <w:pPr>
              <w:jc w:val="center"/>
              <w:spacing w:after="0"/>
              <w:rPr>
                <w:sz w:val="20"/>
                <w:szCs w:val="20"/>
                <w:color w:val="auto"/>
              </w:rPr>
            </w:pPr>
            <w:r>
              <w:rPr>
                <w:rFonts w:ascii="Times New Roman" w:cs="Times New Roman" w:eastAsia="Times New Roman" w:hAnsi="Times New Roman"/>
                <w:sz w:val="19"/>
                <w:szCs w:val="19"/>
                <w:color w:val="231F20"/>
                <w:w w:val="98"/>
              </w:rPr>
              <w:t>1/28/2025</w:t>
            </w:r>
          </w:p>
        </w:tc>
        <w:tc>
          <w:tcPr>
            <w:tcW w:w="2920" w:type="dxa"/>
            <w:vAlign w:val="bottom"/>
            <w:gridSpan w:val="2"/>
            <w:shd w:val="clear" w:color="auto" w:fill="E6E7E8"/>
          </w:tcPr>
          <w:p>
            <w:pPr>
              <w:jc w:val="center"/>
              <w:ind w:left="65"/>
              <w:spacing w:after="0"/>
              <w:rPr>
                <w:sz w:val="20"/>
                <w:szCs w:val="20"/>
                <w:color w:val="auto"/>
              </w:rPr>
            </w:pPr>
            <w:r>
              <w:rPr>
                <w:rFonts w:ascii="Times New Roman" w:cs="Times New Roman" w:eastAsia="Times New Roman" w:hAnsi="Times New Roman"/>
                <w:sz w:val="19"/>
                <w:szCs w:val="19"/>
                <w:color w:val="231F20"/>
                <w:w w:val="99"/>
              </w:rPr>
              <w:t>26,430</w:t>
            </w:r>
          </w:p>
        </w:tc>
        <w:tc>
          <w:tcPr>
            <w:tcW w:w="2940" w:type="dxa"/>
            <w:vAlign w:val="bottom"/>
            <w:gridSpan w:val="2"/>
            <w:shd w:val="clear" w:color="auto" w:fill="E6E7E8"/>
          </w:tcPr>
          <w:p>
            <w:pPr>
              <w:jc w:val="center"/>
              <w:ind w:left="65"/>
              <w:spacing w:after="0"/>
              <w:rPr>
                <w:sz w:val="20"/>
                <w:szCs w:val="20"/>
                <w:color w:val="auto"/>
              </w:rPr>
            </w:pPr>
            <w:r>
              <w:rPr>
                <w:rFonts w:ascii="Times New Roman" w:cs="Times New Roman" w:eastAsia="Times New Roman" w:hAnsi="Times New Roman"/>
                <w:sz w:val="19"/>
                <w:szCs w:val="19"/>
                <w:color w:val="231F20"/>
              </w:rPr>
              <w:t>$1.4</w:t>
            </w:r>
          </w:p>
        </w:tc>
      </w:tr>
    </w:tbl>
    <w:p>
      <w:pPr>
        <w:spacing w:after="0" w:line="219"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21"/>
          <w:szCs w:val="21"/>
          <w:color w:val="231F20"/>
        </w:rPr>
        <w:t>The compensation expense associated with the issuance of Performance Restricted Shares under the Stock Plan is being recognized over the vesting period and was $1.4 million, $ 1.0 million and $0.5 million in 2025, 2024 and 2023, respectively. At December 31, 2025, there was approximately $1.7 million of total unrecognized compensation cost for Performance Restricted Shares under the Stock Plan which is expected to be recognized over approximately 1.7 years. During 2025, there were 250 Performance Restricted Shares forfeited and zero Performance Restricted Shares cancelled under the Stock Plan. On January 27, 2026, there were 32,330 Performance Restricted Shares issued under the Stock Plan with an aggregate market value of $1.6 million.</w:t>
      </w:r>
    </w:p>
    <w:p>
      <w:pPr>
        <w:sectPr>
          <w:pgSz w:w="12240" w:h="15840" w:orient="portrait"/>
          <w:cols w:equalWidth="0" w:num="1">
            <w:col w:w="10800"/>
          </w:cols>
          <w:pgMar w:left="720" w:top="928" w:right="72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65</w:t>
      </w:r>
    </w:p>
    <w:p>
      <w:pPr>
        <w:sectPr>
          <w:pgSz w:w="12240" w:h="15840" w:orient="portrait"/>
          <w:cols w:equalWidth="0" w:num="1">
            <w:col w:w="10800"/>
          </w:cols>
          <w:pgMar w:left="720" w:top="928" w:right="720" w:bottom="188" w:gutter="0" w:footer="0" w:header="0"/>
          <w:type w:val="continuous"/>
        </w:sectPr>
      </w:pPr>
    </w:p>
    <w:bookmarkStart w:id="85" w:name="page86"/>
    <w:bookmarkEnd w:id="85"/>
    <w:p>
      <w:pPr>
        <w:ind w:right="260" w:firstLine="619"/>
        <w:spacing w:after="0" w:line="279" w:lineRule="auto"/>
        <w:rPr>
          <w:sz w:val="20"/>
          <w:szCs w:val="20"/>
          <w:color w:val="auto"/>
        </w:rPr>
      </w:pPr>
      <w:r>
        <w:rPr>
          <w:rFonts w:ascii="Times New Roman" w:cs="Times New Roman" w:eastAsia="Times New Roman" w:hAnsi="Times New Roman"/>
          <w:sz w:val="21"/>
          <w:szCs w:val="21"/>
          <w:color w:val="231F20"/>
        </w:rPr>
        <w:t>The Time Restricted Shares and Performance Restricted Shares unvested activity during the year ended December 31, 2025 in conjunction with the Stock Plan is presented in the following table:</w:t>
      </w:r>
    </w:p>
    <w:p>
      <w:pPr>
        <w:spacing w:after="0" w:line="179"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49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Restricted Shares</w:t>
            </w:r>
          </w:p>
        </w:tc>
        <w:tc>
          <w:tcPr>
            <w:tcW w:w="2360" w:type="dxa"/>
            <w:vAlign w:val="bottom"/>
            <w:gridSpan w:val="4"/>
          </w:tcPr>
          <w:p>
            <w:pPr>
              <w:ind w:left="320"/>
              <w:spacing w:after="0"/>
              <w:rPr>
                <w:sz w:val="20"/>
                <w:szCs w:val="20"/>
                <w:color w:val="auto"/>
              </w:rPr>
            </w:pPr>
            <w:r>
              <w:rPr>
                <w:rFonts w:ascii="Times New Roman" w:cs="Times New Roman" w:eastAsia="Times New Roman" w:hAnsi="Times New Roman"/>
                <w:sz w:val="16"/>
                <w:szCs w:val="16"/>
                <w:b w:val="1"/>
                <w:bCs w:val="1"/>
                <w:color w:val="231F20"/>
              </w:rPr>
              <w:t>Time Restricted Shares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231F20"/>
              </w:rPr>
              <w:t>Performance Restricted Shares</w:t>
            </w:r>
          </w:p>
        </w:tc>
      </w:tr>
      <w:tr>
        <w:trPr>
          <w:trHeight w:val="178"/>
        </w:trPr>
        <w:tc>
          <w:tcPr>
            <w:tcW w:w="4760" w:type="dxa"/>
            <w:vAlign w:val="bottom"/>
            <w:tcBorders>
              <w:top w:val="single" w:sz="8" w:color="231F20"/>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189"/>
              <w:spacing w:after="0" w:line="178" w:lineRule="exact"/>
              <w:rPr>
                <w:sz w:val="20"/>
                <w:szCs w:val="20"/>
                <w:color w:val="auto"/>
              </w:rPr>
            </w:pPr>
            <w:r>
              <w:rPr>
                <w:rFonts w:ascii="Times New Roman" w:cs="Times New Roman" w:eastAsia="Times New Roman" w:hAnsi="Times New Roman"/>
                <w:sz w:val="16"/>
                <w:szCs w:val="16"/>
                <w:color w:val="231F20"/>
                <w:w w:val="99"/>
              </w:rPr>
              <w:t>Weighted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Borders>
              <w:top w:val="single" w:sz="8" w:color="231F20"/>
            </w:tcBorders>
          </w:tcPr>
          <w:p>
            <w:pPr>
              <w:spacing w:after="0"/>
              <w:rPr>
                <w:sz w:val="15"/>
                <w:szCs w:val="15"/>
                <w:color w:val="auto"/>
              </w:rPr>
            </w:pPr>
          </w:p>
        </w:tc>
        <w:tc>
          <w:tcPr>
            <w:tcW w:w="120" w:type="dxa"/>
            <w:vAlign w:val="bottom"/>
            <w:tcBorders>
              <w:top w:val="single" w:sz="8" w:color="231F20"/>
            </w:tcBorders>
          </w:tcPr>
          <w:p>
            <w:pPr>
              <w:spacing w:after="0"/>
              <w:rPr>
                <w:sz w:val="15"/>
                <w:szCs w:val="15"/>
                <w:color w:val="auto"/>
              </w:rPr>
            </w:pPr>
          </w:p>
        </w:tc>
        <w:tc>
          <w:tcPr>
            <w:tcW w:w="160" w:type="dxa"/>
            <w:vAlign w:val="bottom"/>
            <w:tcBorders>
              <w:top w:val="single" w:sz="8" w:color="231F20"/>
            </w:tcBorders>
          </w:tcPr>
          <w:p>
            <w:pPr>
              <w:spacing w:after="0"/>
              <w:rPr>
                <w:sz w:val="15"/>
                <w:szCs w:val="15"/>
                <w:color w:val="auto"/>
              </w:rPr>
            </w:pPr>
          </w:p>
        </w:tc>
        <w:tc>
          <w:tcPr>
            <w:tcW w:w="940" w:type="dxa"/>
            <w:vAlign w:val="bottom"/>
            <w:tcBorders>
              <w:top w:val="single" w:sz="8" w:color="231F20"/>
            </w:tcBorders>
          </w:tcPr>
          <w:p>
            <w:pPr>
              <w:jc w:val="center"/>
              <w:ind w:right="149"/>
              <w:spacing w:after="0" w:line="178" w:lineRule="exact"/>
              <w:rPr>
                <w:sz w:val="20"/>
                <w:szCs w:val="20"/>
                <w:color w:val="auto"/>
              </w:rPr>
            </w:pPr>
            <w:r>
              <w:rPr>
                <w:rFonts w:ascii="Times New Roman" w:cs="Times New Roman" w:eastAsia="Times New Roman" w:hAnsi="Times New Roman"/>
                <w:sz w:val="16"/>
                <w:szCs w:val="16"/>
                <w:color w:val="231F20"/>
                <w:w w:val="99"/>
              </w:rPr>
              <w:t>Weighted</w:t>
            </w:r>
          </w:p>
        </w:tc>
        <w:tc>
          <w:tcPr>
            <w:tcW w:w="20" w:type="dxa"/>
            <w:vAlign w:val="bottom"/>
          </w:tcPr>
          <w:p>
            <w:pPr>
              <w:spacing w:after="0"/>
              <w:rPr>
                <w:sz w:val="15"/>
                <w:szCs w:val="15"/>
                <w:color w:val="auto"/>
              </w:rPr>
            </w:pPr>
          </w:p>
        </w:tc>
      </w:tr>
      <w:tr>
        <w:trPr>
          <w:trHeight w:val="184"/>
        </w:trPr>
        <w:tc>
          <w:tcPr>
            <w:tcW w:w="4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189"/>
              <w:spacing w:after="0"/>
              <w:rPr>
                <w:sz w:val="20"/>
                <w:szCs w:val="20"/>
                <w:color w:val="auto"/>
              </w:rPr>
            </w:pPr>
            <w:r>
              <w:rPr>
                <w:rFonts w:ascii="Times New Roman" w:cs="Times New Roman" w:eastAsia="Times New Roman" w:hAnsi="Times New Roman"/>
                <w:sz w:val="16"/>
                <w:szCs w:val="16"/>
                <w:color w:val="231F20"/>
                <w:w w:val="99"/>
              </w:rPr>
              <w:t>Average</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231F20"/>
                <w:w w:val="99"/>
              </w:rPr>
              <w:t>Average</w:t>
            </w:r>
          </w:p>
        </w:tc>
      </w:tr>
      <w:tr>
        <w:trPr>
          <w:trHeight w:val="184"/>
        </w:trPr>
        <w:tc>
          <w:tcPr>
            <w:tcW w:w="4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169"/>
              <w:spacing w:after="0"/>
              <w:rPr>
                <w:sz w:val="20"/>
                <w:szCs w:val="20"/>
                <w:color w:val="auto"/>
              </w:rPr>
            </w:pPr>
            <w:r>
              <w:rPr>
                <w:rFonts w:ascii="Times New Roman" w:cs="Times New Roman" w:eastAsia="Times New Roman" w:hAnsi="Times New Roman"/>
                <w:sz w:val="16"/>
                <w:szCs w:val="16"/>
                <w:color w:val="231F20"/>
                <w:w w:val="98"/>
              </w:rPr>
              <w:t>Stock</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231F20"/>
              </w:rPr>
              <w:t>Stock</w:t>
            </w:r>
          </w:p>
        </w:tc>
      </w:tr>
      <w:tr>
        <w:trPr>
          <w:trHeight w:val="199"/>
        </w:trPr>
        <w:tc>
          <w:tcPr>
            <w:tcW w:w="4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231F20"/>
              </w:rPr>
              <w:t>Units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169"/>
              <w:spacing w:after="0"/>
              <w:rPr>
                <w:sz w:val="20"/>
                <w:szCs w:val="20"/>
                <w:color w:val="auto"/>
              </w:rPr>
            </w:pPr>
            <w:r>
              <w:rPr>
                <w:rFonts w:ascii="Times New Roman" w:cs="Times New Roman" w:eastAsia="Times New Roman" w:hAnsi="Times New Roman"/>
                <w:sz w:val="16"/>
                <w:szCs w:val="16"/>
                <w:color w:val="231F20"/>
                <w:w w:val="97"/>
              </w:rPr>
              <w:t>Price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jc w:val="right"/>
              <w:ind w:right="347"/>
              <w:spacing w:after="0"/>
              <w:rPr>
                <w:sz w:val="20"/>
                <w:szCs w:val="20"/>
                <w:color w:val="auto"/>
              </w:rPr>
            </w:pPr>
            <w:r>
              <w:rPr>
                <w:rFonts w:ascii="Times New Roman" w:cs="Times New Roman" w:eastAsia="Times New Roman" w:hAnsi="Times New Roman"/>
                <w:sz w:val="16"/>
                <w:szCs w:val="16"/>
                <w:color w:val="231F20"/>
              </w:rPr>
              <w:t>Units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231F20"/>
              </w:rPr>
              <w:t>Price</w:t>
            </w:r>
          </w:p>
        </w:tc>
      </w:tr>
      <w:tr>
        <w:trPr>
          <w:trHeight w:val="239"/>
        </w:trPr>
        <w:tc>
          <w:tcPr>
            <w:tcW w:w="4900" w:type="dxa"/>
            <w:vAlign w:val="bottom"/>
            <w:tcBorders>
              <w:top w:val="single" w:sz="8" w:color="E6E7E8"/>
            </w:tcBorders>
            <w:gridSpan w:val="3"/>
            <w:shd w:val="clear" w:color="auto" w:fill="E6E7E8"/>
          </w:tcPr>
          <w:p>
            <w:pPr>
              <w:spacing w:after="0"/>
              <w:rPr>
                <w:sz w:val="20"/>
                <w:szCs w:val="20"/>
                <w:color w:val="auto"/>
              </w:rPr>
            </w:pPr>
            <w:r>
              <w:rPr>
                <w:rFonts w:ascii="Times New Roman" w:cs="Times New Roman" w:eastAsia="Times New Roman" w:hAnsi="Times New Roman"/>
                <w:sz w:val="20"/>
                <w:szCs w:val="20"/>
                <w:color w:val="231F20"/>
              </w:rPr>
              <w:t>Restricted Shares as of December 31, 2024</w:t>
            </w:r>
          </w:p>
        </w:tc>
        <w:tc>
          <w:tcPr>
            <w:tcW w:w="1120" w:type="dxa"/>
            <w:vAlign w:val="bottom"/>
            <w:tcBorders>
              <w:top w:val="single" w:sz="8" w:color="231F20"/>
            </w:tcBorders>
            <w:shd w:val="clear" w:color="auto" w:fill="E6E7E8"/>
          </w:tcPr>
          <w:p>
            <w:pPr>
              <w:jc w:val="right"/>
              <w:ind w:right="26"/>
              <w:spacing w:after="0"/>
              <w:rPr>
                <w:sz w:val="20"/>
                <w:szCs w:val="20"/>
                <w:color w:val="auto"/>
              </w:rPr>
            </w:pPr>
            <w:r>
              <w:rPr>
                <w:rFonts w:ascii="Times New Roman" w:cs="Times New Roman" w:eastAsia="Times New Roman" w:hAnsi="Times New Roman"/>
                <w:sz w:val="20"/>
                <w:szCs w:val="20"/>
                <w:color w:val="231F20"/>
              </w:rPr>
              <w:t>19,933</w:t>
            </w:r>
          </w:p>
        </w:tc>
        <w:tc>
          <w:tcPr>
            <w:tcW w:w="100" w:type="dxa"/>
            <w:vAlign w:val="bottom"/>
            <w:tcBorders>
              <w:top w:val="single" w:sz="8" w:color="E6E7E8"/>
            </w:tcBorders>
            <w:shd w:val="clear" w:color="auto" w:fill="E6E7E8"/>
          </w:tcPr>
          <w:p>
            <w:pPr>
              <w:spacing w:after="0"/>
              <w:rPr>
                <w:sz w:val="20"/>
                <w:szCs w:val="20"/>
                <w:color w:val="auto"/>
              </w:rPr>
            </w:pPr>
          </w:p>
        </w:tc>
        <w:tc>
          <w:tcPr>
            <w:tcW w:w="16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top w:val="single" w:sz="8" w:color="231F20"/>
            </w:tcBorders>
            <w:shd w:val="clear" w:color="auto" w:fill="E6E7E8"/>
          </w:tcPr>
          <w:p>
            <w:pPr>
              <w:jc w:val="right"/>
              <w:ind w:right="9"/>
              <w:spacing w:after="0"/>
              <w:rPr>
                <w:sz w:val="20"/>
                <w:szCs w:val="20"/>
                <w:color w:val="auto"/>
              </w:rPr>
            </w:pPr>
            <w:r>
              <w:rPr>
                <w:rFonts w:ascii="Times New Roman" w:cs="Times New Roman" w:eastAsia="Times New Roman" w:hAnsi="Times New Roman"/>
                <w:sz w:val="20"/>
                <w:szCs w:val="20"/>
                <w:color w:val="231F20"/>
              </w:rPr>
              <w:t>48.09</w:t>
            </w:r>
          </w:p>
        </w:tc>
        <w:tc>
          <w:tcPr>
            <w:tcW w:w="120" w:type="dxa"/>
            <w:vAlign w:val="bottom"/>
            <w:tcBorders>
              <w:top w:val="single" w:sz="8" w:color="E6E7E8"/>
            </w:tcBorders>
            <w:shd w:val="clear" w:color="auto" w:fill="E6E7E8"/>
          </w:tcPr>
          <w:p>
            <w:pPr>
              <w:spacing w:after="0"/>
              <w:rPr>
                <w:sz w:val="20"/>
                <w:szCs w:val="20"/>
                <w:color w:val="auto"/>
              </w:rPr>
            </w:pPr>
          </w:p>
        </w:tc>
        <w:tc>
          <w:tcPr>
            <w:tcW w:w="20" w:type="dxa"/>
            <w:vAlign w:val="bottom"/>
            <w:tcBorders>
              <w:top w:val="single" w:sz="8" w:color="E6E7E8"/>
            </w:tcBorders>
            <w:shd w:val="clear" w:color="auto" w:fill="E6E7E8"/>
          </w:tcPr>
          <w:p>
            <w:pPr>
              <w:spacing w:after="0"/>
              <w:rPr>
                <w:sz w:val="20"/>
                <w:szCs w:val="20"/>
                <w:color w:val="auto"/>
              </w:rPr>
            </w:pPr>
          </w:p>
        </w:tc>
        <w:tc>
          <w:tcPr>
            <w:tcW w:w="1100" w:type="dxa"/>
            <w:vAlign w:val="bottom"/>
            <w:tcBorders>
              <w:top w:val="single" w:sz="8" w:color="231F20"/>
            </w:tcBorders>
            <w:shd w:val="clear" w:color="auto" w:fill="E6E7E8"/>
          </w:tcPr>
          <w:p>
            <w:pPr>
              <w:jc w:val="right"/>
              <w:ind w:right="7"/>
              <w:spacing w:after="0"/>
              <w:rPr>
                <w:sz w:val="20"/>
                <w:szCs w:val="20"/>
                <w:color w:val="auto"/>
              </w:rPr>
            </w:pPr>
            <w:r>
              <w:rPr>
                <w:rFonts w:ascii="Times New Roman" w:cs="Times New Roman" w:eastAsia="Times New Roman" w:hAnsi="Times New Roman"/>
                <w:sz w:val="20"/>
                <w:szCs w:val="20"/>
                <w:color w:val="231F20"/>
              </w:rPr>
              <w:t>41,200</w:t>
            </w:r>
          </w:p>
        </w:tc>
        <w:tc>
          <w:tcPr>
            <w:tcW w:w="120" w:type="dxa"/>
            <w:vAlign w:val="bottom"/>
            <w:tcBorders>
              <w:top w:val="single" w:sz="8" w:color="E6E7E8"/>
            </w:tcBorders>
            <w:shd w:val="clear" w:color="auto" w:fill="E6E7E8"/>
          </w:tcPr>
          <w:p>
            <w:pPr>
              <w:spacing w:after="0"/>
              <w:rPr>
                <w:sz w:val="20"/>
                <w:szCs w:val="20"/>
                <w:color w:val="auto"/>
              </w:rPr>
            </w:pPr>
          </w:p>
        </w:tc>
        <w:tc>
          <w:tcPr>
            <w:tcW w:w="16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50.28</w:t>
            </w:r>
          </w:p>
        </w:tc>
        <w:tc>
          <w:tcPr>
            <w:tcW w:w="20" w:type="dxa"/>
            <w:vAlign w:val="bottom"/>
            <w:shd w:val="clear" w:color="auto" w:fill="E6E7E8"/>
          </w:tcPr>
          <w:p>
            <w:pPr>
              <w:spacing w:after="0"/>
              <w:rPr>
                <w:sz w:val="20"/>
                <w:szCs w:val="20"/>
                <w:color w:val="auto"/>
              </w:rPr>
            </w:pPr>
          </w:p>
        </w:tc>
      </w:tr>
      <w:tr>
        <w:trPr>
          <w:trHeight w:val="244"/>
        </w:trPr>
        <w:tc>
          <w:tcPr>
            <w:tcW w:w="49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Granted</w:t>
            </w:r>
          </w:p>
        </w:tc>
        <w:tc>
          <w:tcPr>
            <w:tcW w:w="112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231F20"/>
              </w:rPr>
              <w:t>26,430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20"/>
                <w:szCs w:val="20"/>
                <w:color w:val="231F20"/>
              </w:rPr>
              <w:t>52.65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231F20"/>
              </w:rPr>
              <w:t>26,430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52.65</w:t>
            </w:r>
          </w:p>
        </w:tc>
        <w:tc>
          <w:tcPr>
            <w:tcW w:w="20" w:type="dxa"/>
            <w:vAlign w:val="bottom"/>
          </w:tcPr>
          <w:p>
            <w:pPr>
              <w:spacing w:after="0"/>
              <w:rPr>
                <w:sz w:val="21"/>
                <w:szCs w:val="21"/>
                <w:color w:val="auto"/>
              </w:rPr>
            </w:pPr>
          </w:p>
        </w:tc>
      </w:tr>
      <w:tr>
        <w:trPr>
          <w:trHeight w:val="244"/>
        </w:trPr>
        <w:tc>
          <w:tcPr>
            <w:tcW w:w="4900" w:type="dxa"/>
            <w:vAlign w:val="bottom"/>
            <w:gridSpan w:val="3"/>
            <w:shd w:val="clear" w:color="auto" w:fill="E6E7E8"/>
          </w:tcPr>
          <w:p>
            <w:pPr>
              <w:spacing w:after="0"/>
              <w:rPr>
                <w:sz w:val="20"/>
                <w:szCs w:val="20"/>
                <w:color w:val="auto"/>
              </w:rPr>
            </w:pPr>
            <w:r>
              <w:rPr>
                <w:rFonts w:ascii="Times New Roman" w:cs="Times New Roman" w:eastAsia="Times New Roman" w:hAnsi="Times New Roman"/>
                <w:sz w:val="20"/>
                <w:szCs w:val="20"/>
                <w:color w:val="231F20"/>
              </w:rPr>
              <w:t>Shares Issued</w:t>
            </w:r>
          </w:p>
        </w:tc>
        <w:tc>
          <w:tcPr>
            <w:tcW w:w="11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(28,084)</w:t>
            </w:r>
          </w:p>
        </w:tc>
        <w:tc>
          <w:tcPr>
            <w:tcW w:w="260" w:type="dxa"/>
            <w:vAlign w:val="bottom"/>
            <w:gridSpan w:val="2"/>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E6E7E8"/>
          </w:tcPr>
          <w:p>
            <w:pPr>
              <w:jc w:val="right"/>
              <w:ind w:right="29"/>
              <w:spacing w:after="0"/>
              <w:rPr>
                <w:sz w:val="20"/>
                <w:szCs w:val="20"/>
                <w:color w:val="auto"/>
              </w:rPr>
            </w:pPr>
            <w:r>
              <w:rPr>
                <w:rFonts w:ascii="Times New Roman" w:cs="Times New Roman" w:eastAsia="Times New Roman" w:hAnsi="Times New Roman"/>
                <w:sz w:val="20"/>
                <w:szCs w:val="20"/>
                <w:color w:val="231F20"/>
              </w:rPr>
              <w:t>50.58</w:t>
            </w:r>
          </w:p>
        </w:tc>
        <w:tc>
          <w:tcPr>
            <w:tcW w:w="1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1100" w:type="dxa"/>
            <w:vAlign w:val="bottom"/>
            <w:shd w:val="clear" w:color="auto" w:fill="E6E7E8"/>
          </w:tcPr>
          <w:p>
            <w:pPr>
              <w:jc w:val="right"/>
              <w:ind w:right="7"/>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gridSpan w:val="2"/>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gridSpan w:val="2"/>
            <w:shd w:val="clear" w:color="auto" w:fill="E6E7E8"/>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49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Forfeited</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20"/>
                <w:szCs w:val="20"/>
                <w:color w:val="231F20"/>
              </w:rPr>
              <w:t>47.42</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50.35</w:t>
            </w:r>
          </w:p>
        </w:tc>
        <w:tc>
          <w:tcPr>
            <w:tcW w:w="20" w:type="dxa"/>
            <w:vAlign w:val="bottom"/>
          </w:tcPr>
          <w:p>
            <w:pPr>
              <w:spacing w:after="0"/>
              <w:rPr>
                <w:sz w:val="21"/>
                <w:szCs w:val="21"/>
                <w:color w:val="auto"/>
              </w:rPr>
            </w:pPr>
          </w:p>
        </w:tc>
      </w:tr>
      <w:tr>
        <w:trPr>
          <w:trHeight w:val="259"/>
        </w:trPr>
        <w:tc>
          <w:tcPr>
            <w:tcW w:w="4900" w:type="dxa"/>
            <w:vAlign w:val="bottom"/>
            <w:tcBorders>
              <w:top w:val="single" w:sz="8" w:color="E6E7E8"/>
            </w:tcBorders>
            <w:gridSpan w:val="3"/>
            <w:shd w:val="clear" w:color="auto" w:fill="E6E7E8"/>
          </w:tcPr>
          <w:p>
            <w:pPr>
              <w:spacing w:after="0"/>
              <w:rPr>
                <w:sz w:val="20"/>
                <w:szCs w:val="20"/>
                <w:color w:val="auto"/>
              </w:rPr>
            </w:pPr>
            <w:r>
              <w:rPr>
                <w:rFonts w:ascii="Times New Roman" w:cs="Times New Roman" w:eastAsia="Times New Roman" w:hAnsi="Times New Roman"/>
                <w:sz w:val="20"/>
                <w:szCs w:val="20"/>
                <w:color w:val="231F20"/>
              </w:rPr>
              <w:t>Restricted Shares as of December 31, 2025</w:t>
            </w:r>
          </w:p>
        </w:tc>
        <w:tc>
          <w:tcPr>
            <w:tcW w:w="1120" w:type="dxa"/>
            <w:vAlign w:val="bottom"/>
            <w:tcBorders>
              <w:top w:val="single" w:sz="8" w:color="231F20"/>
            </w:tcBorders>
            <w:shd w:val="clear" w:color="auto" w:fill="E6E7E8"/>
          </w:tcPr>
          <w:p>
            <w:pPr>
              <w:jc w:val="right"/>
              <w:ind w:right="26"/>
              <w:spacing w:after="0"/>
              <w:rPr>
                <w:sz w:val="20"/>
                <w:szCs w:val="20"/>
                <w:color w:val="auto"/>
              </w:rPr>
            </w:pPr>
            <w:r>
              <w:rPr>
                <w:rFonts w:ascii="Times New Roman" w:cs="Times New Roman" w:eastAsia="Times New Roman" w:hAnsi="Times New Roman"/>
                <w:sz w:val="20"/>
                <w:szCs w:val="20"/>
                <w:color w:val="231F20"/>
              </w:rPr>
              <w:t>17,883</w:t>
            </w:r>
          </w:p>
        </w:tc>
        <w:tc>
          <w:tcPr>
            <w:tcW w:w="260" w:type="dxa"/>
            <w:vAlign w:val="bottom"/>
            <w:tcBorders>
              <w:top w:val="single" w:sz="8" w:color="E6E7E8"/>
            </w:tcBorders>
            <w:gridSpan w:val="2"/>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Borders>
              <w:top w:val="single" w:sz="8" w:color="E6E7E8"/>
            </w:tcBorders>
            <w:shd w:val="clear" w:color="auto" w:fill="E6E7E8"/>
          </w:tcPr>
          <w:p>
            <w:pPr>
              <w:jc w:val="right"/>
              <w:ind w:right="9"/>
              <w:spacing w:after="0"/>
              <w:rPr>
                <w:sz w:val="20"/>
                <w:szCs w:val="20"/>
                <w:color w:val="auto"/>
              </w:rPr>
            </w:pPr>
            <w:r>
              <w:rPr>
                <w:rFonts w:ascii="Times New Roman" w:cs="Times New Roman" w:eastAsia="Times New Roman" w:hAnsi="Times New Roman"/>
                <w:sz w:val="20"/>
                <w:szCs w:val="20"/>
                <w:color w:val="231F20"/>
              </w:rPr>
              <w:t>50.94</w:t>
            </w:r>
          </w:p>
        </w:tc>
        <w:tc>
          <w:tcPr>
            <w:tcW w:w="120" w:type="dxa"/>
            <w:vAlign w:val="bottom"/>
            <w:tcBorders>
              <w:top w:val="single" w:sz="8" w:color="E6E7E8"/>
            </w:tcBorders>
            <w:shd w:val="clear" w:color="auto" w:fill="E6E7E8"/>
          </w:tcPr>
          <w:p>
            <w:pPr>
              <w:spacing w:after="0"/>
              <w:rPr>
                <w:sz w:val="22"/>
                <w:szCs w:val="22"/>
                <w:color w:val="auto"/>
              </w:rPr>
            </w:pPr>
          </w:p>
        </w:tc>
        <w:tc>
          <w:tcPr>
            <w:tcW w:w="20" w:type="dxa"/>
            <w:vAlign w:val="bottom"/>
            <w:tcBorders>
              <w:top w:val="single" w:sz="8" w:color="E6E7E8"/>
            </w:tcBorders>
            <w:shd w:val="clear" w:color="auto" w:fill="E6E7E8"/>
          </w:tcPr>
          <w:p>
            <w:pPr>
              <w:spacing w:after="0"/>
              <w:rPr>
                <w:sz w:val="22"/>
                <w:szCs w:val="22"/>
                <w:color w:val="auto"/>
              </w:rPr>
            </w:pPr>
          </w:p>
        </w:tc>
        <w:tc>
          <w:tcPr>
            <w:tcW w:w="1100" w:type="dxa"/>
            <w:vAlign w:val="bottom"/>
            <w:tcBorders>
              <w:top w:val="single" w:sz="8" w:color="231F20"/>
            </w:tcBorders>
            <w:shd w:val="clear" w:color="auto" w:fill="E6E7E8"/>
          </w:tcPr>
          <w:p>
            <w:pPr>
              <w:jc w:val="right"/>
              <w:ind w:right="7"/>
              <w:spacing w:after="0"/>
              <w:rPr>
                <w:sz w:val="20"/>
                <w:szCs w:val="20"/>
                <w:color w:val="auto"/>
              </w:rPr>
            </w:pPr>
            <w:r>
              <w:rPr>
                <w:rFonts w:ascii="Times New Roman" w:cs="Times New Roman" w:eastAsia="Times New Roman" w:hAnsi="Times New Roman"/>
                <w:sz w:val="20"/>
                <w:szCs w:val="20"/>
                <w:color w:val="231F20"/>
              </w:rPr>
              <w:t>67,380</w:t>
            </w:r>
          </w:p>
        </w:tc>
        <w:tc>
          <w:tcPr>
            <w:tcW w:w="280" w:type="dxa"/>
            <w:vAlign w:val="bottom"/>
            <w:tcBorders>
              <w:top w:val="single" w:sz="8" w:color="E6E7E8"/>
            </w:tcBorders>
            <w:gridSpan w:val="2"/>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Borders>
              <w:top w:val="single" w:sz="8" w:color="E6E7E8"/>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51.21</w:t>
            </w:r>
          </w:p>
        </w:tc>
        <w:tc>
          <w:tcPr>
            <w:tcW w:w="20" w:type="dxa"/>
            <w:vAlign w:val="bottom"/>
            <w:tcBorders>
              <w:top w:val="single" w:sz="8" w:color="E6E7E8"/>
            </w:tcBorders>
            <w:shd w:val="clear" w:color="auto" w:fill="E6E7E8"/>
          </w:tcPr>
          <w:p>
            <w:pPr>
              <w:spacing w:after="0"/>
              <w:rPr>
                <w:sz w:val="22"/>
                <w:szCs w:val="22"/>
                <w:color w:val="auto"/>
              </w:rPr>
            </w:pPr>
          </w:p>
        </w:tc>
      </w:tr>
      <w:tr>
        <w:trPr>
          <w:trHeight w:val="20"/>
        </w:trPr>
        <w:tc>
          <w:tcPr>
            <w:tcW w:w="4760" w:type="dxa"/>
            <w:vAlign w:val="bottom"/>
            <w:tcBorders>
              <w:top w:val="single" w:sz="8" w:color="E6E7E8"/>
            </w:tcBorders>
          </w:tcPr>
          <w:p>
            <w:pPr>
              <w:spacing w:after="0" w:line="20" w:lineRule="exact"/>
              <w:rPr>
                <w:sz w:val="1"/>
                <w:szCs w:val="1"/>
                <w:color w:val="auto"/>
              </w:rPr>
            </w:pPr>
          </w:p>
        </w:tc>
        <w:tc>
          <w:tcPr>
            <w:tcW w:w="120" w:type="dxa"/>
            <w:vAlign w:val="bottom"/>
            <w:tcBorders>
              <w:top w:val="single" w:sz="8" w:color="E6E7E8"/>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1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E6E7E8"/>
            </w:tcBorders>
          </w:tcPr>
          <w:p>
            <w:pPr>
              <w:spacing w:after="0" w:line="20" w:lineRule="exact"/>
              <w:rPr>
                <w:sz w:val="1"/>
                <w:szCs w:val="1"/>
                <w:color w:val="auto"/>
              </w:rPr>
            </w:pPr>
          </w:p>
        </w:tc>
        <w:tc>
          <w:tcPr>
            <w:tcW w:w="160" w:type="dxa"/>
            <w:vAlign w:val="bottom"/>
            <w:tcBorders>
              <w:top w:val="single" w:sz="8" w:color="E6E7E8"/>
            </w:tcBorders>
          </w:tcPr>
          <w:p>
            <w:pPr>
              <w:spacing w:after="0" w:line="20" w:lineRule="exact"/>
              <w:rPr>
                <w:sz w:val="1"/>
                <w:szCs w:val="1"/>
                <w:color w:val="auto"/>
              </w:rPr>
            </w:pPr>
          </w:p>
        </w:tc>
        <w:tc>
          <w:tcPr>
            <w:tcW w:w="980" w:type="dxa"/>
            <w:vAlign w:val="bottom"/>
            <w:tcBorders>
              <w:top w:val="single" w:sz="8" w:color="E6E7E8"/>
            </w:tcBorders>
          </w:tcPr>
          <w:p>
            <w:pPr>
              <w:spacing w:after="0" w:line="20" w:lineRule="exact"/>
              <w:rPr>
                <w:sz w:val="1"/>
                <w:szCs w:val="1"/>
                <w:color w:val="auto"/>
              </w:rPr>
            </w:pPr>
          </w:p>
        </w:tc>
        <w:tc>
          <w:tcPr>
            <w:tcW w:w="120" w:type="dxa"/>
            <w:vAlign w:val="bottom"/>
            <w:tcBorders>
              <w:top w:val="single" w:sz="8" w:color="E6E7E8"/>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E6E7E8"/>
            </w:tcBorders>
          </w:tcPr>
          <w:p>
            <w:pPr>
              <w:spacing w:after="0" w:line="20" w:lineRule="exact"/>
              <w:rPr>
                <w:sz w:val="1"/>
                <w:szCs w:val="1"/>
                <w:color w:val="auto"/>
              </w:rPr>
            </w:pPr>
          </w:p>
        </w:tc>
        <w:tc>
          <w:tcPr>
            <w:tcW w:w="160" w:type="dxa"/>
            <w:vAlign w:val="bottom"/>
            <w:tcBorders>
              <w:top w:val="single" w:sz="8" w:color="E6E7E8"/>
            </w:tcBorders>
          </w:tcPr>
          <w:p>
            <w:pPr>
              <w:spacing w:after="0" w:line="20" w:lineRule="exact"/>
              <w:rPr>
                <w:sz w:val="1"/>
                <w:szCs w:val="1"/>
                <w:color w:val="auto"/>
              </w:rPr>
            </w:pPr>
          </w:p>
        </w:tc>
        <w:tc>
          <w:tcPr>
            <w:tcW w:w="940" w:type="dxa"/>
            <w:vAlign w:val="bottom"/>
            <w:tcBorders>
              <w:top w:val="single" w:sz="8" w:color="E6E7E8"/>
            </w:tcBorders>
          </w:tcPr>
          <w:p>
            <w:pPr>
              <w:spacing w:after="0" w:line="20" w:lineRule="exact"/>
              <w:rPr>
                <w:sz w:val="1"/>
                <w:szCs w:val="1"/>
                <w:color w:val="auto"/>
              </w:rPr>
            </w:pPr>
          </w:p>
        </w:tc>
        <w:tc>
          <w:tcPr>
            <w:tcW w:w="20" w:type="dxa"/>
            <w:vAlign w:val="bottom"/>
            <w:tcBorders>
              <w:top w:val="single" w:sz="8" w:color="E6E7E8"/>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-1321435</wp:posOffset>
            </wp:positionV>
            <wp:extent cx="154749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49">
                      <a:extLst>
                        <a:ext uri="{28A0092B-C50C-407E-A947-70E740481C1C}"/>
                      </a:extLst>
                    </a:blip>
                    <a:srcRect/>
                    <a:stretch>
                      <a:fillRect/>
                    </a:stretch>
                  </pic:blipFill>
                  <pic:spPr bwMode="auto">
                    <a:xfrm>
                      <a:off x="0" y="0"/>
                      <a:ext cx="1547495" cy="3810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231F20"/>
        </w:rPr>
        <w:t>Restricted Stock Units</w:t>
      </w:r>
    </w:p>
    <w:p>
      <w:pPr>
        <w:spacing w:after="0" w:line="120"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21"/>
          <w:szCs w:val="21"/>
          <w:color w:val="231F20"/>
        </w:rPr>
        <w:t>Restricted Stock Units, which are issued to members of the Company’s Board of Directors, earn dividend equivalents and will generally be settled by payment to each Director as soon as practicable following the Director’s separation from service to the Company. The Restricted Stock Units will be paid such that the Director will receive (i) 70% of the shares of the Company’s common stock underlying the restricted stock units and (ii) cash in an amount equal to the fair market value of 30% of the shares of the Company’s common stock underlying the Restricted Stock Units.</w:t>
      </w:r>
    </w:p>
    <w:p>
      <w:pPr>
        <w:spacing w:after="0" w:line="195" w:lineRule="exact"/>
        <w:rPr>
          <w:sz w:val="20"/>
          <w:szCs w:val="20"/>
          <w:color w:val="auto"/>
        </w:rPr>
      </w:pPr>
    </w:p>
    <w:p>
      <w:pPr>
        <w:ind w:right="200" w:firstLine="619"/>
        <w:spacing w:after="0" w:line="279" w:lineRule="auto"/>
        <w:rPr>
          <w:sz w:val="20"/>
          <w:szCs w:val="20"/>
          <w:color w:val="auto"/>
        </w:rPr>
      </w:pPr>
      <w:r>
        <w:rPr>
          <w:rFonts w:ascii="Times New Roman" w:cs="Times New Roman" w:eastAsia="Times New Roman" w:hAnsi="Times New Roman"/>
          <w:sz w:val="21"/>
          <w:szCs w:val="21"/>
          <w:color w:val="231F20"/>
        </w:rPr>
        <w:t>The equity and liability portions of Restricted Stock Units activity during 2025 and 2024 in conjunction with the Stock Plan are presented in the following table:</w:t>
      </w:r>
    </w:p>
    <w:p>
      <w:pPr>
        <w:spacing w:after="0" w:line="213"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4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Restricted Stock Units</w:t>
            </w:r>
          </w:p>
        </w:tc>
        <w:tc>
          <w:tcPr>
            <w:tcW w:w="250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231F20"/>
              </w:rPr>
              <w:t>(Equity Portion)</w:t>
            </w:r>
          </w:p>
        </w:tc>
        <w:tc>
          <w:tcPr>
            <w:tcW w:w="236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231F20"/>
              </w:rPr>
              <w:t>(Liability Portion)</w:t>
            </w:r>
          </w:p>
        </w:tc>
      </w:tr>
      <w:tr>
        <w:trPr>
          <w:trHeight w:val="178"/>
        </w:trPr>
        <w:tc>
          <w:tcPr>
            <w:tcW w:w="4760" w:type="dxa"/>
            <w:vAlign w:val="bottom"/>
            <w:tcBorders>
              <w:top w:val="single" w:sz="8" w:color="231F20"/>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400"/>
              <w:spacing w:after="0" w:line="178" w:lineRule="exact"/>
              <w:rPr>
                <w:sz w:val="20"/>
                <w:szCs w:val="20"/>
                <w:color w:val="auto"/>
              </w:rPr>
            </w:pPr>
            <w:r>
              <w:rPr>
                <w:rFonts w:ascii="Times New Roman" w:cs="Times New Roman" w:eastAsia="Times New Roman" w:hAnsi="Times New Roman"/>
                <w:sz w:val="16"/>
                <w:szCs w:val="16"/>
                <w:color w:val="231F20"/>
                <w:w w:val="99"/>
              </w:rPr>
              <w:t>Weighted</w:t>
            </w:r>
          </w:p>
        </w:tc>
        <w:tc>
          <w:tcPr>
            <w:tcW w:w="1120" w:type="dxa"/>
            <w:vAlign w:val="bottom"/>
            <w:tcBorders>
              <w:top w:val="single" w:sz="8" w:color="231F20"/>
            </w:tcBorders>
          </w:tcPr>
          <w:p>
            <w:pPr>
              <w:spacing w:after="0"/>
              <w:rPr>
                <w:sz w:val="15"/>
                <w:szCs w:val="15"/>
                <w:color w:val="auto"/>
              </w:rPr>
            </w:pPr>
          </w:p>
        </w:tc>
        <w:tc>
          <w:tcPr>
            <w:tcW w:w="120" w:type="dxa"/>
            <w:vAlign w:val="bottom"/>
            <w:tcBorders>
              <w:top w:val="single" w:sz="8" w:color="231F20"/>
            </w:tcBorders>
          </w:tcPr>
          <w:p>
            <w:pPr>
              <w:spacing w:after="0"/>
              <w:rPr>
                <w:sz w:val="15"/>
                <w:szCs w:val="15"/>
                <w:color w:val="auto"/>
              </w:rPr>
            </w:pPr>
          </w:p>
        </w:tc>
        <w:tc>
          <w:tcPr>
            <w:tcW w:w="160" w:type="dxa"/>
            <w:vAlign w:val="bottom"/>
            <w:tcBorders>
              <w:top w:val="single" w:sz="8" w:color="231F20"/>
            </w:tcBorders>
          </w:tcPr>
          <w:p>
            <w:pPr>
              <w:spacing w:after="0"/>
              <w:rPr>
                <w:sz w:val="15"/>
                <w:szCs w:val="15"/>
                <w:color w:val="auto"/>
              </w:rPr>
            </w:pPr>
          </w:p>
        </w:tc>
        <w:tc>
          <w:tcPr>
            <w:tcW w:w="940" w:type="dxa"/>
            <w:vAlign w:val="bottom"/>
            <w:tcBorders>
              <w:top w:val="single" w:sz="8" w:color="231F20"/>
            </w:tcBorders>
          </w:tcPr>
          <w:p>
            <w:pPr>
              <w:jc w:val="center"/>
              <w:ind w:right="147"/>
              <w:spacing w:after="0" w:line="178" w:lineRule="exact"/>
              <w:rPr>
                <w:sz w:val="20"/>
                <w:szCs w:val="20"/>
                <w:color w:val="auto"/>
              </w:rPr>
            </w:pPr>
            <w:r>
              <w:rPr>
                <w:rFonts w:ascii="Times New Roman" w:cs="Times New Roman" w:eastAsia="Times New Roman" w:hAnsi="Times New Roman"/>
                <w:sz w:val="16"/>
                <w:szCs w:val="16"/>
                <w:color w:val="231F20"/>
                <w:w w:val="99"/>
              </w:rPr>
              <w:t>Weighted</w:t>
            </w:r>
          </w:p>
        </w:tc>
        <w:tc>
          <w:tcPr>
            <w:tcW w:w="20" w:type="dxa"/>
            <w:vAlign w:val="bottom"/>
          </w:tcPr>
          <w:p>
            <w:pPr>
              <w:spacing w:after="0"/>
              <w:rPr>
                <w:sz w:val="15"/>
                <w:szCs w:val="15"/>
                <w:color w:val="auto"/>
              </w:rPr>
            </w:pPr>
          </w:p>
        </w:tc>
      </w:tr>
      <w:tr>
        <w:trPr>
          <w:trHeight w:val="184"/>
        </w:trPr>
        <w:tc>
          <w:tcPr>
            <w:tcW w:w="4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231F20"/>
                <w:w w:val="99"/>
              </w:rPr>
              <w:t>Average</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231F20"/>
                <w:w w:val="99"/>
              </w:rPr>
              <w:t>Average</w:t>
            </w:r>
          </w:p>
        </w:tc>
      </w:tr>
      <w:tr>
        <w:trPr>
          <w:trHeight w:val="184"/>
        </w:trPr>
        <w:tc>
          <w:tcPr>
            <w:tcW w:w="4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231F20"/>
                <w:w w:val="98"/>
              </w:rPr>
              <w:t>Stock</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231F20"/>
              </w:rPr>
              <w:t>Stock</w:t>
            </w:r>
          </w:p>
        </w:tc>
      </w:tr>
      <w:tr>
        <w:trPr>
          <w:trHeight w:val="199"/>
        </w:trPr>
        <w:tc>
          <w:tcPr>
            <w:tcW w:w="4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64"/>
              <w:spacing w:after="0"/>
              <w:rPr>
                <w:sz w:val="20"/>
                <w:szCs w:val="20"/>
                <w:color w:val="auto"/>
              </w:rPr>
            </w:pPr>
            <w:r>
              <w:rPr>
                <w:rFonts w:ascii="Times New Roman" w:cs="Times New Roman" w:eastAsia="Times New Roman" w:hAnsi="Times New Roman"/>
                <w:sz w:val="16"/>
                <w:szCs w:val="16"/>
                <w:color w:val="231F20"/>
              </w:rPr>
              <w:t>Units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231F20"/>
                <w:w w:val="97"/>
              </w:rPr>
              <w:t>Price</w:t>
            </w:r>
          </w:p>
        </w:tc>
        <w:tc>
          <w:tcPr>
            <w:tcW w:w="1120" w:type="dxa"/>
            <w:vAlign w:val="bottom"/>
          </w:tcPr>
          <w:p>
            <w:pPr>
              <w:jc w:val="right"/>
              <w:ind w:right="344"/>
              <w:spacing w:after="0"/>
              <w:rPr>
                <w:sz w:val="20"/>
                <w:szCs w:val="20"/>
                <w:color w:val="auto"/>
              </w:rPr>
            </w:pPr>
            <w:r>
              <w:rPr>
                <w:rFonts w:ascii="Times New Roman" w:cs="Times New Roman" w:eastAsia="Times New Roman" w:hAnsi="Times New Roman"/>
                <w:sz w:val="16"/>
                <w:szCs w:val="16"/>
                <w:color w:val="231F20"/>
              </w:rPr>
              <w:t>Units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231F20"/>
              </w:rPr>
              <w:t>Price</w:t>
            </w:r>
          </w:p>
        </w:tc>
      </w:tr>
      <w:tr>
        <w:trPr>
          <w:trHeight w:val="239"/>
        </w:trPr>
        <w:tc>
          <w:tcPr>
            <w:tcW w:w="48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Restricted Stock Units as of December 31, 2023</w:t>
            </w:r>
          </w:p>
        </w:tc>
        <w:tc>
          <w:tcPr>
            <w:tcW w:w="1140" w:type="dxa"/>
            <w:vAlign w:val="bottom"/>
            <w:tcBorders>
              <w:top w:val="single" w:sz="8" w:color="231F20"/>
            </w:tcBorders>
          </w:tcPr>
          <w:p>
            <w:pPr>
              <w:jc w:val="right"/>
              <w:ind w:right="24"/>
              <w:spacing w:after="0"/>
              <w:rPr>
                <w:sz w:val="20"/>
                <w:szCs w:val="20"/>
                <w:color w:val="auto"/>
              </w:rPr>
            </w:pPr>
            <w:r>
              <w:rPr>
                <w:rFonts w:ascii="Times New Roman" w:cs="Times New Roman" w:eastAsia="Times New Roman" w:hAnsi="Times New Roman"/>
                <w:sz w:val="20"/>
                <w:szCs w:val="20"/>
                <w:color w:val="231F20"/>
              </w:rPr>
              <w:t>33,375</w:t>
            </w:r>
          </w:p>
        </w:tc>
        <w:tc>
          <w:tcPr>
            <w:tcW w:w="100" w:type="dxa"/>
            <w:vAlign w:val="bottom"/>
          </w:tcPr>
          <w:p>
            <w:pPr>
              <w:spacing w:after="0"/>
              <w:rPr>
                <w:sz w:val="20"/>
                <w:szCs w:val="20"/>
                <w:color w:val="auto"/>
              </w:rPr>
            </w:pPr>
          </w:p>
        </w:tc>
        <w:tc>
          <w:tcPr>
            <w:tcW w:w="1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top w:val="single" w:sz="8" w:color="231F20"/>
            </w:tcBorders>
          </w:tcPr>
          <w:p>
            <w:pPr>
              <w:jc w:val="right"/>
              <w:ind w:right="7"/>
              <w:spacing w:after="0"/>
              <w:rPr>
                <w:sz w:val="20"/>
                <w:szCs w:val="20"/>
                <w:color w:val="auto"/>
              </w:rPr>
            </w:pPr>
            <w:r>
              <w:rPr>
                <w:rFonts w:ascii="Times New Roman" w:cs="Times New Roman" w:eastAsia="Times New Roman" w:hAnsi="Times New Roman"/>
                <w:sz w:val="20"/>
                <w:szCs w:val="20"/>
                <w:color w:val="231F20"/>
              </w:rPr>
              <w:t>42.73</w:t>
            </w:r>
          </w:p>
        </w:tc>
        <w:tc>
          <w:tcPr>
            <w:tcW w:w="120" w:type="dxa"/>
            <w:vAlign w:val="bottom"/>
          </w:tcPr>
          <w:p>
            <w:pPr>
              <w:spacing w:after="0"/>
              <w:rPr>
                <w:sz w:val="20"/>
                <w:szCs w:val="20"/>
                <w:color w:val="auto"/>
              </w:rPr>
            </w:pPr>
          </w:p>
        </w:tc>
        <w:tc>
          <w:tcPr>
            <w:tcW w:w="1120" w:type="dxa"/>
            <w:vAlign w:val="bottom"/>
            <w:tcBorders>
              <w:top w:val="single" w:sz="8" w:color="231F20"/>
            </w:tcBorders>
          </w:tcPr>
          <w:p>
            <w:pPr>
              <w:jc w:val="right"/>
              <w:ind w:right="4"/>
              <w:spacing w:after="0"/>
              <w:rPr>
                <w:sz w:val="20"/>
                <w:szCs w:val="20"/>
                <w:color w:val="auto"/>
              </w:rPr>
            </w:pPr>
            <w:r>
              <w:rPr>
                <w:rFonts w:ascii="Times New Roman" w:cs="Times New Roman" w:eastAsia="Times New Roman" w:hAnsi="Times New Roman"/>
                <w:sz w:val="20"/>
                <w:szCs w:val="20"/>
                <w:color w:val="231F20"/>
              </w:rPr>
              <w:t>14,304</w:t>
            </w:r>
          </w:p>
        </w:tc>
        <w:tc>
          <w:tcPr>
            <w:tcW w:w="120" w:type="dxa"/>
            <w:vAlign w:val="bottom"/>
          </w:tcPr>
          <w:p>
            <w:pPr>
              <w:spacing w:after="0"/>
              <w:rPr>
                <w:sz w:val="20"/>
                <w:szCs w:val="20"/>
                <w:color w:val="auto"/>
              </w:rPr>
            </w:pPr>
          </w:p>
        </w:tc>
        <w:tc>
          <w:tcPr>
            <w:tcW w:w="1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52.57</w:t>
            </w:r>
          </w:p>
        </w:tc>
        <w:tc>
          <w:tcPr>
            <w:tcW w:w="20" w:type="dxa"/>
            <w:vAlign w:val="bottom"/>
          </w:tcPr>
          <w:p>
            <w:pPr>
              <w:spacing w:after="0"/>
              <w:rPr>
                <w:sz w:val="20"/>
                <w:szCs w:val="20"/>
                <w:color w:val="auto"/>
              </w:rPr>
            </w:pPr>
          </w:p>
        </w:tc>
      </w:tr>
      <w:tr>
        <w:trPr>
          <w:trHeight w:val="244"/>
        </w:trPr>
        <w:tc>
          <w:tcPr>
            <w:tcW w:w="488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20"/>
                <w:szCs w:val="20"/>
                <w:color w:val="231F20"/>
              </w:rPr>
              <w:t>Restricted Stock Units Granted</w:t>
            </w:r>
          </w:p>
        </w:tc>
        <w:tc>
          <w:tcPr>
            <w:tcW w:w="1140" w:type="dxa"/>
            <w:vAlign w:val="bottom"/>
            <w:shd w:val="clear" w:color="auto" w:fill="E6E7E8"/>
          </w:tcPr>
          <w:p>
            <w:pPr>
              <w:jc w:val="right"/>
              <w:ind w:right="24"/>
              <w:spacing w:after="0"/>
              <w:rPr>
                <w:sz w:val="20"/>
                <w:szCs w:val="20"/>
                <w:color w:val="auto"/>
              </w:rPr>
            </w:pPr>
            <w:r>
              <w:rPr>
                <w:rFonts w:ascii="Times New Roman" w:cs="Times New Roman" w:eastAsia="Times New Roman" w:hAnsi="Times New Roman"/>
                <w:sz w:val="20"/>
                <w:szCs w:val="20"/>
                <w:color w:val="231F20"/>
              </w:rPr>
              <w:t>2,215</w:t>
            </w:r>
          </w:p>
        </w:tc>
        <w:tc>
          <w:tcPr>
            <w:tcW w:w="260" w:type="dxa"/>
            <w:vAlign w:val="bottom"/>
            <w:gridSpan w:val="2"/>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E6E7E8"/>
          </w:tcPr>
          <w:p>
            <w:pPr>
              <w:jc w:val="right"/>
              <w:ind w:right="27"/>
              <w:spacing w:after="0"/>
              <w:rPr>
                <w:sz w:val="20"/>
                <w:szCs w:val="20"/>
                <w:color w:val="auto"/>
              </w:rPr>
            </w:pPr>
            <w:r>
              <w:rPr>
                <w:rFonts w:ascii="Times New Roman" w:cs="Times New Roman" w:eastAsia="Times New Roman" w:hAnsi="Times New Roman"/>
                <w:sz w:val="20"/>
                <w:szCs w:val="20"/>
                <w:color w:val="231F20"/>
              </w:rPr>
              <w:t>60.02</w:t>
            </w:r>
          </w:p>
        </w:tc>
        <w:tc>
          <w:tcPr>
            <w:tcW w:w="120" w:type="dxa"/>
            <w:vAlign w:val="bottom"/>
            <w:shd w:val="clear" w:color="auto" w:fill="E6E7E8"/>
          </w:tcPr>
          <w:p>
            <w:pPr>
              <w:spacing w:after="0"/>
              <w:rPr>
                <w:sz w:val="21"/>
                <w:szCs w:val="21"/>
                <w:color w:val="auto"/>
              </w:rPr>
            </w:pPr>
          </w:p>
        </w:tc>
        <w:tc>
          <w:tcPr>
            <w:tcW w:w="1120" w:type="dxa"/>
            <w:vAlign w:val="bottom"/>
            <w:shd w:val="clear" w:color="auto" w:fill="E6E7E8"/>
          </w:tcPr>
          <w:p>
            <w:pPr>
              <w:jc w:val="right"/>
              <w:ind w:right="4"/>
              <w:spacing w:after="0"/>
              <w:rPr>
                <w:sz w:val="20"/>
                <w:szCs w:val="20"/>
                <w:color w:val="auto"/>
              </w:rPr>
            </w:pPr>
            <w:r>
              <w:rPr>
                <w:rFonts w:ascii="Times New Roman" w:cs="Times New Roman" w:eastAsia="Times New Roman" w:hAnsi="Times New Roman"/>
                <w:sz w:val="20"/>
                <w:szCs w:val="20"/>
                <w:color w:val="231F20"/>
              </w:rPr>
              <w:t>949</w:t>
            </w:r>
          </w:p>
        </w:tc>
        <w:tc>
          <w:tcPr>
            <w:tcW w:w="280" w:type="dxa"/>
            <w:vAlign w:val="bottom"/>
            <w:gridSpan w:val="2"/>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60.02</w:t>
            </w:r>
          </w:p>
        </w:tc>
        <w:tc>
          <w:tcPr>
            <w:tcW w:w="20" w:type="dxa"/>
            <w:vAlign w:val="bottom"/>
            <w:shd w:val="clear" w:color="auto" w:fill="E6E7E8"/>
          </w:tcPr>
          <w:p>
            <w:pPr>
              <w:spacing w:after="0"/>
              <w:rPr>
                <w:sz w:val="21"/>
                <w:szCs w:val="21"/>
                <w:color w:val="auto"/>
              </w:rPr>
            </w:pPr>
          </w:p>
        </w:tc>
      </w:tr>
      <w:tr>
        <w:trPr>
          <w:trHeight w:val="244"/>
        </w:trPr>
        <w:tc>
          <w:tcPr>
            <w:tcW w:w="4880" w:type="dxa"/>
            <w:vAlign w:val="bottom"/>
            <w:tcBorders>
              <w:bottom w:val="single" w:sz="8" w:color="E6E7E8"/>
            </w:tcBorders>
            <w:gridSpan w:val="2"/>
          </w:tcPr>
          <w:p>
            <w:pPr>
              <w:spacing w:after="0"/>
              <w:rPr>
                <w:sz w:val="20"/>
                <w:szCs w:val="20"/>
                <w:color w:val="auto"/>
              </w:rPr>
            </w:pPr>
            <w:r>
              <w:rPr>
                <w:rFonts w:ascii="Times New Roman" w:cs="Times New Roman" w:eastAsia="Times New Roman" w:hAnsi="Times New Roman"/>
                <w:sz w:val="20"/>
                <w:szCs w:val="20"/>
                <w:color w:val="231F20"/>
              </w:rPr>
              <w:t>Dividend Equivalents Earned</w:t>
            </w:r>
          </w:p>
        </w:tc>
        <w:tc>
          <w:tcPr>
            <w:tcW w:w="1140" w:type="dxa"/>
            <w:vAlign w:val="bottom"/>
            <w:tcBorders>
              <w:bottom w:val="single" w:sz="8" w:color="231F20"/>
            </w:tcBorders>
          </w:tcPr>
          <w:p>
            <w:pPr>
              <w:jc w:val="right"/>
              <w:ind w:right="24"/>
              <w:spacing w:after="0"/>
              <w:rPr>
                <w:sz w:val="20"/>
                <w:szCs w:val="20"/>
                <w:color w:val="auto"/>
              </w:rPr>
            </w:pPr>
            <w:r>
              <w:rPr>
                <w:rFonts w:ascii="Times New Roman" w:cs="Times New Roman" w:eastAsia="Times New Roman" w:hAnsi="Times New Roman"/>
                <w:sz w:val="20"/>
                <w:szCs w:val="20"/>
                <w:color w:val="231F20"/>
              </w:rPr>
              <w:t>1,046</w:t>
            </w:r>
          </w:p>
        </w:tc>
        <w:tc>
          <w:tcPr>
            <w:tcW w:w="260" w:type="dxa"/>
            <w:vAlign w:val="bottom"/>
            <w:tcBorders>
              <w:bottom w:val="single" w:sz="8" w:color="E6E7E8"/>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Borders>
              <w:bottom w:val="single" w:sz="8" w:color="E6E7E8"/>
            </w:tcBorders>
          </w:tcPr>
          <w:p>
            <w:pPr>
              <w:jc w:val="right"/>
              <w:ind w:right="27"/>
              <w:spacing w:after="0"/>
              <w:rPr>
                <w:sz w:val="20"/>
                <w:szCs w:val="20"/>
                <w:color w:val="auto"/>
              </w:rPr>
            </w:pPr>
            <w:r>
              <w:rPr>
                <w:rFonts w:ascii="Times New Roman" w:cs="Times New Roman" w:eastAsia="Times New Roman" w:hAnsi="Times New Roman"/>
                <w:sz w:val="20"/>
                <w:szCs w:val="20"/>
                <w:color w:val="231F20"/>
              </w:rPr>
              <w:t>55.77</w:t>
            </w:r>
          </w:p>
        </w:tc>
        <w:tc>
          <w:tcPr>
            <w:tcW w:w="120" w:type="dxa"/>
            <w:vAlign w:val="bottom"/>
            <w:tcBorders>
              <w:bottom w:val="single" w:sz="8" w:color="E6E7E8"/>
            </w:tcBorders>
          </w:tcPr>
          <w:p>
            <w:pPr>
              <w:spacing w:after="0"/>
              <w:rPr>
                <w:sz w:val="21"/>
                <w:szCs w:val="21"/>
                <w:color w:val="auto"/>
              </w:rPr>
            </w:pPr>
          </w:p>
        </w:tc>
        <w:tc>
          <w:tcPr>
            <w:tcW w:w="112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20"/>
                <w:szCs w:val="20"/>
                <w:color w:val="231F20"/>
              </w:rPr>
              <w:t>448</w:t>
            </w:r>
          </w:p>
        </w:tc>
        <w:tc>
          <w:tcPr>
            <w:tcW w:w="280" w:type="dxa"/>
            <w:vAlign w:val="bottom"/>
            <w:tcBorders>
              <w:bottom w:val="single" w:sz="8" w:color="E6E7E8"/>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Borders>
              <w:bottom w:val="single" w:sz="8" w:color="E6E7E8"/>
            </w:tcBorders>
          </w:tcPr>
          <w:p>
            <w:pPr>
              <w:jc w:val="right"/>
              <w:spacing w:after="0"/>
              <w:rPr>
                <w:sz w:val="20"/>
                <w:szCs w:val="20"/>
                <w:color w:val="auto"/>
              </w:rPr>
            </w:pPr>
            <w:r>
              <w:rPr>
                <w:rFonts w:ascii="Times New Roman" w:cs="Times New Roman" w:eastAsia="Times New Roman" w:hAnsi="Times New Roman"/>
                <w:sz w:val="20"/>
                <w:szCs w:val="20"/>
                <w:color w:val="231F20"/>
              </w:rPr>
              <w:t>55.77</w:t>
            </w:r>
          </w:p>
        </w:tc>
        <w:tc>
          <w:tcPr>
            <w:tcW w:w="20" w:type="dxa"/>
            <w:vAlign w:val="bottom"/>
            <w:tcBorders>
              <w:bottom w:val="single" w:sz="8" w:color="E6E7E8"/>
            </w:tcBorders>
          </w:tcPr>
          <w:p>
            <w:pPr>
              <w:spacing w:after="0"/>
              <w:rPr>
                <w:sz w:val="21"/>
                <w:szCs w:val="21"/>
                <w:color w:val="auto"/>
              </w:rPr>
            </w:pPr>
          </w:p>
        </w:tc>
      </w:tr>
      <w:tr>
        <w:trPr>
          <w:trHeight w:val="239"/>
        </w:trPr>
        <w:tc>
          <w:tcPr>
            <w:tcW w:w="488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20"/>
                <w:szCs w:val="20"/>
                <w:color w:val="231F20"/>
              </w:rPr>
              <w:t>Restricted Stock Units as of December 31, 2024</w:t>
            </w:r>
          </w:p>
        </w:tc>
        <w:tc>
          <w:tcPr>
            <w:tcW w:w="1140" w:type="dxa"/>
            <w:vAlign w:val="bottom"/>
            <w:shd w:val="clear" w:color="auto" w:fill="E6E7E8"/>
          </w:tcPr>
          <w:p>
            <w:pPr>
              <w:jc w:val="right"/>
              <w:ind w:right="24"/>
              <w:spacing w:after="0"/>
              <w:rPr>
                <w:sz w:val="20"/>
                <w:szCs w:val="20"/>
                <w:color w:val="auto"/>
              </w:rPr>
            </w:pPr>
            <w:r>
              <w:rPr>
                <w:rFonts w:ascii="Times New Roman" w:cs="Times New Roman" w:eastAsia="Times New Roman" w:hAnsi="Times New Roman"/>
                <w:sz w:val="20"/>
                <w:szCs w:val="20"/>
                <w:color w:val="231F20"/>
              </w:rPr>
              <w:t>36,636</w:t>
            </w:r>
          </w:p>
        </w:tc>
        <w:tc>
          <w:tcPr>
            <w:tcW w:w="260" w:type="dxa"/>
            <w:vAlign w:val="bottom"/>
            <w:gridSpan w:val="2"/>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E6E7E8"/>
          </w:tcPr>
          <w:p>
            <w:pPr>
              <w:jc w:val="right"/>
              <w:ind w:right="7"/>
              <w:spacing w:after="0"/>
              <w:rPr>
                <w:sz w:val="20"/>
                <w:szCs w:val="20"/>
                <w:color w:val="auto"/>
              </w:rPr>
            </w:pPr>
            <w:r>
              <w:rPr>
                <w:rFonts w:ascii="Times New Roman" w:cs="Times New Roman" w:eastAsia="Times New Roman" w:hAnsi="Times New Roman"/>
                <w:sz w:val="20"/>
                <w:szCs w:val="20"/>
                <w:color w:val="231F20"/>
              </w:rPr>
              <w:t>44.15</w:t>
            </w:r>
          </w:p>
        </w:tc>
        <w:tc>
          <w:tcPr>
            <w:tcW w:w="120" w:type="dxa"/>
            <w:vAlign w:val="bottom"/>
            <w:shd w:val="clear" w:color="auto" w:fill="E6E7E8"/>
          </w:tcPr>
          <w:p>
            <w:pPr>
              <w:spacing w:after="0"/>
              <w:rPr>
                <w:sz w:val="20"/>
                <w:szCs w:val="20"/>
                <w:color w:val="auto"/>
              </w:rPr>
            </w:pPr>
          </w:p>
        </w:tc>
        <w:tc>
          <w:tcPr>
            <w:tcW w:w="1120" w:type="dxa"/>
            <w:vAlign w:val="bottom"/>
            <w:shd w:val="clear" w:color="auto" w:fill="E6E7E8"/>
          </w:tcPr>
          <w:p>
            <w:pPr>
              <w:jc w:val="right"/>
              <w:ind w:right="4"/>
              <w:spacing w:after="0"/>
              <w:rPr>
                <w:sz w:val="20"/>
                <w:szCs w:val="20"/>
                <w:color w:val="auto"/>
              </w:rPr>
            </w:pPr>
            <w:r>
              <w:rPr>
                <w:rFonts w:ascii="Times New Roman" w:cs="Times New Roman" w:eastAsia="Times New Roman" w:hAnsi="Times New Roman"/>
                <w:sz w:val="20"/>
                <w:szCs w:val="20"/>
                <w:color w:val="231F20"/>
              </w:rPr>
              <w:t>15,701</w:t>
            </w:r>
          </w:p>
        </w:tc>
        <w:tc>
          <w:tcPr>
            <w:tcW w:w="280" w:type="dxa"/>
            <w:vAlign w:val="bottom"/>
            <w:gridSpan w:val="2"/>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54.19</w:t>
            </w:r>
          </w:p>
        </w:tc>
        <w:tc>
          <w:tcPr>
            <w:tcW w:w="20" w:type="dxa"/>
            <w:vAlign w:val="bottom"/>
            <w:shd w:val="clear" w:color="auto" w:fill="E6E7E8"/>
          </w:tcPr>
          <w:p>
            <w:pPr>
              <w:spacing w:after="0"/>
              <w:rPr>
                <w:sz w:val="20"/>
                <w:szCs w:val="20"/>
                <w:color w:val="auto"/>
              </w:rPr>
            </w:pPr>
          </w:p>
        </w:tc>
      </w:tr>
      <w:tr>
        <w:trPr>
          <w:trHeight w:val="244"/>
        </w:trPr>
        <w:tc>
          <w:tcPr>
            <w:tcW w:w="48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Restricted Stock Units Granted</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231F20"/>
              </w:rPr>
              <w:t>6,818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231F20"/>
              </w:rPr>
              <w:t>47.22</w:t>
            </w:r>
          </w:p>
        </w:tc>
        <w:tc>
          <w:tcPr>
            <w:tcW w:w="120" w:type="dxa"/>
            <w:vAlign w:val="bottom"/>
          </w:tcPr>
          <w:p>
            <w:pPr>
              <w:spacing w:after="0"/>
              <w:rPr>
                <w:sz w:val="21"/>
                <w:szCs w:val="21"/>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2,922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47.22</w:t>
            </w:r>
          </w:p>
        </w:tc>
        <w:tc>
          <w:tcPr>
            <w:tcW w:w="20" w:type="dxa"/>
            <w:vAlign w:val="bottom"/>
          </w:tcPr>
          <w:p>
            <w:pPr>
              <w:spacing w:after="0"/>
              <w:rPr>
                <w:sz w:val="21"/>
                <w:szCs w:val="21"/>
                <w:color w:val="auto"/>
              </w:rPr>
            </w:pPr>
          </w:p>
        </w:tc>
      </w:tr>
      <w:tr>
        <w:trPr>
          <w:trHeight w:val="244"/>
        </w:trPr>
        <w:tc>
          <w:tcPr>
            <w:tcW w:w="488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20"/>
                <w:szCs w:val="20"/>
                <w:color w:val="231F20"/>
              </w:rPr>
              <w:t>Dividend Equivalents Earned</w:t>
            </w:r>
          </w:p>
        </w:tc>
        <w:tc>
          <w:tcPr>
            <w:tcW w:w="1140" w:type="dxa"/>
            <w:vAlign w:val="bottom"/>
            <w:shd w:val="clear" w:color="auto" w:fill="E6E7E8"/>
          </w:tcPr>
          <w:p>
            <w:pPr>
              <w:jc w:val="right"/>
              <w:ind w:right="24"/>
              <w:spacing w:after="0"/>
              <w:rPr>
                <w:sz w:val="20"/>
                <w:szCs w:val="20"/>
                <w:color w:val="auto"/>
              </w:rPr>
            </w:pPr>
            <w:r>
              <w:rPr>
                <w:rFonts w:ascii="Times New Roman" w:cs="Times New Roman" w:eastAsia="Times New Roman" w:hAnsi="Times New Roman"/>
                <w:sz w:val="20"/>
                <w:szCs w:val="20"/>
                <w:color w:val="231F20"/>
              </w:rPr>
              <w:t>1,123</w:t>
            </w:r>
          </w:p>
        </w:tc>
        <w:tc>
          <w:tcPr>
            <w:tcW w:w="260" w:type="dxa"/>
            <w:vAlign w:val="bottom"/>
            <w:gridSpan w:val="2"/>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E6E7E8"/>
          </w:tcPr>
          <w:p>
            <w:pPr>
              <w:jc w:val="right"/>
              <w:ind w:right="27"/>
              <w:spacing w:after="0"/>
              <w:rPr>
                <w:sz w:val="20"/>
                <w:szCs w:val="20"/>
                <w:color w:val="auto"/>
              </w:rPr>
            </w:pPr>
            <w:r>
              <w:rPr>
                <w:rFonts w:ascii="Times New Roman" w:cs="Times New Roman" w:eastAsia="Times New Roman" w:hAnsi="Times New Roman"/>
                <w:sz w:val="20"/>
                <w:szCs w:val="20"/>
                <w:color w:val="231F20"/>
              </w:rPr>
              <w:t>51.87</w:t>
            </w:r>
          </w:p>
        </w:tc>
        <w:tc>
          <w:tcPr>
            <w:tcW w:w="120" w:type="dxa"/>
            <w:vAlign w:val="bottom"/>
            <w:shd w:val="clear" w:color="auto" w:fill="E6E7E8"/>
          </w:tcPr>
          <w:p>
            <w:pPr>
              <w:spacing w:after="0"/>
              <w:rPr>
                <w:sz w:val="21"/>
                <w:szCs w:val="21"/>
                <w:color w:val="auto"/>
              </w:rPr>
            </w:pPr>
          </w:p>
        </w:tc>
        <w:tc>
          <w:tcPr>
            <w:tcW w:w="1120" w:type="dxa"/>
            <w:vAlign w:val="bottom"/>
            <w:shd w:val="clear" w:color="auto" w:fill="E6E7E8"/>
          </w:tcPr>
          <w:p>
            <w:pPr>
              <w:jc w:val="right"/>
              <w:ind w:right="4"/>
              <w:spacing w:after="0"/>
              <w:rPr>
                <w:sz w:val="20"/>
                <w:szCs w:val="20"/>
                <w:color w:val="auto"/>
              </w:rPr>
            </w:pPr>
            <w:r>
              <w:rPr>
                <w:rFonts w:ascii="Times New Roman" w:cs="Times New Roman" w:eastAsia="Times New Roman" w:hAnsi="Times New Roman"/>
                <w:sz w:val="20"/>
                <w:szCs w:val="20"/>
                <w:color w:val="231F20"/>
              </w:rPr>
              <w:t>481</w:t>
            </w:r>
          </w:p>
        </w:tc>
        <w:tc>
          <w:tcPr>
            <w:tcW w:w="280" w:type="dxa"/>
            <w:vAlign w:val="bottom"/>
            <w:gridSpan w:val="2"/>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51.87</w:t>
            </w:r>
          </w:p>
        </w:tc>
        <w:tc>
          <w:tcPr>
            <w:tcW w:w="20" w:type="dxa"/>
            <w:vAlign w:val="bottom"/>
            <w:shd w:val="clear" w:color="auto" w:fill="E6E7E8"/>
          </w:tcPr>
          <w:p>
            <w:pPr>
              <w:spacing w:after="0"/>
              <w:rPr>
                <w:sz w:val="21"/>
                <w:szCs w:val="21"/>
                <w:color w:val="auto"/>
              </w:rPr>
            </w:pPr>
          </w:p>
        </w:tc>
      </w:tr>
      <w:tr>
        <w:trPr>
          <w:trHeight w:val="244"/>
        </w:trPr>
        <w:tc>
          <w:tcPr>
            <w:tcW w:w="4880" w:type="dxa"/>
            <w:vAlign w:val="bottom"/>
            <w:tcBorders>
              <w:bottom w:val="single" w:sz="8" w:color="E6E7E8"/>
            </w:tcBorders>
            <w:gridSpan w:val="2"/>
          </w:tcPr>
          <w:p>
            <w:pPr>
              <w:spacing w:after="0"/>
              <w:rPr>
                <w:sz w:val="20"/>
                <w:szCs w:val="20"/>
                <w:color w:val="auto"/>
              </w:rPr>
            </w:pPr>
            <w:r>
              <w:rPr>
                <w:rFonts w:ascii="Times New Roman" w:cs="Times New Roman" w:eastAsia="Times New Roman" w:hAnsi="Times New Roman"/>
                <w:sz w:val="20"/>
                <w:szCs w:val="20"/>
                <w:color w:val="231F20"/>
              </w:rPr>
              <w:t>Restricted Stock Units Settled</w:t>
            </w: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(8,525)</w:t>
            </w:r>
          </w:p>
        </w:tc>
        <w:tc>
          <w:tcPr>
            <w:tcW w:w="260" w:type="dxa"/>
            <w:vAlign w:val="bottom"/>
            <w:tcBorders>
              <w:bottom w:val="single" w:sz="8" w:color="E6E7E8"/>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Borders>
              <w:bottom w:val="single" w:sz="8" w:color="E6E7E8"/>
            </w:tcBorders>
          </w:tcPr>
          <w:p>
            <w:pPr>
              <w:jc w:val="right"/>
              <w:ind w:right="27"/>
              <w:spacing w:after="0"/>
              <w:rPr>
                <w:sz w:val="20"/>
                <w:szCs w:val="20"/>
                <w:color w:val="auto"/>
              </w:rPr>
            </w:pPr>
            <w:r>
              <w:rPr>
                <w:rFonts w:ascii="Times New Roman" w:cs="Times New Roman" w:eastAsia="Times New Roman" w:hAnsi="Times New Roman"/>
                <w:sz w:val="20"/>
                <w:szCs w:val="20"/>
                <w:color w:val="231F20"/>
              </w:rPr>
              <w:t>43.32</w:t>
            </w:r>
          </w:p>
        </w:tc>
        <w:tc>
          <w:tcPr>
            <w:tcW w:w="120" w:type="dxa"/>
            <w:vAlign w:val="bottom"/>
            <w:tcBorders>
              <w:bottom w:val="single" w:sz="8" w:color="E6E7E8"/>
            </w:tcBorders>
          </w:tcPr>
          <w:p>
            <w:pPr>
              <w:spacing w:after="0"/>
              <w:rPr>
                <w:sz w:val="21"/>
                <w:szCs w:val="21"/>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(3,654)</w:t>
            </w:r>
          </w:p>
        </w:tc>
        <w:tc>
          <w:tcPr>
            <w:tcW w:w="280" w:type="dxa"/>
            <w:vAlign w:val="bottom"/>
            <w:tcBorders>
              <w:bottom w:val="single" w:sz="8" w:color="E6E7E8"/>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Borders>
              <w:bottom w:val="single" w:sz="8" w:color="E6E7E8"/>
            </w:tcBorders>
          </w:tcPr>
          <w:p>
            <w:pPr>
              <w:jc w:val="right"/>
              <w:spacing w:after="0"/>
              <w:rPr>
                <w:sz w:val="20"/>
                <w:szCs w:val="20"/>
                <w:color w:val="auto"/>
              </w:rPr>
            </w:pPr>
            <w:r>
              <w:rPr>
                <w:rFonts w:ascii="Times New Roman" w:cs="Times New Roman" w:eastAsia="Times New Roman" w:hAnsi="Times New Roman"/>
                <w:sz w:val="20"/>
                <w:szCs w:val="20"/>
                <w:color w:val="231F20"/>
              </w:rPr>
              <w:t>58.97</w:t>
            </w:r>
          </w:p>
        </w:tc>
        <w:tc>
          <w:tcPr>
            <w:tcW w:w="20" w:type="dxa"/>
            <w:vAlign w:val="bottom"/>
            <w:tcBorders>
              <w:bottom w:val="single" w:sz="8" w:color="E6E7E8"/>
            </w:tcBorders>
          </w:tcPr>
          <w:p>
            <w:pPr>
              <w:spacing w:after="0"/>
              <w:rPr>
                <w:sz w:val="21"/>
                <w:szCs w:val="21"/>
                <w:color w:val="auto"/>
              </w:rPr>
            </w:pPr>
          </w:p>
        </w:tc>
      </w:tr>
      <w:tr>
        <w:trPr>
          <w:trHeight w:val="259"/>
        </w:trPr>
        <w:tc>
          <w:tcPr>
            <w:tcW w:w="4880" w:type="dxa"/>
            <w:vAlign w:val="bottom"/>
            <w:tcBorders>
              <w:bottom w:val="single" w:sz="8" w:color="E6E7E8"/>
            </w:tcBorders>
            <w:gridSpan w:val="2"/>
            <w:shd w:val="clear" w:color="auto" w:fill="E6E7E8"/>
          </w:tcPr>
          <w:p>
            <w:pPr>
              <w:spacing w:after="0"/>
              <w:rPr>
                <w:sz w:val="20"/>
                <w:szCs w:val="20"/>
                <w:color w:val="auto"/>
              </w:rPr>
            </w:pPr>
            <w:r>
              <w:rPr>
                <w:rFonts w:ascii="Times New Roman" w:cs="Times New Roman" w:eastAsia="Times New Roman" w:hAnsi="Times New Roman"/>
                <w:sz w:val="20"/>
                <w:szCs w:val="20"/>
                <w:color w:val="231F20"/>
              </w:rPr>
              <w:t>Restricted Stock Units as of December 31, 2025</w:t>
            </w:r>
          </w:p>
        </w:tc>
        <w:tc>
          <w:tcPr>
            <w:tcW w:w="1140" w:type="dxa"/>
            <w:vAlign w:val="bottom"/>
            <w:tcBorders>
              <w:bottom w:val="single" w:sz="8" w:color="231F20"/>
            </w:tcBorders>
            <w:shd w:val="clear" w:color="auto" w:fill="E6E7E8"/>
          </w:tcPr>
          <w:p>
            <w:pPr>
              <w:jc w:val="right"/>
              <w:ind w:right="24"/>
              <w:spacing w:after="0"/>
              <w:rPr>
                <w:sz w:val="20"/>
                <w:szCs w:val="20"/>
                <w:color w:val="auto"/>
              </w:rPr>
            </w:pPr>
            <w:r>
              <w:rPr>
                <w:rFonts w:ascii="Times New Roman" w:cs="Times New Roman" w:eastAsia="Times New Roman" w:hAnsi="Times New Roman"/>
                <w:sz w:val="20"/>
                <w:szCs w:val="20"/>
                <w:color w:val="231F20"/>
              </w:rPr>
              <w:t>36,052</w:t>
            </w:r>
          </w:p>
        </w:tc>
        <w:tc>
          <w:tcPr>
            <w:tcW w:w="260" w:type="dxa"/>
            <w:vAlign w:val="bottom"/>
            <w:tcBorders>
              <w:bottom w:val="single" w:sz="8" w:color="E6E7E8"/>
            </w:tcBorders>
            <w:gridSpan w:val="2"/>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Borders>
              <w:bottom w:val="single" w:sz="8" w:color="E6E7E8"/>
            </w:tcBorders>
            <w:shd w:val="clear" w:color="auto" w:fill="E6E7E8"/>
          </w:tcPr>
          <w:p>
            <w:pPr>
              <w:jc w:val="right"/>
              <w:ind w:right="7"/>
              <w:spacing w:after="0"/>
              <w:rPr>
                <w:sz w:val="20"/>
                <w:szCs w:val="20"/>
                <w:color w:val="auto"/>
              </w:rPr>
            </w:pPr>
            <w:r>
              <w:rPr>
                <w:rFonts w:ascii="Times New Roman" w:cs="Times New Roman" w:eastAsia="Times New Roman" w:hAnsi="Times New Roman"/>
                <w:sz w:val="20"/>
                <w:szCs w:val="20"/>
                <w:color w:val="231F20"/>
              </w:rPr>
              <w:t>45.17</w:t>
            </w:r>
          </w:p>
        </w:tc>
        <w:tc>
          <w:tcPr>
            <w:tcW w:w="120" w:type="dxa"/>
            <w:vAlign w:val="bottom"/>
            <w:tcBorders>
              <w:bottom w:val="single" w:sz="8" w:color="E6E7E8"/>
            </w:tcBorders>
            <w:shd w:val="clear" w:color="auto" w:fill="E6E7E8"/>
          </w:tcPr>
          <w:p>
            <w:pPr>
              <w:spacing w:after="0"/>
              <w:rPr>
                <w:sz w:val="22"/>
                <w:szCs w:val="22"/>
                <w:color w:val="auto"/>
              </w:rPr>
            </w:pPr>
          </w:p>
        </w:tc>
        <w:tc>
          <w:tcPr>
            <w:tcW w:w="1120" w:type="dxa"/>
            <w:vAlign w:val="bottom"/>
            <w:tcBorders>
              <w:bottom w:val="single" w:sz="8" w:color="231F20"/>
            </w:tcBorders>
            <w:shd w:val="clear" w:color="auto" w:fill="E6E7E8"/>
          </w:tcPr>
          <w:p>
            <w:pPr>
              <w:jc w:val="right"/>
              <w:ind w:right="4"/>
              <w:spacing w:after="0"/>
              <w:rPr>
                <w:sz w:val="20"/>
                <w:szCs w:val="20"/>
                <w:color w:val="auto"/>
              </w:rPr>
            </w:pPr>
            <w:r>
              <w:rPr>
                <w:rFonts w:ascii="Times New Roman" w:cs="Times New Roman" w:eastAsia="Times New Roman" w:hAnsi="Times New Roman"/>
                <w:sz w:val="20"/>
                <w:szCs w:val="20"/>
                <w:color w:val="231F20"/>
              </w:rPr>
              <w:t>15,450</w:t>
            </w:r>
          </w:p>
        </w:tc>
        <w:tc>
          <w:tcPr>
            <w:tcW w:w="280" w:type="dxa"/>
            <w:vAlign w:val="bottom"/>
            <w:tcBorders>
              <w:bottom w:val="single" w:sz="8" w:color="E6E7E8"/>
            </w:tcBorders>
            <w:gridSpan w:val="2"/>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Borders>
              <w:bottom w:val="single" w:sz="8" w:color="E6E7E8"/>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48.44</w:t>
            </w:r>
          </w:p>
        </w:tc>
        <w:tc>
          <w:tcPr>
            <w:tcW w:w="20" w:type="dxa"/>
            <w:vAlign w:val="bottom"/>
            <w:tcBorders>
              <w:bottom w:val="single" w:sz="8" w:color="E6E7E8"/>
            </w:tcBorders>
            <w:shd w:val="clear" w:color="auto" w:fill="E6E7E8"/>
          </w:tcPr>
          <w:p>
            <w:pPr>
              <w:spacing w:after="0"/>
              <w:rPr>
                <w:sz w:val="22"/>
                <w:szCs w:val="22"/>
                <w:color w:val="auto"/>
              </w:rPr>
            </w:pPr>
          </w:p>
        </w:tc>
      </w:tr>
      <w:tr>
        <w:trPr>
          <w:trHeight w:val="20"/>
        </w:trPr>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-1796415</wp:posOffset>
            </wp:positionV>
            <wp:extent cx="154749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0">
                      <a:extLst>
                        <a:ext uri="{28A0092B-C50C-407E-A947-70E740481C1C}"/>
                      </a:extLst>
                    </a:blip>
                    <a:srcRect/>
                    <a:stretch>
                      <a:fillRect/>
                    </a:stretch>
                  </pic:blipFill>
                  <pic:spPr bwMode="auto">
                    <a:xfrm>
                      <a:off x="0" y="0"/>
                      <a:ext cx="1547495" cy="38100"/>
                    </a:xfrm>
                    <a:prstGeom prst="rect">
                      <a:avLst/>
                    </a:prstGeom>
                    <a:noFill/>
                  </pic:spPr>
                </pic:pic>
              </a:graphicData>
            </a:graphic>
          </wp:anchor>
        </w:drawing>
      </w:r>
    </w:p>
    <w:p>
      <w:pPr>
        <w:spacing w:after="0" w:line="199" w:lineRule="exact"/>
        <w:rPr>
          <w:sz w:val="20"/>
          <w:szCs w:val="20"/>
          <w:color w:val="auto"/>
        </w:rPr>
      </w:pPr>
    </w:p>
    <w:p>
      <w:pPr>
        <w:ind w:right="40" w:firstLine="619"/>
        <w:spacing w:after="0" w:line="259" w:lineRule="auto"/>
        <w:rPr>
          <w:sz w:val="20"/>
          <w:szCs w:val="20"/>
          <w:color w:val="auto"/>
        </w:rPr>
      </w:pPr>
      <w:r>
        <w:rPr>
          <w:rFonts w:ascii="Times New Roman" w:cs="Times New Roman" w:eastAsia="Times New Roman" w:hAnsi="Times New Roman"/>
          <w:sz w:val="21"/>
          <w:szCs w:val="21"/>
          <w:color w:val="231F20"/>
        </w:rPr>
        <w:t>Other Noncurrent Liabilities on the Company’s Consolidated Balance Sheets as of December 31, 2025 and 2024 include $0.7 million and $ 0.9 million, respectively, representing the fair value of liabilities associated with the portion of fully vested RSUs that will be settled in cash.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231F20"/>
        </w:rPr>
        <w:t>Directors Stock</w:t>
      </w:r>
    </w:p>
    <w:p>
      <w:pPr>
        <w:spacing w:after="0" w:line="240" w:lineRule="exact"/>
        <w:rPr>
          <w:sz w:val="20"/>
          <w:szCs w:val="20"/>
          <w:color w:val="auto"/>
        </w:rPr>
      </w:pPr>
    </w:p>
    <w:p>
      <w:pPr>
        <w:ind w:right="240" w:firstLine="619"/>
        <w:spacing w:after="0" w:line="279" w:lineRule="auto"/>
        <w:rPr>
          <w:sz w:val="20"/>
          <w:szCs w:val="20"/>
          <w:color w:val="auto"/>
        </w:rPr>
      </w:pPr>
      <w:r>
        <w:rPr>
          <w:rFonts w:ascii="Times New Roman" w:cs="Times New Roman" w:eastAsia="Times New Roman" w:hAnsi="Times New Roman"/>
          <w:sz w:val="21"/>
          <w:szCs w:val="21"/>
          <w:color w:val="231F20"/>
        </w:rPr>
        <w:t>Members of the Company’s Board of Directors who do not elect to receive Restricted Stock Units are issued shares of common stock. During the year ended December 31, 2025, 14,610 shares of common stock were issued to Directors.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Preferred Stock</w:t>
      </w:r>
    </w:p>
    <w:p>
      <w:pPr>
        <w:spacing w:after="0" w:line="124" w:lineRule="exact"/>
        <w:rPr>
          <w:sz w:val="20"/>
          <w:szCs w:val="20"/>
          <w:color w:val="auto"/>
        </w:rPr>
      </w:pPr>
    </w:p>
    <w:p>
      <w:pPr>
        <w:jc w:val="both"/>
        <w:ind w:right="200" w:firstLine="619"/>
        <w:spacing w:after="0" w:line="259" w:lineRule="auto"/>
        <w:rPr>
          <w:sz w:val="20"/>
          <w:szCs w:val="20"/>
          <w:color w:val="auto"/>
        </w:rPr>
      </w:pPr>
      <w:r>
        <w:rPr>
          <w:rFonts w:ascii="Times New Roman" w:cs="Times New Roman" w:eastAsia="Times New Roman" w:hAnsi="Times New Roman"/>
          <w:sz w:val="21"/>
          <w:szCs w:val="21"/>
          <w:color w:val="231F20"/>
        </w:rPr>
        <w:t>There were $0.2 million, or 1,727 shares, of Unitil Energy’s 6.00% Series Preferred Stock outstanding as of December 31, 2025 and December 31, 2024. There were less than $ 0.1 million of total dividends declared on Preferred Stock in each of the twelve month periods ended December 31, 2025 and December 31, 2024, respectively.</w:t>
      </w:r>
    </w:p>
    <w:p>
      <w:pPr>
        <w:sectPr>
          <w:pgSz w:w="12240" w:h="15840" w:orient="portrait"/>
          <w:cols w:equalWidth="0" w:num="1">
            <w:col w:w="10800"/>
          </w:cols>
          <w:pgMar w:left="720" w:top="928" w:right="72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66</w:t>
      </w:r>
    </w:p>
    <w:p>
      <w:pPr>
        <w:sectPr>
          <w:pgSz w:w="12240" w:h="15840" w:orient="portrait"/>
          <w:cols w:equalWidth="0" w:num="1">
            <w:col w:w="10800"/>
          </w:cols>
          <w:pgMar w:left="720" w:top="928" w:right="720" w:bottom="188"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21"/>
          <w:szCs w:val="21"/>
          <w:b w:val="1"/>
          <w:bCs w:val="1"/>
          <w:color w:val="231F20"/>
        </w:rPr>
        <w:t>Earnings Per Share</w:t>
      </w:r>
    </w:p>
    <w:p>
      <w:pPr>
        <w:spacing w:after="0" w:line="124" w:lineRule="exact"/>
        <w:rPr>
          <w:sz w:val="20"/>
          <w:szCs w:val="20"/>
          <w:color w:val="auto"/>
        </w:rPr>
      </w:pPr>
    </w:p>
    <w:p>
      <w:pPr>
        <w:ind w:right="360" w:firstLine="619"/>
        <w:spacing w:after="0" w:line="249" w:lineRule="auto"/>
        <w:rPr>
          <w:sz w:val="20"/>
          <w:szCs w:val="20"/>
          <w:color w:val="auto"/>
        </w:rPr>
      </w:pPr>
      <w:r>
        <w:rPr>
          <w:rFonts w:ascii="Times New Roman" w:cs="Times New Roman" w:eastAsia="Times New Roman" w:hAnsi="Times New Roman"/>
          <w:sz w:val="21"/>
          <w:szCs w:val="21"/>
          <w:color w:val="231F20"/>
        </w:rPr>
        <w:t>Unitil has granted restricted stock awards and restricted stock units with non-forfeitable dividend rights, which are considered participating securities. Accordingly, earnings per share are computed using the two-class method as required by FASB ASC 260-10-45. Basic earnings per common share is calculated by dividing net income allocated to common shareholders by the weighted average number of common shares outstanding during the period, which excludes the participating securities. Diluted earnings per common share are adjusted for the dilutive effects of restricted stock.</w:t>
      </w:r>
    </w:p>
    <w:p>
      <w:pPr>
        <w:spacing w:after="0" w:line="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231F20"/>
        </w:rPr>
        <w:t>The following table reconciles basic and diluted earnings per share (EPS).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4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rPr>
              <w:t>Earnings Per Share (millions, except shares and per share data)</w:t>
            </w:r>
          </w:p>
        </w:tc>
        <w:tc>
          <w:tcPr>
            <w:tcW w:w="120" w:type="dxa"/>
            <w:vAlign w:val="bottom"/>
            <w:tcBorders>
              <w:bottom w:val="single" w:sz="8" w:color="231F20"/>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1180" w:type="dxa"/>
            <w:vAlign w:val="bottom"/>
            <w:tcBorders>
              <w:bottom w:val="single" w:sz="8" w:color="231F20"/>
            </w:tcBorders>
          </w:tcPr>
          <w:p>
            <w:pPr>
              <w:jc w:val="right"/>
              <w:ind w:right="522"/>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40" w:type="dxa"/>
            <w:vAlign w:val="bottom"/>
            <w:tcBorders>
              <w:bottom w:val="single" w:sz="8" w:color="E6E7E8"/>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1160" w:type="dxa"/>
            <w:vAlign w:val="bottom"/>
            <w:tcBorders>
              <w:bottom w:val="single" w:sz="8" w:color="231F20"/>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60" w:type="dxa"/>
            <w:vAlign w:val="bottom"/>
            <w:tcBorders>
              <w:bottom w:val="single" w:sz="8" w:color="E6E7E8"/>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0" w:type="dxa"/>
            <w:vAlign w:val="bottom"/>
          </w:tcPr>
          <w:p>
            <w:pPr>
              <w:spacing w:after="0"/>
              <w:rPr>
                <w:sz w:val="1"/>
                <w:szCs w:val="1"/>
                <w:color w:val="auto"/>
              </w:rPr>
            </w:pPr>
          </w:p>
        </w:tc>
      </w:tr>
      <w:tr>
        <w:trPr>
          <w:trHeight w:val="239"/>
        </w:trPr>
        <w:tc>
          <w:tcPr>
            <w:tcW w:w="614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Net Income</w:t>
            </w:r>
          </w:p>
        </w:tc>
        <w:tc>
          <w:tcPr>
            <w:tcW w:w="380" w:type="dxa"/>
            <w:vAlign w:val="bottom"/>
            <w:gridSpan w:val="2"/>
            <w:shd w:val="clear" w:color="auto" w:fill="E6E7E8"/>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w:t>
            </w:r>
          </w:p>
        </w:tc>
        <w:tc>
          <w:tcPr>
            <w:tcW w:w="1180" w:type="dxa"/>
            <w:vAlign w:val="bottom"/>
            <w:shd w:val="clear" w:color="auto" w:fill="E6E7E8"/>
          </w:tcPr>
          <w:p>
            <w:pPr>
              <w:jc w:val="right"/>
              <w:ind w:right="22"/>
              <w:spacing w:after="0"/>
              <w:rPr>
                <w:sz w:val="20"/>
                <w:szCs w:val="20"/>
                <w:color w:val="auto"/>
              </w:rPr>
            </w:pPr>
            <w:r>
              <w:rPr>
                <w:rFonts w:ascii="Times New Roman" w:cs="Times New Roman" w:eastAsia="Times New Roman" w:hAnsi="Times New Roman"/>
                <w:sz w:val="20"/>
                <w:szCs w:val="20"/>
                <w:b w:val="1"/>
                <w:bCs w:val="1"/>
                <w:color w:val="231F20"/>
              </w:rPr>
              <w:t>50.2</w:t>
            </w:r>
          </w:p>
        </w:tc>
        <w:tc>
          <w:tcPr>
            <w:tcW w:w="140" w:type="dxa"/>
            <w:vAlign w:val="bottom"/>
            <w:shd w:val="clear" w:color="auto" w:fill="E6E7E8"/>
          </w:tcPr>
          <w:p>
            <w:pPr>
              <w:spacing w:after="0"/>
              <w:rPr>
                <w:sz w:val="20"/>
                <w:szCs w:val="20"/>
                <w:color w:val="auto"/>
              </w:rPr>
            </w:pPr>
          </w:p>
        </w:tc>
        <w:tc>
          <w:tcPr>
            <w:tcW w:w="260" w:type="dxa"/>
            <w:vAlign w:val="bottom"/>
            <w:shd w:val="clear" w:color="auto" w:fill="E6E7E8"/>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shd w:val="clear" w:color="auto" w:fill="E6E7E8"/>
          </w:tcPr>
          <w:p>
            <w:pPr>
              <w:jc w:val="right"/>
              <w:ind w:right="22"/>
              <w:spacing w:after="0"/>
              <w:rPr>
                <w:sz w:val="20"/>
                <w:szCs w:val="20"/>
                <w:color w:val="auto"/>
              </w:rPr>
            </w:pPr>
            <w:r>
              <w:rPr>
                <w:rFonts w:ascii="Times New Roman" w:cs="Times New Roman" w:eastAsia="Times New Roman" w:hAnsi="Times New Roman"/>
                <w:sz w:val="20"/>
                <w:szCs w:val="20"/>
                <w:color w:val="231F20"/>
              </w:rPr>
              <w:t>47.1</w:t>
            </w:r>
          </w:p>
        </w:tc>
        <w:tc>
          <w:tcPr>
            <w:tcW w:w="160" w:type="dxa"/>
            <w:vAlign w:val="bottom"/>
            <w:shd w:val="clear" w:color="auto" w:fill="E6E7E8"/>
          </w:tcPr>
          <w:p>
            <w:pPr>
              <w:spacing w:after="0"/>
              <w:rPr>
                <w:sz w:val="20"/>
                <w:szCs w:val="20"/>
                <w:color w:val="auto"/>
              </w:rPr>
            </w:pPr>
          </w:p>
        </w:tc>
        <w:tc>
          <w:tcPr>
            <w:tcW w:w="240" w:type="dxa"/>
            <w:vAlign w:val="bottom"/>
            <w:shd w:val="clear" w:color="auto" w:fill="E6E7E8"/>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114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45.2</w:t>
            </w:r>
          </w:p>
        </w:tc>
        <w:tc>
          <w:tcPr>
            <w:tcW w:w="0" w:type="dxa"/>
            <w:vAlign w:val="bottom"/>
          </w:tcPr>
          <w:p>
            <w:pPr>
              <w:spacing w:after="0"/>
              <w:rPr>
                <w:sz w:val="1"/>
                <w:szCs w:val="1"/>
                <w:color w:val="auto"/>
              </w:rPr>
            </w:pPr>
          </w:p>
        </w:tc>
      </w:tr>
      <w:tr>
        <w:trPr>
          <w:trHeight w:val="244"/>
        </w:trPr>
        <w:tc>
          <w:tcPr>
            <w:tcW w:w="6140" w:type="dxa"/>
            <w:vAlign w:val="bottom"/>
            <w:tcBorders>
              <w:bottom w:val="single" w:sz="8" w:color="E6E7E8"/>
            </w:tcBorders>
          </w:tcPr>
          <w:p>
            <w:pPr>
              <w:spacing w:after="0"/>
              <w:rPr>
                <w:sz w:val="20"/>
                <w:szCs w:val="20"/>
                <w:color w:val="auto"/>
              </w:rPr>
            </w:pPr>
            <w:r>
              <w:rPr>
                <w:rFonts w:ascii="Times New Roman" w:cs="Times New Roman" w:eastAsia="Times New Roman" w:hAnsi="Times New Roman"/>
                <w:sz w:val="20"/>
                <w:szCs w:val="20"/>
                <w:color w:val="231F20"/>
              </w:rPr>
              <w:t>Less allocation of earnings and dividends to participating securities</w:t>
            </w:r>
          </w:p>
        </w:tc>
        <w:tc>
          <w:tcPr>
            <w:tcW w:w="120" w:type="dxa"/>
            <w:vAlign w:val="bottom"/>
            <w:tcBorders>
              <w:bottom w:val="single" w:sz="8" w:color="E6E7E8"/>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1180" w:type="dxa"/>
            <w:vAlign w:val="bottom"/>
            <w:tcBorders>
              <w:bottom w:val="single" w:sz="8" w:color="231F20"/>
            </w:tcBorders>
          </w:tcPr>
          <w:p>
            <w:pPr>
              <w:jc w:val="right"/>
              <w:ind w:right="22"/>
              <w:spacing w:after="0"/>
              <w:rPr>
                <w:sz w:val="20"/>
                <w:szCs w:val="20"/>
                <w:color w:val="auto"/>
              </w:rPr>
            </w:pPr>
            <w:r>
              <w:rPr>
                <w:rFonts w:ascii="Times New Roman" w:cs="Times New Roman" w:eastAsia="Times New Roman" w:hAnsi="Times New Roman"/>
                <w:sz w:val="20"/>
                <w:szCs w:val="20"/>
                <w:b w:val="1"/>
                <w:bCs w:val="1"/>
                <w:color w:val="231F20"/>
              </w:rPr>
              <w:t>0.3</w:t>
            </w:r>
          </w:p>
        </w:tc>
        <w:tc>
          <w:tcPr>
            <w:tcW w:w="140" w:type="dxa"/>
            <w:vAlign w:val="bottom"/>
            <w:tcBorders>
              <w:bottom w:val="single" w:sz="8" w:color="E6E7E8"/>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1160" w:type="dxa"/>
            <w:vAlign w:val="bottom"/>
            <w:tcBorders>
              <w:bottom w:val="single" w:sz="8" w:color="231F20"/>
            </w:tcBorders>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Borders>
              <w:bottom w:val="single" w:sz="8" w:color="E6E7E8"/>
            </w:tcBorders>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39"/>
        </w:trPr>
        <w:tc>
          <w:tcPr>
            <w:tcW w:w="6140" w:type="dxa"/>
            <w:vAlign w:val="bottom"/>
            <w:shd w:val="clear" w:color="auto" w:fill="E6E7E8"/>
          </w:tcPr>
          <w:p>
            <w:pPr>
              <w:ind w:left="300"/>
              <w:spacing w:after="0"/>
              <w:rPr>
                <w:sz w:val="20"/>
                <w:szCs w:val="20"/>
                <w:color w:val="auto"/>
              </w:rPr>
            </w:pPr>
            <w:r>
              <w:rPr>
                <w:rFonts w:ascii="Times New Roman" w:cs="Times New Roman" w:eastAsia="Times New Roman" w:hAnsi="Times New Roman"/>
                <w:sz w:val="20"/>
                <w:szCs w:val="20"/>
                <w:color w:val="231F20"/>
              </w:rPr>
              <w:t>Net income allocated to common shareholders</w:t>
            </w:r>
          </w:p>
        </w:tc>
        <w:tc>
          <w:tcPr>
            <w:tcW w:w="120" w:type="dxa"/>
            <w:vAlign w:val="bottom"/>
            <w:shd w:val="clear" w:color="auto" w:fill="E6E7E8"/>
          </w:tcPr>
          <w:p>
            <w:pPr>
              <w:spacing w:after="0"/>
              <w:rPr>
                <w:sz w:val="20"/>
                <w:szCs w:val="20"/>
                <w:color w:val="auto"/>
              </w:rPr>
            </w:pPr>
          </w:p>
        </w:tc>
        <w:tc>
          <w:tcPr>
            <w:tcW w:w="260" w:type="dxa"/>
            <w:vAlign w:val="bottom"/>
            <w:shd w:val="clear" w:color="auto" w:fill="E6E7E8"/>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1180" w:type="dxa"/>
            <w:vAlign w:val="bottom"/>
            <w:shd w:val="clear" w:color="auto" w:fill="E6E7E8"/>
          </w:tcPr>
          <w:p>
            <w:pPr>
              <w:jc w:val="right"/>
              <w:ind w:right="22"/>
              <w:spacing w:after="0"/>
              <w:rPr>
                <w:sz w:val="20"/>
                <w:szCs w:val="20"/>
                <w:color w:val="auto"/>
              </w:rPr>
            </w:pPr>
            <w:r>
              <w:rPr>
                <w:rFonts w:ascii="Times New Roman" w:cs="Times New Roman" w:eastAsia="Times New Roman" w:hAnsi="Times New Roman"/>
                <w:sz w:val="20"/>
                <w:szCs w:val="20"/>
                <w:b w:val="1"/>
                <w:bCs w:val="1"/>
                <w:color w:val="231F20"/>
              </w:rPr>
              <w:t>49.9</w:t>
            </w:r>
          </w:p>
        </w:tc>
        <w:tc>
          <w:tcPr>
            <w:tcW w:w="140" w:type="dxa"/>
            <w:vAlign w:val="bottom"/>
            <w:shd w:val="clear" w:color="auto" w:fill="E6E7E8"/>
          </w:tcPr>
          <w:p>
            <w:pPr>
              <w:spacing w:after="0"/>
              <w:rPr>
                <w:sz w:val="20"/>
                <w:szCs w:val="20"/>
                <w:color w:val="auto"/>
              </w:rPr>
            </w:pPr>
          </w:p>
        </w:tc>
        <w:tc>
          <w:tcPr>
            <w:tcW w:w="260" w:type="dxa"/>
            <w:vAlign w:val="bottom"/>
            <w:shd w:val="clear" w:color="auto" w:fill="E6E7E8"/>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shd w:val="clear" w:color="auto" w:fill="E6E7E8"/>
          </w:tcPr>
          <w:p>
            <w:pPr>
              <w:jc w:val="right"/>
              <w:ind w:right="22"/>
              <w:spacing w:after="0"/>
              <w:rPr>
                <w:sz w:val="20"/>
                <w:szCs w:val="20"/>
                <w:color w:val="auto"/>
              </w:rPr>
            </w:pPr>
            <w:r>
              <w:rPr>
                <w:rFonts w:ascii="Times New Roman" w:cs="Times New Roman" w:eastAsia="Times New Roman" w:hAnsi="Times New Roman"/>
                <w:sz w:val="20"/>
                <w:szCs w:val="20"/>
                <w:color w:val="231F20"/>
              </w:rPr>
              <w:t>47.1</w:t>
            </w:r>
          </w:p>
        </w:tc>
        <w:tc>
          <w:tcPr>
            <w:tcW w:w="160" w:type="dxa"/>
            <w:vAlign w:val="bottom"/>
            <w:shd w:val="clear" w:color="auto" w:fill="E6E7E8"/>
          </w:tcPr>
          <w:p>
            <w:pPr>
              <w:spacing w:after="0"/>
              <w:rPr>
                <w:sz w:val="20"/>
                <w:szCs w:val="20"/>
                <w:color w:val="auto"/>
              </w:rPr>
            </w:pPr>
          </w:p>
        </w:tc>
        <w:tc>
          <w:tcPr>
            <w:tcW w:w="240" w:type="dxa"/>
            <w:vAlign w:val="bottom"/>
            <w:shd w:val="clear" w:color="auto" w:fill="E6E7E8"/>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114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45.2</w:t>
            </w:r>
          </w:p>
        </w:tc>
        <w:tc>
          <w:tcPr>
            <w:tcW w:w="0" w:type="dxa"/>
            <w:vAlign w:val="bottom"/>
          </w:tcPr>
          <w:p>
            <w:pPr>
              <w:spacing w:after="0"/>
              <w:rPr>
                <w:sz w:val="1"/>
                <w:szCs w:val="1"/>
                <w:color w:val="auto"/>
              </w:rPr>
            </w:pPr>
          </w:p>
        </w:tc>
      </w:tr>
      <w:tr>
        <w:trPr>
          <w:trHeight w:val="488"/>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231F20"/>
              </w:rPr>
              <w:t>Weighted average common shares outstanding, gross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20"/>
                <w:szCs w:val="20"/>
                <w:b w:val="1"/>
                <w:bCs w:val="1"/>
                <w:color w:val="231F20"/>
              </w:rPr>
              <w:t>16,886,642</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16,098,267</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16,045,300</w:t>
            </w:r>
          </w:p>
        </w:tc>
        <w:tc>
          <w:tcPr>
            <w:tcW w:w="0" w:type="dxa"/>
            <w:vAlign w:val="bottom"/>
          </w:tcPr>
          <w:p>
            <w:pPr>
              <w:spacing w:after="0"/>
              <w:rPr>
                <w:sz w:val="1"/>
                <w:szCs w:val="1"/>
                <w:color w:val="auto"/>
              </w:rPr>
            </w:pPr>
          </w:p>
        </w:tc>
      </w:tr>
      <w:tr>
        <w:trPr>
          <w:trHeight w:val="244"/>
        </w:trPr>
        <w:tc>
          <w:tcPr>
            <w:tcW w:w="614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Less average participating securities</w:t>
            </w:r>
          </w:p>
        </w:tc>
        <w:tc>
          <w:tcPr>
            <w:tcW w:w="120" w:type="dxa"/>
            <w:vAlign w:val="bottom"/>
            <w:shd w:val="clear" w:color="auto" w:fill="E6E7E8"/>
          </w:tcPr>
          <w:p>
            <w:pPr>
              <w:spacing w:after="0"/>
              <w:rPr>
                <w:sz w:val="21"/>
                <w:szCs w:val="21"/>
                <w:color w:val="auto"/>
              </w:rPr>
            </w:pPr>
          </w:p>
        </w:tc>
        <w:tc>
          <w:tcPr>
            <w:tcW w:w="260" w:type="dxa"/>
            <w:vAlign w:val="bottom"/>
            <w:tcBorders>
              <w:bottom w:val="single" w:sz="8" w:color="231F20"/>
            </w:tcBorders>
            <w:shd w:val="clear" w:color="auto" w:fill="E6E7E8"/>
          </w:tcPr>
          <w:p>
            <w:pPr>
              <w:spacing w:after="0"/>
              <w:rPr>
                <w:sz w:val="21"/>
                <w:szCs w:val="21"/>
                <w:color w:val="auto"/>
              </w:rPr>
            </w:pPr>
          </w:p>
        </w:tc>
        <w:tc>
          <w:tcPr>
            <w:tcW w:w="1180" w:type="dxa"/>
            <w:vAlign w:val="bottom"/>
            <w:tcBorders>
              <w:bottom w:val="single" w:sz="8" w:color="231F20"/>
            </w:tcBorders>
            <w:shd w:val="clear" w:color="auto" w:fill="E6E7E8"/>
          </w:tcPr>
          <w:p>
            <w:pPr>
              <w:jc w:val="right"/>
              <w:ind w:right="22"/>
              <w:spacing w:after="0"/>
              <w:rPr>
                <w:sz w:val="20"/>
                <w:szCs w:val="20"/>
                <w:color w:val="auto"/>
              </w:rPr>
            </w:pPr>
            <w:r>
              <w:rPr>
                <w:rFonts w:ascii="Times New Roman" w:cs="Times New Roman" w:eastAsia="Times New Roman" w:hAnsi="Times New Roman"/>
                <w:sz w:val="20"/>
                <w:szCs w:val="20"/>
                <w:b w:val="1"/>
                <w:bCs w:val="1"/>
                <w:color w:val="231F20"/>
              </w:rPr>
              <w:t>100,561</w:t>
            </w:r>
          </w:p>
        </w:tc>
        <w:tc>
          <w:tcPr>
            <w:tcW w:w="140" w:type="dxa"/>
            <w:vAlign w:val="bottom"/>
            <w:shd w:val="clear" w:color="auto" w:fill="E6E7E8"/>
          </w:tcPr>
          <w:p>
            <w:pPr>
              <w:spacing w:after="0"/>
              <w:rPr>
                <w:sz w:val="21"/>
                <w:szCs w:val="21"/>
                <w:color w:val="auto"/>
              </w:rPr>
            </w:pPr>
          </w:p>
        </w:tc>
        <w:tc>
          <w:tcPr>
            <w:tcW w:w="260" w:type="dxa"/>
            <w:vAlign w:val="bottom"/>
            <w:tcBorders>
              <w:bottom w:val="single" w:sz="8" w:color="231F20"/>
            </w:tcBorders>
            <w:shd w:val="clear" w:color="auto" w:fill="E6E7E8"/>
          </w:tcPr>
          <w:p>
            <w:pPr>
              <w:spacing w:after="0"/>
              <w:rPr>
                <w:sz w:val="21"/>
                <w:szCs w:val="21"/>
                <w:color w:val="auto"/>
              </w:rPr>
            </w:pPr>
          </w:p>
        </w:tc>
        <w:tc>
          <w:tcPr>
            <w:tcW w:w="1160" w:type="dxa"/>
            <w:vAlign w:val="bottom"/>
            <w:tcBorders>
              <w:bottom w:val="single" w:sz="8" w:color="231F20"/>
            </w:tcBorders>
            <w:shd w:val="clear" w:color="auto" w:fill="E6E7E8"/>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shd w:val="clear" w:color="auto" w:fill="E6E7E8"/>
          </w:tcPr>
          <w:p>
            <w:pPr>
              <w:spacing w:after="0"/>
              <w:rPr>
                <w:sz w:val="21"/>
                <w:szCs w:val="21"/>
                <w:color w:val="auto"/>
              </w:rPr>
            </w:pPr>
          </w:p>
        </w:tc>
        <w:tc>
          <w:tcPr>
            <w:tcW w:w="240" w:type="dxa"/>
            <w:vAlign w:val="bottom"/>
            <w:tcBorders>
              <w:bottom w:val="single" w:sz="8" w:color="231F20"/>
            </w:tcBorders>
            <w:shd w:val="clear" w:color="auto" w:fill="E6E7E8"/>
          </w:tcPr>
          <w:p>
            <w:pPr>
              <w:spacing w:after="0"/>
              <w:rPr>
                <w:sz w:val="21"/>
                <w:szCs w:val="21"/>
                <w:color w:val="auto"/>
              </w:rPr>
            </w:pPr>
          </w:p>
        </w:tc>
        <w:tc>
          <w:tcPr>
            <w:tcW w:w="114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20"/>
        </w:trPr>
        <w:tc>
          <w:tcPr>
            <w:tcW w:w="6140" w:type="dxa"/>
            <w:vAlign w:val="bottom"/>
          </w:tcPr>
          <w:p>
            <w:pPr>
              <w:ind w:left="300"/>
              <w:spacing w:after="0" w:line="220" w:lineRule="exact"/>
              <w:rPr>
                <w:sz w:val="20"/>
                <w:szCs w:val="20"/>
                <w:color w:val="auto"/>
              </w:rPr>
            </w:pPr>
            <w:r>
              <w:rPr>
                <w:rFonts w:ascii="Times New Roman" w:cs="Times New Roman" w:eastAsia="Times New Roman" w:hAnsi="Times New Roman"/>
                <w:sz w:val="20"/>
                <w:szCs w:val="20"/>
                <w:color w:val="231F20"/>
              </w:rPr>
              <w:t>Weighted average number of shares outstanding used in the calculation</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vMerge w:val="restart"/>
          </w:tcPr>
          <w:p>
            <w:pPr>
              <w:jc w:val="right"/>
              <w:ind w:right="22"/>
              <w:spacing w:after="0"/>
              <w:rPr>
                <w:sz w:val="20"/>
                <w:szCs w:val="20"/>
                <w:color w:val="auto"/>
              </w:rPr>
            </w:pPr>
            <w:r>
              <w:rPr>
                <w:rFonts w:ascii="Times New Roman" w:cs="Times New Roman" w:eastAsia="Times New Roman" w:hAnsi="Times New Roman"/>
                <w:sz w:val="20"/>
                <w:szCs w:val="20"/>
                <w:b w:val="1"/>
                <w:bCs w:val="1"/>
                <w:color w:val="231F20"/>
              </w:rPr>
              <w:t>16,786,081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14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of basic earnings per share</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16,098,267</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16,045,300</w:t>
            </w:r>
          </w:p>
        </w:tc>
        <w:tc>
          <w:tcPr>
            <w:tcW w:w="0" w:type="dxa"/>
            <w:vAlign w:val="bottom"/>
          </w:tcPr>
          <w:p>
            <w:pPr>
              <w:spacing w:after="0"/>
              <w:rPr>
                <w:sz w:val="1"/>
                <w:szCs w:val="1"/>
                <w:color w:val="auto"/>
              </w:rPr>
            </w:pPr>
          </w:p>
        </w:tc>
      </w:tr>
      <w:tr>
        <w:trPr>
          <w:trHeight w:val="244"/>
        </w:trPr>
        <w:tc>
          <w:tcPr>
            <w:tcW w:w="614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Add dilutive effect of:</w:t>
            </w:r>
          </w:p>
        </w:tc>
        <w:tc>
          <w:tcPr>
            <w:tcW w:w="120" w:type="dxa"/>
            <w:vAlign w:val="bottom"/>
            <w:shd w:val="clear" w:color="auto" w:fill="E6E7E8"/>
          </w:tcPr>
          <w:p>
            <w:pPr>
              <w:spacing w:after="0"/>
              <w:rPr>
                <w:sz w:val="21"/>
                <w:szCs w:val="21"/>
                <w:color w:val="auto"/>
              </w:rPr>
            </w:pPr>
          </w:p>
        </w:tc>
        <w:tc>
          <w:tcPr>
            <w:tcW w:w="260" w:type="dxa"/>
            <w:vAlign w:val="bottom"/>
            <w:shd w:val="clear" w:color="auto" w:fill="E6E7E8"/>
          </w:tcPr>
          <w:p>
            <w:pPr>
              <w:spacing w:after="0"/>
              <w:rPr>
                <w:sz w:val="21"/>
                <w:szCs w:val="21"/>
                <w:color w:val="auto"/>
              </w:rPr>
            </w:pPr>
          </w:p>
        </w:tc>
        <w:tc>
          <w:tcPr>
            <w:tcW w:w="1180" w:type="dxa"/>
            <w:vAlign w:val="bottom"/>
            <w:shd w:val="clear" w:color="auto" w:fill="E6E7E8"/>
          </w:tcPr>
          <w:p>
            <w:pPr>
              <w:spacing w:after="0"/>
              <w:rPr>
                <w:sz w:val="21"/>
                <w:szCs w:val="21"/>
                <w:color w:val="auto"/>
              </w:rPr>
            </w:pPr>
          </w:p>
        </w:tc>
        <w:tc>
          <w:tcPr>
            <w:tcW w:w="140" w:type="dxa"/>
            <w:vAlign w:val="bottom"/>
            <w:shd w:val="clear" w:color="auto" w:fill="E6E7E8"/>
          </w:tcPr>
          <w:p>
            <w:pPr>
              <w:spacing w:after="0"/>
              <w:rPr>
                <w:sz w:val="21"/>
                <w:szCs w:val="21"/>
                <w:color w:val="auto"/>
              </w:rPr>
            </w:pPr>
          </w:p>
        </w:tc>
        <w:tc>
          <w:tcPr>
            <w:tcW w:w="260" w:type="dxa"/>
            <w:vAlign w:val="bottom"/>
            <w:shd w:val="clear" w:color="auto" w:fill="E6E7E8"/>
          </w:tcPr>
          <w:p>
            <w:pPr>
              <w:spacing w:after="0"/>
              <w:rPr>
                <w:sz w:val="21"/>
                <w:szCs w:val="21"/>
                <w:color w:val="auto"/>
              </w:rPr>
            </w:pPr>
          </w:p>
        </w:tc>
        <w:tc>
          <w:tcPr>
            <w:tcW w:w="1160" w:type="dxa"/>
            <w:vAlign w:val="bottom"/>
            <w:shd w:val="clear" w:color="auto" w:fill="E6E7E8"/>
          </w:tcPr>
          <w:p>
            <w:pPr>
              <w:spacing w:after="0"/>
              <w:rPr>
                <w:sz w:val="21"/>
                <w:szCs w:val="21"/>
                <w:color w:val="auto"/>
              </w:rPr>
            </w:pPr>
          </w:p>
        </w:tc>
        <w:tc>
          <w:tcPr>
            <w:tcW w:w="160" w:type="dxa"/>
            <w:vAlign w:val="bottom"/>
            <w:shd w:val="clear" w:color="auto" w:fill="E6E7E8"/>
          </w:tcPr>
          <w:p>
            <w:pPr>
              <w:spacing w:after="0"/>
              <w:rPr>
                <w:sz w:val="21"/>
                <w:szCs w:val="21"/>
                <w:color w:val="auto"/>
              </w:rPr>
            </w:pPr>
          </w:p>
        </w:tc>
        <w:tc>
          <w:tcPr>
            <w:tcW w:w="240" w:type="dxa"/>
            <w:vAlign w:val="bottom"/>
            <w:shd w:val="clear" w:color="auto" w:fill="E6E7E8"/>
          </w:tcPr>
          <w:p>
            <w:pPr>
              <w:spacing w:after="0"/>
              <w:rPr>
                <w:sz w:val="21"/>
                <w:szCs w:val="21"/>
                <w:color w:val="auto"/>
              </w:rPr>
            </w:pPr>
          </w:p>
        </w:tc>
        <w:tc>
          <w:tcPr>
            <w:tcW w:w="1140" w:type="dxa"/>
            <w:vAlign w:val="bottom"/>
            <w:shd w:val="clear" w:color="auto" w:fill="E6E7E8"/>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40" w:type="dxa"/>
            <w:vAlign w:val="bottom"/>
            <w:tcBorders>
              <w:bottom w:val="single" w:sz="8" w:color="E6E7E8"/>
            </w:tcBorders>
          </w:tcPr>
          <w:p>
            <w:pPr>
              <w:spacing w:after="0"/>
              <w:rPr>
                <w:sz w:val="20"/>
                <w:szCs w:val="20"/>
                <w:color w:val="auto"/>
              </w:rPr>
            </w:pPr>
            <w:r>
              <w:rPr>
                <w:rFonts w:ascii="Times New Roman" w:cs="Times New Roman" w:eastAsia="Times New Roman" w:hAnsi="Times New Roman"/>
                <w:sz w:val="20"/>
                <w:szCs w:val="20"/>
                <w:color w:val="231F20"/>
              </w:rPr>
              <w:t>Restricted stock and restricted stock units</w:t>
            </w:r>
          </w:p>
        </w:tc>
        <w:tc>
          <w:tcPr>
            <w:tcW w:w="120" w:type="dxa"/>
            <w:vAlign w:val="bottom"/>
            <w:tcBorders>
              <w:bottom w:val="single" w:sz="8" w:color="E6E7E8"/>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1180" w:type="dxa"/>
            <w:vAlign w:val="bottom"/>
            <w:tcBorders>
              <w:bottom w:val="single" w:sz="8" w:color="231F20"/>
            </w:tcBorders>
          </w:tcPr>
          <w:p>
            <w:pPr>
              <w:jc w:val="right"/>
              <w:ind w:right="22"/>
              <w:spacing w:after="0"/>
              <w:rPr>
                <w:sz w:val="20"/>
                <w:szCs w:val="20"/>
                <w:color w:val="auto"/>
              </w:rPr>
            </w:pPr>
            <w:r>
              <w:rPr>
                <w:rFonts w:ascii="Times New Roman" w:cs="Times New Roman" w:eastAsia="Times New Roman" w:hAnsi="Times New Roman"/>
                <w:sz w:val="20"/>
                <w:szCs w:val="20"/>
                <w:b w:val="1"/>
                <w:bCs w:val="1"/>
                <w:color w:val="231F20"/>
              </w:rPr>
              <w:t>1,672</w:t>
            </w:r>
          </w:p>
        </w:tc>
        <w:tc>
          <w:tcPr>
            <w:tcW w:w="140" w:type="dxa"/>
            <w:vAlign w:val="bottom"/>
            <w:tcBorders>
              <w:bottom w:val="single" w:sz="8" w:color="E6E7E8"/>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1160" w:type="dxa"/>
            <w:vAlign w:val="bottom"/>
            <w:tcBorders>
              <w:bottom w:val="single" w:sz="8" w:color="231F20"/>
            </w:tcBorders>
          </w:tcPr>
          <w:p>
            <w:pPr>
              <w:jc w:val="right"/>
              <w:ind w:right="22"/>
              <w:spacing w:after="0"/>
              <w:rPr>
                <w:sz w:val="20"/>
                <w:szCs w:val="20"/>
                <w:color w:val="auto"/>
              </w:rPr>
            </w:pPr>
            <w:r>
              <w:rPr>
                <w:rFonts w:ascii="Times New Roman" w:cs="Times New Roman" w:eastAsia="Times New Roman" w:hAnsi="Times New Roman"/>
                <w:sz w:val="20"/>
                <w:szCs w:val="20"/>
                <w:color w:val="231F20"/>
              </w:rPr>
              <w:t>10,803</w:t>
            </w:r>
          </w:p>
        </w:tc>
        <w:tc>
          <w:tcPr>
            <w:tcW w:w="160" w:type="dxa"/>
            <w:vAlign w:val="bottom"/>
            <w:tcBorders>
              <w:bottom w:val="single" w:sz="8" w:color="E6E7E8"/>
            </w:tcBorders>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7,447</w:t>
            </w:r>
          </w:p>
        </w:tc>
        <w:tc>
          <w:tcPr>
            <w:tcW w:w="0" w:type="dxa"/>
            <w:vAlign w:val="bottom"/>
          </w:tcPr>
          <w:p>
            <w:pPr>
              <w:spacing w:after="0"/>
              <w:rPr>
                <w:sz w:val="1"/>
                <w:szCs w:val="1"/>
                <w:color w:val="auto"/>
              </w:rPr>
            </w:pPr>
          </w:p>
        </w:tc>
      </w:tr>
      <w:tr>
        <w:trPr>
          <w:trHeight w:val="220"/>
        </w:trPr>
        <w:tc>
          <w:tcPr>
            <w:tcW w:w="6140" w:type="dxa"/>
            <w:vAlign w:val="bottom"/>
            <w:shd w:val="clear" w:color="auto" w:fill="E6E7E8"/>
          </w:tcPr>
          <w:p>
            <w:pPr>
              <w:ind w:left="300"/>
              <w:spacing w:after="0" w:line="220" w:lineRule="exact"/>
              <w:rPr>
                <w:sz w:val="20"/>
                <w:szCs w:val="20"/>
                <w:color w:val="auto"/>
              </w:rPr>
            </w:pPr>
            <w:r>
              <w:rPr>
                <w:rFonts w:ascii="Times New Roman" w:cs="Times New Roman" w:eastAsia="Times New Roman" w:hAnsi="Times New Roman"/>
                <w:sz w:val="20"/>
                <w:szCs w:val="20"/>
                <w:color w:val="231F20"/>
              </w:rPr>
              <w:t>Adjusted weighted average number of shares outstanding used in the</w:t>
            </w:r>
          </w:p>
        </w:tc>
        <w:tc>
          <w:tcPr>
            <w:tcW w:w="120" w:type="dxa"/>
            <w:vAlign w:val="bottom"/>
            <w:shd w:val="clear" w:color="auto" w:fill="E6E7E8"/>
          </w:tcPr>
          <w:p>
            <w:pPr>
              <w:spacing w:after="0"/>
              <w:rPr>
                <w:sz w:val="19"/>
                <w:szCs w:val="19"/>
                <w:color w:val="auto"/>
              </w:rPr>
            </w:pPr>
          </w:p>
        </w:tc>
        <w:tc>
          <w:tcPr>
            <w:tcW w:w="260" w:type="dxa"/>
            <w:vAlign w:val="bottom"/>
            <w:shd w:val="clear" w:color="auto" w:fill="E6E7E8"/>
          </w:tcPr>
          <w:p>
            <w:pPr>
              <w:spacing w:after="0"/>
              <w:rPr>
                <w:sz w:val="19"/>
                <w:szCs w:val="19"/>
                <w:color w:val="auto"/>
              </w:rPr>
            </w:pPr>
          </w:p>
        </w:tc>
        <w:tc>
          <w:tcPr>
            <w:tcW w:w="1180" w:type="dxa"/>
            <w:vAlign w:val="bottom"/>
            <w:vMerge w:val="restart"/>
            <w:shd w:val="clear" w:color="auto" w:fill="E6E7E8"/>
          </w:tcPr>
          <w:p>
            <w:pPr>
              <w:jc w:val="right"/>
              <w:ind w:right="22"/>
              <w:spacing w:after="0"/>
              <w:rPr>
                <w:sz w:val="20"/>
                <w:szCs w:val="20"/>
                <w:color w:val="auto"/>
              </w:rPr>
            </w:pPr>
            <w:r>
              <w:rPr>
                <w:rFonts w:ascii="Times New Roman" w:cs="Times New Roman" w:eastAsia="Times New Roman" w:hAnsi="Times New Roman"/>
                <w:sz w:val="20"/>
                <w:szCs w:val="20"/>
                <w:b w:val="1"/>
                <w:bCs w:val="1"/>
                <w:color w:val="231F20"/>
              </w:rPr>
              <w:t>16,787,753</w:t>
            </w:r>
          </w:p>
        </w:tc>
        <w:tc>
          <w:tcPr>
            <w:tcW w:w="140" w:type="dxa"/>
            <w:vAlign w:val="bottom"/>
            <w:shd w:val="clear" w:color="auto" w:fill="E6E7E8"/>
          </w:tcPr>
          <w:p>
            <w:pPr>
              <w:spacing w:after="0"/>
              <w:rPr>
                <w:sz w:val="19"/>
                <w:szCs w:val="19"/>
                <w:color w:val="auto"/>
              </w:rPr>
            </w:pPr>
          </w:p>
        </w:tc>
        <w:tc>
          <w:tcPr>
            <w:tcW w:w="260" w:type="dxa"/>
            <w:vAlign w:val="bottom"/>
            <w:shd w:val="clear" w:color="auto" w:fill="E6E7E8"/>
          </w:tcPr>
          <w:p>
            <w:pPr>
              <w:spacing w:after="0"/>
              <w:rPr>
                <w:sz w:val="19"/>
                <w:szCs w:val="19"/>
                <w:color w:val="auto"/>
              </w:rPr>
            </w:pPr>
          </w:p>
        </w:tc>
        <w:tc>
          <w:tcPr>
            <w:tcW w:w="1160" w:type="dxa"/>
            <w:vAlign w:val="bottom"/>
            <w:shd w:val="clear" w:color="auto" w:fill="E6E7E8"/>
          </w:tcPr>
          <w:p>
            <w:pPr>
              <w:spacing w:after="0"/>
              <w:rPr>
                <w:sz w:val="19"/>
                <w:szCs w:val="19"/>
                <w:color w:val="auto"/>
              </w:rPr>
            </w:pPr>
          </w:p>
        </w:tc>
        <w:tc>
          <w:tcPr>
            <w:tcW w:w="160" w:type="dxa"/>
            <w:vAlign w:val="bottom"/>
            <w:shd w:val="clear" w:color="auto" w:fill="E6E7E8"/>
          </w:tcPr>
          <w:p>
            <w:pPr>
              <w:spacing w:after="0"/>
              <w:rPr>
                <w:sz w:val="19"/>
                <w:szCs w:val="19"/>
                <w:color w:val="auto"/>
              </w:rPr>
            </w:pPr>
          </w:p>
        </w:tc>
        <w:tc>
          <w:tcPr>
            <w:tcW w:w="240" w:type="dxa"/>
            <w:vAlign w:val="bottom"/>
            <w:shd w:val="clear" w:color="auto" w:fill="E6E7E8"/>
          </w:tcPr>
          <w:p>
            <w:pPr>
              <w:spacing w:after="0"/>
              <w:rPr>
                <w:sz w:val="19"/>
                <w:szCs w:val="19"/>
                <w:color w:val="auto"/>
              </w:rPr>
            </w:pPr>
          </w:p>
        </w:tc>
        <w:tc>
          <w:tcPr>
            <w:tcW w:w="1140" w:type="dxa"/>
            <w:vAlign w:val="bottom"/>
            <w:shd w:val="clear" w:color="auto" w:fill="E6E7E8"/>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140" w:type="dxa"/>
            <w:vAlign w:val="bottom"/>
            <w:shd w:val="clear" w:color="auto" w:fill="E6E7E8"/>
          </w:tcPr>
          <w:p>
            <w:pPr>
              <w:ind w:left="300"/>
              <w:spacing w:after="0"/>
              <w:rPr>
                <w:sz w:val="20"/>
                <w:szCs w:val="20"/>
                <w:color w:val="auto"/>
              </w:rPr>
            </w:pPr>
            <w:r>
              <w:rPr>
                <w:rFonts w:ascii="Times New Roman" w:cs="Times New Roman" w:eastAsia="Times New Roman" w:hAnsi="Times New Roman"/>
                <w:sz w:val="20"/>
                <w:szCs w:val="20"/>
                <w:color w:val="231F20"/>
              </w:rPr>
              <w:t>calculation of diluted earnings per common share</w:t>
            </w:r>
          </w:p>
        </w:tc>
        <w:tc>
          <w:tcPr>
            <w:tcW w:w="120" w:type="dxa"/>
            <w:vAlign w:val="bottom"/>
            <w:shd w:val="clear" w:color="auto" w:fill="E6E7E8"/>
          </w:tcPr>
          <w:p>
            <w:pPr>
              <w:spacing w:after="0"/>
              <w:rPr>
                <w:sz w:val="21"/>
                <w:szCs w:val="21"/>
                <w:color w:val="auto"/>
              </w:rPr>
            </w:pPr>
          </w:p>
        </w:tc>
        <w:tc>
          <w:tcPr>
            <w:tcW w:w="260" w:type="dxa"/>
            <w:vAlign w:val="bottom"/>
            <w:shd w:val="clear" w:color="auto" w:fill="E6E7E8"/>
          </w:tcPr>
          <w:p>
            <w:pPr>
              <w:spacing w:after="0"/>
              <w:rPr>
                <w:sz w:val="21"/>
                <w:szCs w:val="21"/>
                <w:color w:val="auto"/>
              </w:rPr>
            </w:pPr>
          </w:p>
        </w:tc>
        <w:tc>
          <w:tcPr>
            <w:tcW w:w="1180" w:type="dxa"/>
            <w:vAlign w:val="bottom"/>
            <w:vMerge w:val="continue"/>
            <w:shd w:val="clear" w:color="auto" w:fill="E6E7E8"/>
          </w:tcPr>
          <w:p>
            <w:pPr>
              <w:spacing w:after="0"/>
              <w:rPr>
                <w:sz w:val="21"/>
                <w:szCs w:val="21"/>
                <w:color w:val="auto"/>
              </w:rPr>
            </w:pPr>
          </w:p>
        </w:tc>
        <w:tc>
          <w:tcPr>
            <w:tcW w:w="140" w:type="dxa"/>
            <w:vAlign w:val="bottom"/>
            <w:shd w:val="clear" w:color="auto" w:fill="E6E7E8"/>
          </w:tcPr>
          <w:p>
            <w:pPr>
              <w:spacing w:after="0"/>
              <w:rPr>
                <w:sz w:val="21"/>
                <w:szCs w:val="21"/>
                <w:color w:val="auto"/>
              </w:rPr>
            </w:pPr>
          </w:p>
        </w:tc>
        <w:tc>
          <w:tcPr>
            <w:tcW w:w="260" w:type="dxa"/>
            <w:vAlign w:val="bottom"/>
            <w:shd w:val="clear" w:color="auto" w:fill="E6E7E8"/>
          </w:tcPr>
          <w:p>
            <w:pPr>
              <w:spacing w:after="0"/>
              <w:rPr>
                <w:sz w:val="21"/>
                <w:szCs w:val="21"/>
                <w:color w:val="auto"/>
              </w:rPr>
            </w:pPr>
          </w:p>
        </w:tc>
        <w:tc>
          <w:tcPr>
            <w:tcW w:w="1160" w:type="dxa"/>
            <w:vAlign w:val="bottom"/>
            <w:shd w:val="clear" w:color="auto" w:fill="E6E7E8"/>
          </w:tcPr>
          <w:p>
            <w:pPr>
              <w:jc w:val="right"/>
              <w:ind w:right="22"/>
              <w:spacing w:after="0"/>
              <w:rPr>
                <w:sz w:val="20"/>
                <w:szCs w:val="20"/>
                <w:color w:val="auto"/>
              </w:rPr>
            </w:pPr>
            <w:r>
              <w:rPr>
                <w:rFonts w:ascii="Times New Roman" w:cs="Times New Roman" w:eastAsia="Times New Roman" w:hAnsi="Times New Roman"/>
                <w:sz w:val="20"/>
                <w:szCs w:val="20"/>
                <w:color w:val="231F20"/>
              </w:rPr>
              <w:t>16,109,070</w:t>
            </w:r>
          </w:p>
        </w:tc>
        <w:tc>
          <w:tcPr>
            <w:tcW w:w="160" w:type="dxa"/>
            <w:vAlign w:val="bottom"/>
            <w:shd w:val="clear" w:color="auto" w:fill="E6E7E8"/>
          </w:tcPr>
          <w:p>
            <w:pPr>
              <w:spacing w:after="0"/>
              <w:rPr>
                <w:sz w:val="21"/>
                <w:szCs w:val="21"/>
                <w:color w:val="auto"/>
              </w:rPr>
            </w:pPr>
          </w:p>
        </w:tc>
        <w:tc>
          <w:tcPr>
            <w:tcW w:w="240" w:type="dxa"/>
            <w:vAlign w:val="bottom"/>
            <w:shd w:val="clear" w:color="auto" w:fill="E6E7E8"/>
          </w:tcPr>
          <w:p>
            <w:pPr>
              <w:spacing w:after="0"/>
              <w:rPr>
                <w:sz w:val="21"/>
                <w:szCs w:val="21"/>
                <w:color w:val="auto"/>
              </w:rPr>
            </w:pPr>
          </w:p>
        </w:tc>
        <w:tc>
          <w:tcPr>
            <w:tcW w:w="114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16,052,747</w:t>
            </w:r>
          </w:p>
        </w:tc>
        <w:tc>
          <w:tcPr>
            <w:tcW w:w="0" w:type="dxa"/>
            <w:vAlign w:val="bottom"/>
          </w:tcPr>
          <w:p>
            <w:pPr>
              <w:spacing w:after="0"/>
              <w:rPr>
                <w:sz w:val="1"/>
                <w:szCs w:val="1"/>
                <w:color w:val="auto"/>
              </w:rPr>
            </w:pPr>
          </w:p>
        </w:tc>
      </w:tr>
      <w:tr>
        <w:trPr>
          <w:trHeight w:val="488"/>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231F20"/>
              </w:rPr>
              <w:t>Earnings per common share: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140" w:type="dxa"/>
            <w:vAlign w:val="bottom"/>
            <w:shd w:val="clear" w:color="auto" w:fill="E6E7E8"/>
          </w:tcPr>
          <w:p>
            <w:pPr>
              <w:ind w:left="300"/>
              <w:spacing w:after="0"/>
              <w:rPr>
                <w:sz w:val="20"/>
                <w:szCs w:val="20"/>
                <w:color w:val="auto"/>
              </w:rPr>
            </w:pPr>
            <w:r>
              <w:rPr>
                <w:rFonts w:ascii="Times New Roman" w:cs="Times New Roman" w:eastAsia="Times New Roman" w:hAnsi="Times New Roman"/>
                <w:sz w:val="20"/>
                <w:szCs w:val="20"/>
                <w:color w:val="231F20"/>
              </w:rPr>
              <w:t>Basic</w:t>
            </w:r>
          </w:p>
        </w:tc>
        <w:tc>
          <w:tcPr>
            <w:tcW w:w="380" w:type="dxa"/>
            <w:vAlign w:val="bottom"/>
            <w:gridSpan w:val="2"/>
            <w:shd w:val="clear" w:color="auto" w:fill="E6E7E8"/>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w:t>
            </w:r>
          </w:p>
        </w:tc>
        <w:tc>
          <w:tcPr>
            <w:tcW w:w="1180" w:type="dxa"/>
            <w:vAlign w:val="bottom"/>
            <w:shd w:val="clear" w:color="auto" w:fill="E6E7E8"/>
          </w:tcPr>
          <w:p>
            <w:pPr>
              <w:jc w:val="right"/>
              <w:ind w:right="22"/>
              <w:spacing w:after="0"/>
              <w:rPr>
                <w:sz w:val="20"/>
                <w:szCs w:val="20"/>
                <w:color w:val="auto"/>
              </w:rPr>
            </w:pPr>
            <w:r>
              <w:rPr>
                <w:rFonts w:ascii="Times New Roman" w:cs="Times New Roman" w:eastAsia="Times New Roman" w:hAnsi="Times New Roman"/>
                <w:sz w:val="20"/>
                <w:szCs w:val="20"/>
                <w:b w:val="1"/>
                <w:bCs w:val="1"/>
                <w:color w:val="231F20"/>
              </w:rPr>
              <w:t>2.97</w:t>
            </w:r>
          </w:p>
        </w:tc>
        <w:tc>
          <w:tcPr>
            <w:tcW w:w="400" w:type="dxa"/>
            <w:vAlign w:val="bottom"/>
            <w:gridSpan w:val="2"/>
            <w:shd w:val="clear" w:color="auto" w:fill="E6E7E8"/>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shd w:val="clear" w:color="auto" w:fill="E6E7E8"/>
          </w:tcPr>
          <w:p>
            <w:pPr>
              <w:jc w:val="right"/>
              <w:ind w:right="22"/>
              <w:spacing w:after="0"/>
              <w:rPr>
                <w:sz w:val="20"/>
                <w:szCs w:val="20"/>
                <w:color w:val="auto"/>
              </w:rPr>
            </w:pPr>
            <w:r>
              <w:rPr>
                <w:rFonts w:ascii="Times New Roman" w:cs="Times New Roman" w:eastAsia="Times New Roman" w:hAnsi="Times New Roman"/>
                <w:sz w:val="20"/>
                <w:szCs w:val="20"/>
                <w:color w:val="231F20"/>
              </w:rPr>
              <w:t>2.93</w:t>
            </w:r>
          </w:p>
        </w:tc>
        <w:tc>
          <w:tcPr>
            <w:tcW w:w="400" w:type="dxa"/>
            <w:vAlign w:val="bottom"/>
            <w:gridSpan w:val="2"/>
            <w:shd w:val="clear" w:color="auto" w:fill="E6E7E8"/>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2.82</w:t>
            </w:r>
          </w:p>
        </w:tc>
        <w:tc>
          <w:tcPr>
            <w:tcW w:w="0" w:type="dxa"/>
            <w:vAlign w:val="bottom"/>
          </w:tcPr>
          <w:p>
            <w:pPr>
              <w:spacing w:after="0"/>
              <w:rPr>
                <w:sz w:val="1"/>
                <w:szCs w:val="1"/>
                <w:color w:val="auto"/>
              </w:rPr>
            </w:pPr>
          </w:p>
        </w:tc>
      </w:tr>
      <w:tr>
        <w:trPr>
          <w:trHeight w:val="274"/>
        </w:trPr>
        <w:tc>
          <w:tcPr>
            <w:tcW w:w="614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Diluted</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w:t>
            </w: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20"/>
                <w:szCs w:val="20"/>
                <w:b w:val="1"/>
                <w:bCs w:val="1"/>
                <w:color w:val="231F20"/>
              </w:rPr>
              <w:t>2.97</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2.93</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2.82</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360" w:firstLine="619"/>
        <w:spacing w:after="0" w:line="279" w:lineRule="auto"/>
        <w:rPr>
          <w:sz w:val="20"/>
          <w:szCs w:val="20"/>
          <w:color w:val="auto"/>
        </w:rPr>
      </w:pPr>
      <w:r>
        <w:rPr>
          <w:rFonts w:ascii="Times New Roman" w:cs="Times New Roman" w:eastAsia="Times New Roman" w:hAnsi="Times New Roman"/>
          <w:sz w:val="21"/>
          <w:szCs w:val="21"/>
          <w:color w:val="231F20"/>
        </w:rPr>
        <w:t>The following table shows the number of weighted average non-vested restricted shares that were not included in the above computation of EPS because the effect would have been antidilutive.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00" w:type="dxa"/>
            <w:vAlign w:val="bottom"/>
          </w:tcPr>
          <w:p>
            <w:pPr>
              <w:spacing w:after="0"/>
              <w:rPr>
                <w:sz w:val="17"/>
                <w:szCs w:val="17"/>
                <w:color w:val="auto"/>
              </w:rPr>
            </w:pPr>
          </w:p>
        </w:tc>
        <w:tc>
          <w:tcPr>
            <w:tcW w:w="134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600" w:type="dxa"/>
            <w:vAlign w:val="bottom"/>
            <w:gridSpan w:val="2"/>
          </w:tcPr>
          <w:p>
            <w:pPr>
              <w:jc w:val="right"/>
              <w:ind w:right="425"/>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600" w:type="dxa"/>
            <w:vAlign w:val="bottom"/>
            <w:gridSpan w:val="2"/>
          </w:tcPr>
          <w:p>
            <w:pPr>
              <w:jc w:val="right"/>
              <w:ind w:right="425"/>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200" w:type="dxa"/>
            <w:vAlign w:val="bottom"/>
            <w:tcBorders>
              <w:top w:val="single" w:sz="8" w:color="E6E7E8"/>
            </w:tcBorders>
            <w:shd w:val="clear" w:color="auto" w:fill="E6E7E8"/>
          </w:tcPr>
          <w:p>
            <w:pPr>
              <w:spacing w:after="0" w:line="193" w:lineRule="exact"/>
              <w:rPr>
                <w:sz w:val="20"/>
                <w:szCs w:val="20"/>
                <w:color w:val="auto"/>
              </w:rPr>
            </w:pPr>
            <w:r>
              <w:rPr>
                <w:rFonts w:ascii="Times New Roman" w:cs="Times New Roman" w:eastAsia="Times New Roman" w:hAnsi="Times New Roman"/>
                <w:sz w:val="19"/>
                <w:szCs w:val="19"/>
                <w:color w:val="231F20"/>
              </w:rPr>
              <w:t>Weighted Average Non-Vested Restricted Shares Not Included in EPS</w:t>
            </w:r>
          </w:p>
        </w:tc>
        <w:tc>
          <w:tcPr>
            <w:tcW w:w="1340" w:type="dxa"/>
            <w:vAlign w:val="bottom"/>
            <w:tcBorders>
              <w:top w:val="single" w:sz="8" w:color="231F20"/>
            </w:tcBorders>
            <w:vMerge w:val="restart"/>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100,561</w:t>
            </w:r>
          </w:p>
        </w:tc>
        <w:tc>
          <w:tcPr>
            <w:tcW w:w="260" w:type="dxa"/>
            <w:vAlign w:val="bottom"/>
            <w:tcBorders>
              <w:top w:val="single" w:sz="8" w:color="E6E7E8"/>
            </w:tcBorders>
            <w:shd w:val="clear" w:color="auto" w:fill="E6E7E8"/>
          </w:tcPr>
          <w:p>
            <w:pPr>
              <w:spacing w:after="0"/>
              <w:rPr>
                <w:sz w:val="16"/>
                <w:szCs w:val="16"/>
                <w:color w:val="auto"/>
              </w:rPr>
            </w:pPr>
          </w:p>
        </w:tc>
        <w:tc>
          <w:tcPr>
            <w:tcW w:w="1340" w:type="dxa"/>
            <w:vAlign w:val="bottom"/>
            <w:tcBorders>
              <w:top w:val="single" w:sz="8" w:color="231F20"/>
            </w:tcBorders>
            <w:shd w:val="clear" w:color="auto" w:fill="E6E7E8"/>
          </w:tcPr>
          <w:p>
            <w:pPr>
              <w:spacing w:after="0"/>
              <w:rPr>
                <w:sz w:val="16"/>
                <w:szCs w:val="16"/>
                <w:color w:val="auto"/>
              </w:rPr>
            </w:pPr>
          </w:p>
        </w:tc>
        <w:tc>
          <w:tcPr>
            <w:tcW w:w="260" w:type="dxa"/>
            <w:vAlign w:val="bottom"/>
            <w:tcBorders>
              <w:top w:val="single" w:sz="8" w:color="E6E7E8"/>
            </w:tcBorders>
            <w:shd w:val="clear" w:color="auto" w:fill="E6E7E8"/>
          </w:tcPr>
          <w:p>
            <w:pPr>
              <w:spacing w:after="0"/>
              <w:rPr>
                <w:sz w:val="16"/>
                <w:szCs w:val="16"/>
                <w:color w:val="auto"/>
              </w:rPr>
            </w:pPr>
          </w:p>
        </w:tc>
        <w:tc>
          <w:tcPr>
            <w:tcW w:w="1340" w:type="dxa"/>
            <w:vAlign w:val="bottom"/>
            <w:tcBorders>
              <w:top w:val="single" w:sz="8" w:color="231F20"/>
            </w:tcBorders>
            <w:shd w:val="clear" w:color="auto" w:fill="E6E7E8"/>
          </w:tcPr>
          <w:p>
            <w:pPr>
              <w:spacing w:after="0"/>
              <w:rPr>
                <w:sz w:val="16"/>
                <w:szCs w:val="16"/>
                <w:color w:val="auto"/>
              </w:rPr>
            </w:pPr>
          </w:p>
        </w:tc>
        <w:tc>
          <w:tcPr>
            <w:tcW w:w="60" w:type="dxa"/>
            <w:vAlign w:val="bottom"/>
            <w:tcBorders>
              <w:top w:val="single" w:sz="8" w:color="E6E7E8"/>
            </w:tcBorders>
            <w:shd w:val="clear" w:color="auto" w:fill="E6E7E8"/>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6200" w:type="dxa"/>
            <w:vAlign w:val="bottom"/>
            <w:tcBorders>
              <w:bottom w:val="single" w:sz="8" w:color="E6E7E8"/>
            </w:tcBorders>
            <w:shd w:val="clear" w:color="auto" w:fill="E6E7E8"/>
          </w:tcPr>
          <w:p>
            <w:pPr>
              <w:spacing w:after="0"/>
              <w:rPr>
                <w:sz w:val="20"/>
                <w:szCs w:val="20"/>
                <w:color w:val="auto"/>
              </w:rPr>
            </w:pPr>
            <w:r>
              <w:rPr>
                <w:rFonts w:ascii="Times New Roman" w:cs="Times New Roman" w:eastAsia="Times New Roman" w:hAnsi="Times New Roman"/>
                <w:sz w:val="19"/>
                <w:szCs w:val="19"/>
                <w:color w:val="231F20"/>
              </w:rPr>
              <w:t>Computation</w:t>
            </w:r>
          </w:p>
        </w:tc>
        <w:tc>
          <w:tcPr>
            <w:tcW w:w="1340" w:type="dxa"/>
            <w:vAlign w:val="bottom"/>
            <w:tcBorders>
              <w:bottom w:val="single" w:sz="8" w:color="231F20"/>
            </w:tcBorders>
            <w:vMerge w:val="continue"/>
            <w:shd w:val="clear" w:color="auto" w:fill="E6E7E8"/>
          </w:tcPr>
          <w:p>
            <w:pPr>
              <w:spacing w:after="0"/>
              <w:rPr>
                <w:sz w:val="22"/>
                <w:szCs w:val="22"/>
                <w:color w:val="auto"/>
              </w:rPr>
            </w:pPr>
          </w:p>
        </w:tc>
        <w:tc>
          <w:tcPr>
            <w:tcW w:w="260" w:type="dxa"/>
            <w:vAlign w:val="bottom"/>
            <w:tcBorders>
              <w:bottom w:val="single" w:sz="8" w:color="E6E7E8"/>
            </w:tcBorders>
            <w:shd w:val="clear" w:color="auto" w:fill="E6E7E8"/>
          </w:tcPr>
          <w:p>
            <w:pPr>
              <w:spacing w:after="0"/>
              <w:rPr>
                <w:sz w:val="22"/>
                <w:szCs w:val="22"/>
                <w:color w:val="auto"/>
              </w:rPr>
            </w:pPr>
          </w:p>
        </w:tc>
        <w:tc>
          <w:tcPr>
            <w:tcW w:w="134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6,675</w:t>
            </w:r>
          </w:p>
        </w:tc>
        <w:tc>
          <w:tcPr>
            <w:tcW w:w="260" w:type="dxa"/>
            <w:vAlign w:val="bottom"/>
            <w:tcBorders>
              <w:bottom w:val="single" w:sz="8" w:color="E6E7E8"/>
            </w:tcBorders>
            <w:shd w:val="clear" w:color="auto" w:fill="E6E7E8"/>
          </w:tcPr>
          <w:p>
            <w:pPr>
              <w:spacing w:after="0"/>
              <w:rPr>
                <w:sz w:val="22"/>
                <w:szCs w:val="22"/>
                <w:color w:val="auto"/>
              </w:rPr>
            </w:pPr>
          </w:p>
        </w:tc>
        <w:tc>
          <w:tcPr>
            <w:tcW w:w="134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12,204</w:t>
            </w:r>
          </w:p>
        </w:tc>
        <w:tc>
          <w:tcPr>
            <w:tcW w:w="60" w:type="dxa"/>
            <w:vAlign w:val="bottom"/>
            <w:tcBorders>
              <w:bottom w:val="single" w:sz="8" w:color="E6E7E8"/>
            </w:tcBorders>
            <w:shd w:val="clear" w:color="auto" w:fill="E6E7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34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Note 6: Energy Supply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231F20"/>
        </w:rPr>
        <w:t>ELECTRIC POWER SUPPLY</w:t>
      </w:r>
    </w:p>
    <w:p>
      <w:pPr>
        <w:spacing w:after="0" w:line="118" w:lineRule="exact"/>
        <w:rPr>
          <w:sz w:val="20"/>
          <w:szCs w:val="20"/>
          <w:color w:val="auto"/>
        </w:rPr>
      </w:pPr>
    </w:p>
    <w:p>
      <w:pPr>
        <w:ind w:right="460" w:firstLine="619"/>
        <w:spacing w:after="0" w:line="259" w:lineRule="auto"/>
        <w:rPr>
          <w:sz w:val="20"/>
          <w:szCs w:val="20"/>
          <w:color w:val="auto"/>
        </w:rPr>
      </w:pPr>
      <w:r>
        <w:rPr>
          <w:rFonts w:ascii="Times New Roman" w:cs="Times New Roman" w:eastAsia="Times New Roman" w:hAnsi="Times New Roman"/>
          <w:sz w:val="21"/>
          <w:szCs w:val="21"/>
          <w:color w:val="231F20"/>
        </w:rPr>
        <w:t>Fitchburg, Unitil Energy, and Unitil Power each are members of the New England Power Pool (NEPOOL) and participate in the Independent System Operator—New England (ISO-NE) markets for the purpose of facilitating wholesale electric power supply transactions, which are necessary to serve Unitil’s electric customers with their supply of electricity.</w:t>
      </w:r>
    </w:p>
    <w:p>
      <w:pPr>
        <w:spacing w:after="0" w:line="183"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1"/>
          <w:szCs w:val="21"/>
          <w:color w:val="231F20"/>
        </w:rPr>
        <w:t>Unitil’s customers in both New Hampshire and Massachusetts are entitled to purchase their electric supply from competitive third-party suppliers. As of December 2025, 85% of Unitil’s largest New Hampshire customers, representing 24% of Unitil’s New Hampshire electric kilowatt-hour (kWh) sales, and 96% of Unitil’s largest Massachusetts customers, representing 25% of Unitil’s Massachusetts electric kWh sales, purchased their electric power supply in the competitive market. Additionally, cities and towns in Massachusetts may, with approval from the MDPU, implement municipal aggregations whereby the municipality purchases electric power on behalf of all citizens and businesses that do not opt out of the aggregation. In New Hampshire, a majority of residential and small commercial customers purchase their electric supply through Community Choice Aggregations (CCA) and retail electric suppliers. In New Hampshire, as of December 2025, the percentage of residential customers purchasing electricity from a third-party supplier or CCA decreased to 66% from 68% in 2024. In Massachusetts, as of December 2025, the percentage of residential customers purchasing electricity from a third-party supplier or municipal aggregation increased to 84% from 75% in 2024.</w:t>
      </w:r>
    </w:p>
    <w:p>
      <w:pPr>
        <w:sectPr>
          <w:pgSz w:w="12240" w:h="15840" w:orient="portrait"/>
          <w:cols w:equalWidth="0" w:num="1">
            <w:col w:w="10800"/>
          </w:cols>
          <w:pgMar w:left="720" w:top="924" w:right="72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67</w:t>
      </w:r>
    </w:p>
    <w:p>
      <w:pPr>
        <w:sectPr>
          <w:pgSz w:w="12240" w:h="15840" w:orient="portrait"/>
          <w:cols w:equalWidth="0" w:num="1">
            <w:col w:w="10800"/>
          </w:cols>
          <w:pgMar w:left="720" w:top="924" w:right="720" w:bottom="188" w:gutter="0" w:footer="0" w:header="0"/>
          <w:type w:val="continuous"/>
        </w:sectPr>
      </w:pPr>
    </w:p>
    <w:bookmarkStart w:id="87" w:name="page88"/>
    <w:bookmarkEnd w:id="87"/>
    <w:p>
      <w:pPr>
        <w:ind w:left="100"/>
        <w:spacing w:after="0"/>
        <w:rPr>
          <w:sz w:val="20"/>
          <w:szCs w:val="20"/>
          <w:color w:val="auto"/>
        </w:rPr>
      </w:pPr>
      <w:r>
        <w:rPr>
          <w:rFonts w:ascii="Times New Roman" w:cs="Times New Roman" w:eastAsia="Times New Roman" w:hAnsi="Times New Roman"/>
          <w:sz w:val="21"/>
          <w:szCs w:val="21"/>
          <w:b w:val="1"/>
          <w:bCs w:val="1"/>
          <w:color w:val="231F20"/>
        </w:rPr>
        <w:t>Regulated Electric Power Supply</w:t>
      </w:r>
    </w:p>
    <w:p>
      <w:pPr>
        <w:spacing w:after="0" w:line="157" w:lineRule="exact"/>
        <w:rPr>
          <w:sz w:val="20"/>
          <w:szCs w:val="20"/>
          <w:color w:val="auto"/>
        </w:rPr>
      </w:pPr>
    </w:p>
    <w:p>
      <w:pPr>
        <w:ind w:right="460" w:firstLine="619"/>
        <w:spacing w:after="0" w:line="279" w:lineRule="auto"/>
        <w:rPr>
          <w:sz w:val="20"/>
          <w:szCs w:val="20"/>
          <w:color w:val="auto"/>
        </w:rPr>
      </w:pPr>
      <w:r>
        <w:rPr>
          <w:rFonts w:ascii="Times New Roman" w:cs="Times New Roman" w:eastAsia="Times New Roman" w:hAnsi="Times New Roman"/>
          <w:sz w:val="21"/>
          <w:szCs w:val="21"/>
          <w:color w:val="231F20"/>
        </w:rPr>
        <w:t>To provide regulated electric supply service to their customers, Unitil’s electric distribution utilities enter into load-following wholesale electric power supply contracts to purchase electric supply from various wholesale suppliers.</w:t>
      </w:r>
    </w:p>
    <w:p>
      <w:pPr>
        <w:spacing w:after="0" w:line="162" w:lineRule="exact"/>
        <w:rPr>
          <w:sz w:val="20"/>
          <w:szCs w:val="20"/>
          <w:color w:val="auto"/>
        </w:rPr>
      </w:pPr>
    </w:p>
    <w:p>
      <w:pPr>
        <w:ind w:right="20" w:firstLine="619"/>
        <w:spacing w:after="0" w:line="253" w:lineRule="auto"/>
        <w:rPr>
          <w:sz w:val="20"/>
          <w:szCs w:val="20"/>
          <w:color w:val="auto"/>
        </w:rPr>
      </w:pPr>
      <w:r>
        <w:rPr>
          <w:rFonts w:ascii="Times New Roman" w:cs="Times New Roman" w:eastAsia="Times New Roman" w:hAnsi="Times New Roman"/>
          <w:sz w:val="21"/>
          <w:szCs w:val="21"/>
          <w:color w:val="231F20"/>
        </w:rPr>
        <w:t>Unitil Energy currently has power supply contracts with various wholesale suppliers for the provision of Default Service to its customers. Currently, with approval of the NHPUC, Unitil Energy purchases Default Service power supply contracts for small, medium and large customers every six months for 50% of the supply requirements and the remaining 50% of supply</w:t>
      </w:r>
    </w:p>
    <w:p>
      <w:pPr>
        <w:spacing w:after="0"/>
        <w:rPr>
          <w:sz w:val="20"/>
          <w:szCs w:val="20"/>
          <w:color w:val="auto"/>
        </w:rPr>
      </w:pPr>
      <w:r>
        <w:rPr>
          <w:rFonts w:ascii="Times New Roman" w:cs="Times New Roman" w:eastAsia="Times New Roman" w:hAnsi="Times New Roman"/>
          <w:sz w:val="21"/>
          <w:szCs w:val="21"/>
          <w:color w:val="231F20"/>
        </w:rPr>
        <w:t>requirements are procured via direct market purchases from ISO-New England.</w:t>
      </w:r>
    </w:p>
    <w:p>
      <w:pPr>
        <w:spacing w:after="0" w:line="235"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1"/>
          <w:szCs w:val="21"/>
          <w:color w:val="231F20"/>
        </w:rPr>
        <w:t>Fitchburg typically maintains power supply contracts with various wholesale suppliers for the provision of Basic Service electric supply. Pursuant to MDPU policy, Basic Service power supply contracts for residential and for small and medium general service customers are acquired every six months, are 12 months in duration and provide 50% of the supply requirements. On June 13, 2012, the MDPU approved Fitchburg’s request to discontinue the procurement process for Fitchburg’s large customers and become the load-serving entity for these customers. As such, Fitchburg procures electric power supply for large account customers directly through ISO-NE’s markets. The Company was successful in procuring 100% of supply requirements for the small customer group from the traditional procurement process. The Company experienced a failed solicitation in its November 2025 solicitation for the medium customer group, which results in Fitchburg self-supplying 100% of its load requirements for the February through July 2026 period. The failed solicitation was due to no bidders for the medium customer group. The implications of the failed solicitation result in 100% of wholesale supply charges settling at the real-time energy price. The failed solicitation has no impact on the ability to provide default energy service to Fitchburg’s customers. The Company reconciles and recovers these supply expenses in its rates at cost on a pass through basis and therefore changes in approved expenses do not affect earnings.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Regional Electric Transmission and Power Markets</w:t>
      </w:r>
    </w:p>
    <w:p>
      <w:pPr>
        <w:spacing w:after="0" w:line="124"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21"/>
          <w:szCs w:val="21"/>
          <w:color w:val="231F20"/>
        </w:rPr>
        <w:t>Fitchburg, Unitil Energy and Unitil Power, as well as virtually all New England electric utilities, are participants in the ISO-NE markets. ISO-NE is the Regional Transmission Organization (RTO) in New England. The purpose of ISO-NE is to assure reliable operation of the bulk power system in the most economical manner for the region. Substantially all operation and dispatching of electric generation and bulk transmission capacity in New England are performed on a regional basis. The ISO-NE tariff imposes generating capacity and reserve obligations, and provides for the use of major transmission facilities and associated support payments. The most notable benefits of the ISO-NE are coordinated, reliable power system operation and a supportive business environment for the development of competitive electric markets.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Electric Power Supply Divestiture</w:t>
      </w:r>
    </w:p>
    <w:p>
      <w:pPr>
        <w:spacing w:after="0" w:line="124" w:lineRule="exact"/>
        <w:rPr>
          <w:sz w:val="20"/>
          <w:szCs w:val="20"/>
          <w:color w:val="auto"/>
        </w:rPr>
      </w:pPr>
    </w:p>
    <w:p>
      <w:pPr>
        <w:ind w:right="40" w:firstLine="619"/>
        <w:spacing w:after="0" w:line="246" w:lineRule="auto"/>
        <w:rPr>
          <w:sz w:val="20"/>
          <w:szCs w:val="20"/>
          <w:color w:val="auto"/>
        </w:rPr>
      </w:pPr>
      <w:r>
        <w:rPr>
          <w:rFonts w:ascii="Times New Roman" w:cs="Times New Roman" w:eastAsia="Times New Roman" w:hAnsi="Times New Roman"/>
          <w:sz w:val="21"/>
          <w:szCs w:val="21"/>
          <w:color w:val="231F20"/>
        </w:rPr>
        <w:t>In connection with the implementation of retail choice, Unitil Power, which formerly functioned as the wholesale power supply provider for Unitil Energy, and Fitchburg divested their long-term power supply contracts through the sale of the entitlements to the electricity sold under those contracts. Unitil Energy and Fitchburg recover in their rates all the costs associated with the divestiture of their power supply portfolios and have secured regulatory approval from the NHPUC and MDPU, respectively, for the recovery of power supply-related stranded costs and other restructuring-related regulatory assets. The companies have a continuing obligation to submit regulatory filings that demonstrate their compliance with regulatory mandates and provide for timely recovery of costs in accordance with their approved restructuring plans.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231F20"/>
        </w:rPr>
        <w:t>NATURAL GAS SUPPLY</w:t>
      </w:r>
    </w:p>
    <w:p>
      <w:pPr>
        <w:spacing w:after="0" w:line="118" w:lineRule="exact"/>
        <w:rPr>
          <w:sz w:val="20"/>
          <w:szCs w:val="20"/>
          <w:color w:val="auto"/>
        </w:rPr>
      </w:pPr>
    </w:p>
    <w:p>
      <w:pPr>
        <w:jc w:val="both"/>
        <w:ind w:right="100" w:firstLine="619"/>
        <w:spacing w:after="0" w:line="259" w:lineRule="auto"/>
        <w:rPr>
          <w:sz w:val="20"/>
          <w:szCs w:val="20"/>
          <w:color w:val="auto"/>
        </w:rPr>
      </w:pPr>
      <w:r>
        <w:rPr>
          <w:rFonts w:ascii="Times New Roman" w:cs="Times New Roman" w:eastAsia="Times New Roman" w:hAnsi="Times New Roman"/>
          <w:sz w:val="21"/>
          <w:szCs w:val="21"/>
          <w:color w:val="231F20"/>
        </w:rPr>
        <w:t>Unitil purchases and manages gas supply for customers served by Northern Utilities in Maine and New Hampshire, by Fitchburg in Massachusetts, and by Bangor and Maine Natural in Maine. Unitil began purchasing and managing gas supply for customers served by Bangor on January 31, 2025 and Maine Natural on October 31, 2025.</w:t>
      </w:r>
    </w:p>
    <w:p>
      <w:pPr>
        <w:spacing w:after="0" w:line="183" w:lineRule="exact"/>
        <w:rPr>
          <w:sz w:val="20"/>
          <w:szCs w:val="20"/>
          <w:color w:val="auto"/>
        </w:rPr>
      </w:pPr>
    </w:p>
    <w:p>
      <w:pPr>
        <w:ind w:right="20" w:firstLine="619"/>
        <w:spacing w:after="0" w:line="246" w:lineRule="auto"/>
        <w:rPr>
          <w:sz w:val="20"/>
          <w:szCs w:val="20"/>
          <w:color w:val="auto"/>
        </w:rPr>
      </w:pPr>
      <w:r>
        <w:rPr>
          <w:rFonts w:ascii="Times New Roman" w:cs="Times New Roman" w:eastAsia="Times New Roman" w:hAnsi="Times New Roman"/>
          <w:sz w:val="21"/>
          <w:szCs w:val="21"/>
          <w:color w:val="231F20"/>
        </w:rPr>
        <w:t>Northern Utilities’ Commercial and Industrial (C&amp;I) customers are entitled to purchase their natural gas supply from third-party gas suppliers. Many of Northern Utilities’ large, and some of its medium, C&amp;I customers purchase their gas supply from third-party suppliers. Most small C&amp;I customers, and all residential customers, purchase their gas supply from Northern Utilities under regulated rates and tariffs. As of December, 2025, 71% of Northern Utilities’s largest New Hampshire gas customers, representing 38% of Northern Utilities’s New Hampshire gas therm sales, and 59% of Northern Utilities’s largest Maine customers, representing 21% of Northern Utilities’s Maine gas therm sales, purchased their gas supply from a third-party supplier.</w:t>
      </w:r>
    </w:p>
    <w:p>
      <w:pPr>
        <w:sectPr>
          <w:pgSz w:w="12240" w:h="15840" w:orient="portrait"/>
          <w:cols w:equalWidth="0" w:num="1">
            <w:col w:w="10780"/>
          </w:cols>
          <w:pgMar w:left="720" w:top="1065" w:right="740" w:bottom="188"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68</w:t>
      </w:r>
    </w:p>
    <w:p>
      <w:pPr>
        <w:sectPr>
          <w:pgSz w:w="12240" w:h="15840" w:orient="portrait"/>
          <w:cols w:equalWidth="0" w:num="1">
            <w:col w:w="10780"/>
          </w:cols>
          <w:pgMar w:left="720" w:top="1065" w:right="740" w:bottom="188" w:gutter="0" w:footer="0" w:header="0"/>
          <w:type w:val="continuous"/>
        </w:sectPr>
      </w:pPr>
    </w:p>
    <w:bookmarkStart w:id="88" w:name="page89"/>
    <w:bookmarkEnd w:id="88"/>
    <w:p>
      <w:pPr>
        <w:ind w:right="100" w:firstLine="619"/>
        <w:spacing w:after="0" w:line="249" w:lineRule="auto"/>
        <w:rPr>
          <w:sz w:val="20"/>
          <w:szCs w:val="20"/>
          <w:color w:val="auto"/>
        </w:rPr>
      </w:pPr>
      <w:r>
        <w:rPr>
          <w:rFonts w:ascii="Times New Roman" w:cs="Times New Roman" w:eastAsia="Times New Roman" w:hAnsi="Times New Roman"/>
          <w:sz w:val="21"/>
          <w:szCs w:val="21"/>
          <w:color w:val="231F20"/>
        </w:rPr>
        <w:t>Bangor’s C&amp;I customers are entitled to purchase their natural gas supply from third-party gas suppliers. Many of Bangor’s large, and some of its medium, C&amp;I customers purchase their gas supply from third-party suppliers. Most small C&amp;I customers, and all residential customers, purchase their gas supply from Bangor under regulated rates and tariffs. As of December 2025, 49% of Bangor’s largest customers, representing 46% of Bangor’s gas therm sales, purchased their gas supply from a third-party supplier.</w:t>
      </w:r>
    </w:p>
    <w:p>
      <w:pPr>
        <w:spacing w:after="0" w:line="195"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231F20"/>
        </w:rPr>
        <w:t>Maine Natural’s C&amp;I customers are entitled to purchase their natural gas supply from third-party gas suppliers. Many of Maine Natural’s large, and some of its medium, C&amp;I customers purchase their gas supply from third-party suppliers. Most small C&amp;I customers, and all residential customers, purchase their gas supply from Maine Natural under regulated rates and tariffs.</w:t>
      </w:r>
    </w:p>
    <w:p>
      <w:pPr>
        <w:spacing w:after="0" w:line="3" w:lineRule="exact"/>
        <w:rPr>
          <w:sz w:val="20"/>
          <w:szCs w:val="20"/>
          <w:color w:val="auto"/>
        </w:rPr>
      </w:pPr>
    </w:p>
    <w:p>
      <w:pPr>
        <w:ind w:right="820"/>
        <w:spacing w:after="0" w:line="249" w:lineRule="auto"/>
        <w:rPr>
          <w:sz w:val="20"/>
          <w:szCs w:val="20"/>
          <w:color w:val="auto"/>
        </w:rPr>
      </w:pPr>
      <w:r>
        <w:rPr>
          <w:rFonts w:ascii="Times New Roman" w:cs="Times New Roman" w:eastAsia="Times New Roman" w:hAnsi="Times New Roman"/>
          <w:sz w:val="21"/>
          <w:szCs w:val="21"/>
          <w:color w:val="231F20"/>
        </w:rPr>
        <w:t>As of December 2025, 11% of Maine Natural’s largest customers, representing 25% of Maine Natural gas therm sales, purchased their gas supply from a third-party supplier.</w:t>
      </w:r>
    </w:p>
    <w:p>
      <w:pPr>
        <w:spacing w:after="0" w:line="192" w:lineRule="exact"/>
        <w:rPr>
          <w:sz w:val="20"/>
          <w:szCs w:val="20"/>
          <w:color w:val="auto"/>
        </w:rPr>
      </w:pPr>
    </w:p>
    <w:p>
      <w:pPr>
        <w:ind w:right="60" w:firstLine="619"/>
        <w:spacing w:after="0" w:line="246" w:lineRule="auto"/>
        <w:rPr>
          <w:sz w:val="20"/>
          <w:szCs w:val="20"/>
          <w:color w:val="auto"/>
        </w:rPr>
      </w:pPr>
      <w:r>
        <w:rPr>
          <w:rFonts w:ascii="Times New Roman" w:cs="Times New Roman" w:eastAsia="Times New Roman" w:hAnsi="Times New Roman"/>
          <w:sz w:val="21"/>
          <w:szCs w:val="21"/>
          <w:color w:val="231F20"/>
        </w:rPr>
        <w:t>Fitchburg’s residential and C&amp;I business customers are entitled to purchase their natural gas supply from third-party gas suppliers. Many of Fitchburg’s large, and some of its medium, C&amp;I customers, purchase their gas supply from third-party suppliers. Most of Fitchburg’s residential and small C&amp;I customers continue to purchase their supplies at regulated rates from Fitchburg. As of December, 2025, 70% of Unitil’s largest Massachusetts gas customers, representing 15% of Unitil’s Massachusetts gas therm sales, purchased their gas supply from third-party suppliers. The approved costs associated with natural gas supplied to customers who do not contract with third -party suppliers are recovered on a pass-through basis through periodically adjusted rates and are included in Cost of Gas Sales in the Consolidated Statements of Earnings.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Regulated Natural Gas Supply</w:t>
      </w:r>
    </w:p>
    <w:p>
      <w:pPr>
        <w:spacing w:after="0" w:line="124"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21"/>
          <w:szCs w:val="21"/>
          <w:color w:val="231F20"/>
        </w:rPr>
        <w:t>Northern Utilities purchases the majority of its natural gas from U.S. domestic and Canadian suppliers largely under contracts of one year or less, and on occasion from producers and marketers on the spot market. Northern Utilities arranges for gas transportation and delivery to its system through its own long-term contracts with various interstate pipeline and storage facilities, through peaking supply contracts delivered to its system, or in the case of liquefied natural gas (LNG), via trucking of supplies to storage facilities within Northern Utilities’ service territory.</w:t>
      </w:r>
    </w:p>
    <w:p>
      <w:pPr>
        <w:spacing w:after="0" w:line="195" w:lineRule="exact"/>
        <w:rPr>
          <w:sz w:val="20"/>
          <w:szCs w:val="20"/>
          <w:color w:val="auto"/>
        </w:rPr>
      </w:pPr>
    </w:p>
    <w:p>
      <w:pPr>
        <w:ind w:right="120" w:firstLine="619"/>
        <w:spacing w:after="0" w:line="253" w:lineRule="auto"/>
        <w:rPr>
          <w:sz w:val="20"/>
          <w:szCs w:val="20"/>
          <w:color w:val="auto"/>
        </w:rPr>
      </w:pPr>
      <w:r>
        <w:rPr>
          <w:rFonts w:ascii="Times New Roman" w:cs="Times New Roman" w:eastAsia="Times New Roman" w:hAnsi="Times New Roman"/>
          <w:sz w:val="21"/>
          <w:szCs w:val="21"/>
          <w:color w:val="231F20"/>
        </w:rPr>
        <w:t>Northern Utilities has available under firm contract 85,500 million British Thermal Units (MMBtu) per day of year-round and an additional 44,000 MMBtu of winter seasonal transportation capacity to its distribution facilities, and 6.3 billion cubic feet (BCF) of underground storage. As a supplement to pipeline natural gas, Northern Utilities owns an LNG storage and vaporization facility. This plant is used principally during peak load periods to augment the supply of pipeline natural gas.</w:t>
      </w:r>
    </w:p>
    <w:p>
      <w:pPr>
        <w:spacing w:after="0" w:line="188" w:lineRule="exact"/>
        <w:rPr>
          <w:sz w:val="20"/>
          <w:szCs w:val="20"/>
          <w:color w:val="auto"/>
        </w:rPr>
      </w:pPr>
    </w:p>
    <w:p>
      <w:pPr>
        <w:ind w:right="260" w:firstLine="619"/>
        <w:spacing w:after="0" w:line="265" w:lineRule="auto"/>
        <w:rPr>
          <w:sz w:val="20"/>
          <w:szCs w:val="20"/>
          <w:color w:val="auto"/>
        </w:rPr>
      </w:pPr>
      <w:r>
        <w:rPr>
          <w:rFonts w:ascii="Times New Roman" w:cs="Times New Roman" w:eastAsia="Times New Roman" w:hAnsi="Times New Roman"/>
          <w:sz w:val="20"/>
          <w:szCs w:val="20"/>
          <w:color w:val="231F20"/>
        </w:rPr>
        <w:t>Fitchburg purchases natural gas under contracts from producers and marketers largely under contracts of one year or less, and occasionally on the spot market. Fitchburg arranges for gas transportation and delivery to its system through its own long-term contracts with Tennessee Gas Pipeline, through peaking supply contracts delivered to its system, or in the case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231F20"/>
        </w:rPr>
        <w:t>LNG or liquefied propane gas (LPG), via trucking of supplies to storage facilities within Fitchburg’s service territory.</w:t>
      </w:r>
    </w:p>
    <w:p>
      <w:pPr>
        <w:spacing w:after="0" w:line="235" w:lineRule="exact"/>
        <w:rPr>
          <w:sz w:val="20"/>
          <w:szCs w:val="20"/>
          <w:color w:val="auto"/>
        </w:rPr>
      </w:pPr>
    </w:p>
    <w:p>
      <w:pPr>
        <w:ind w:right="60" w:firstLine="619"/>
        <w:spacing w:after="0" w:line="253" w:lineRule="auto"/>
        <w:rPr>
          <w:sz w:val="20"/>
          <w:szCs w:val="20"/>
          <w:color w:val="auto"/>
        </w:rPr>
      </w:pPr>
      <w:r>
        <w:rPr>
          <w:rFonts w:ascii="Times New Roman" w:cs="Times New Roman" w:eastAsia="Times New Roman" w:hAnsi="Times New Roman"/>
          <w:sz w:val="21"/>
          <w:szCs w:val="21"/>
          <w:color w:val="231F20"/>
        </w:rPr>
        <w:t>Fitchburg has available under firm contract 14,439 MMBtu per day of year-round transportation and 0.4 BCF of underground storage capacity to its distribution facilities. As a supplement to pipeline natural gas, Fitchburg owns a propane air gas plant and an LNG storage and vaporization facility. These plants are used principally during peak load periods to augment the supply of pipeline natural gas.</w:t>
      </w:r>
    </w:p>
    <w:p>
      <w:pPr>
        <w:spacing w:after="0" w:line="188" w:lineRule="exact"/>
        <w:rPr>
          <w:sz w:val="20"/>
          <w:szCs w:val="20"/>
          <w:color w:val="auto"/>
        </w:rPr>
      </w:pPr>
    </w:p>
    <w:p>
      <w:pPr>
        <w:jc w:val="both"/>
        <w:ind w:right="140" w:firstLine="619"/>
        <w:spacing w:after="0" w:line="259" w:lineRule="auto"/>
        <w:rPr>
          <w:sz w:val="20"/>
          <w:szCs w:val="20"/>
          <w:color w:val="auto"/>
        </w:rPr>
      </w:pPr>
      <w:r>
        <w:rPr>
          <w:rFonts w:ascii="Times New Roman" w:cs="Times New Roman" w:eastAsia="Times New Roman" w:hAnsi="Times New Roman"/>
          <w:sz w:val="21"/>
          <w:szCs w:val="21"/>
          <w:color w:val="231F20"/>
        </w:rPr>
        <w:t>Bangor purchases the majority of its natural gas from U.S. domestic and Canadian suppliers largely under contracts of one year or less, and on occasion from producers and marketers on the spot market. Bangor arranges for gas transportation and delivery to its system through its own long-term contracts with various interstate pipeline and storage facilities.</w:t>
      </w:r>
    </w:p>
    <w:p>
      <w:pPr>
        <w:spacing w:after="0" w:line="183" w:lineRule="exact"/>
        <w:rPr>
          <w:sz w:val="20"/>
          <w:szCs w:val="20"/>
          <w:color w:val="auto"/>
        </w:rPr>
      </w:pPr>
    </w:p>
    <w:p>
      <w:pPr>
        <w:ind w:firstLine="619"/>
        <w:spacing w:after="0" w:line="259" w:lineRule="auto"/>
        <w:rPr>
          <w:sz w:val="20"/>
          <w:szCs w:val="20"/>
          <w:color w:val="auto"/>
        </w:rPr>
      </w:pPr>
      <w:r>
        <w:rPr>
          <w:rFonts w:ascii="Times New Roman" w:cs="Times New Roman" w:eastAsia="Times New Roman" w:hAnsi="Times New Roman"/>
          <w:sz w:val="21"/>
          <w:szCs w:val="21"/>
          <w:color w:val="231F20"/>
        </w:rPr>
        <w:t>Bangor has firm contracts for up to 35,000 MMBtu per day of year-round transportation and 0.69 BCF of underground storage capacity to its distribution facilities. Bangor Natural Gas has contracted for year-round and supplemental winter supplies to meet Bangor system demands.</w:t>
      </w:r>
    </w:p>
    <w:p>
      <w:pPr>
        <w:spacing w:after="0" w:line="183" w:lineRule="exact"/>
        <w:rPr>
          <w:sz w:val="20"/>
          <w:szCs w:val="20"/>
          <w:color w:val="auto"/>
        </w:rPr>
      </w:pPr>
    </w:p>
    <w:p>
      <w:pPr>
        <w:ind w:right="320" w:firstLine="619"/>
        <w:spacing w:after="0" w:line="279" w:lineRule="auto"/>
        <w:rPr>
          <w:sz w:val="20"/>
          <w:szCs w:val="20"/>
          <w:color w:val="auto"/>
        </w:rPr>
      </w:pPr>
      <w:r>
        <w:rPr>
          <w:rFonts w:ascii="Times New Roman" w:cs="Times New Roman" w:eastAsia="Times New Roman" w:hAnsi="Times New Roman"/>
          <w:sz w:val="21"/>
          <w:szCs w:val="21"/>
          <w:color w:val="231F20"/>
        </w:rPr>
        <w:t>Maine Natural purchases its natural gas from suppliers largely under contracts of one year or less. Maine Natural Gas arranges for gas transportation and delivery to its system through firm pipeline capacity.</w:t>
      </w:r>
    </w:p>
    <w:p>
      <w:pPr>
        <w:spacing w:after="0" w:line="162" w:lineRule="exact"/>
        <w:rPr>
          <w:sz w:val="20"/>
          <w:szCs w:val="20"/>
          <w:color w:val="auto"/>
        </w:rPr>
      </w:pPr>
    </w:p>
    <w:p>
      <w:pPr>
        <w:ind w:right="80" w:firstLine="619"/>
        <w:spacing w:after="0" w:line="279" w:lineRule="auto"/>
        <w:rPr>
          <w:sz w:val="20"/>
          <w:szCs w:val="20"/>
          <w:color w:val="auto"/>
        </w:rPr>
      </w:pPr>
      <w:r>
        <w:rPr>
          <w:rFonts w:ascii="Times New Roman" w:cs="Times New Roman" w:eastAsia="Times New Roman" w:hAnsi="Times New Roman"/>
          <w:sz w:val="21"/>
          <w:szCs w:val="21"/>
          <w:color w:val="231F20"/>
        </w:rPr>
        <w:t>Maine Natural has available under firm contract 6,500 MMBtu per day of year-round transportation. As a supplement to year-round pipeline natural gas, Maine Natural has contracted for additional supplies to meet winter demands.</w:t>
      </w:r>
    </w:p>
    <w:p>
      <w:pPr>
        <w:sectPr>
          <w:pgSz w:w="12240" w:h="15840" w:orient="portrait"/>
          <w:cols w:equalWidth="0" w:num="1">
            <w:col w:w="10800"/>
          </w:cols>
          <w:pgMar w:left="720" w:top="929" w:right="720" w:bottom="188"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69</w:t>
      </w:r>
    </w:p>
    <w:p>
      <w:pPr>
        <w:sectPr>
          <w:pgSz w:w="12240" w:h="15840" w:orient="portrait"/>
          <w:cols w:equalWidth="0" w:num="1">
            <w:col w:w="10800"/>
          </w:cols>
          <w:pgMar w:left="720" w:top="929" w:right="720" w:bottom="188"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21"/>
          <w:szCs w:val="21"/>
          <w:b w:val="1"/>
          <w:bCs w:val="1"/>
          <w:color w:val="231F20"/>
        </w:rPr>
        <w:t>Note 7: Derivatives</w:t>
      </w:r>
    </w:p>
    <w:p>
      <w:pPr>
        <w:spacing w:after="0" w:line="244" w:lineRule="exact"/>
        <w:rPr>
          <w:sz w:val="20"/>
          <w:szCs w:val="20"/>
          <w:color w:val="auto"/>
        </w:rPr>
      </w:pPr>
    </w:p>
    <w:p>
      <w:pPr>
        <w:ind w:right="140" w:firstLine="619"/>
        <w:spacing w:after="0" w:line="249" w:lineRule="auto"/>
        <w:rPr>
          <w:sz w:val="20"/>
          <w:szCs w:val="20"/>
          <w:color w:val="auto"/>
        </w:rPr>
      </w:pPr>
      <w:r>
        <w:rPr>
          <w:rFonts w:ascii="Times New Roman" w:cs="Times New Roman" w:eastAsia="Times New Roman" w:hAnsi="Times New Roman"/>
          <w:sz w:val="21"/>
          <w:szCs w:val="21"/>
          <w:color w:val="231F20"/>
        </w:rPr>
        <w:t>In 2018, Fitchburg entered into a long-term power purchase agreement (PPA) with H.Q. Energy Services (U.S.) Inc. (HQUS) to procure bundled clean energy and associated environmental attributes pursuant to Section 83D of “An Act to Promote Energy Diversity” (2016). The PPA requires Fitchburg to purchase specified quantities of electric energy over the 20-year contract term and provides for the transfer of associated environmental attributes. (See Note 8 Commitments and Contingencies: Fitchburg - Massachusetts Request for Proposals.)</w:t>
      </w:r>
    </w:p>
    <w:p>
      <w:pPr>
        <w:spacing w:after="0" w:line="195"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21"/>
          <w:szCs w:val="21"/>
          <w:color w:val="231F20"/>
        </w:rPr>
        <w:t>During 2025, based on the status of the NECEC Transmission Line and the Company’s assessment that the contingency related to the commencement of deliveries was substantially resolved as of December 31, 2025, the Company concluded that the PPA met the definition of a derivative. The Company evaluated the PPA under ASC 815 and concluded that (i) the host contract includes environmental attributes that do not meet the definition of a derivative and (ii) the PPA contains an embedded derivative related to the energy component that requires bifurcation.</w:t>
      </w:r>
    </w:p>
    <w:p>
      <w:pPr>
        <w:spacing w:after="0" w:line="195" w:lineRule="exact"/>
        <w:rPr>
          <w:sz w:val="20"/>
          <w:szCs w:val="20"/>
          <w:color w:val="auto"/>
        </w:rPr>
      </w:pPr>
    </w:p>
    <w:p>
      <w:pPr>
        <w:ind w:firstLine="619"/>
        <w:spacing w:after="0" w:line="253" w:lineRule="auto"/>
        <w:rPr>
          <w:sz w:val="20"/>
          <w:szCs w:val="20"/>
          <w:color w:val="auto"/>
        </w:rPr>
      </w:pPr>
      <w:r>
        <w:rPr>
          <w:rFonts w:ascii="Times New Roman" w:cs="Times New Roman" w:eastAsia="Times New Roman" w:hAnsi="Times New Roman"/>
          <w:sz w:val="21"/>
          <w:szCs w:val="21"/>
          <w:color w:val="231F20"/>
        </w:rPr>
        <w:t>The Company has not designated the derivative as a hedging instrument. Additionally, the derivative does not qualify for the normal purchase normal sale scope exception. Accordingly, the Company accounts for the embedded energy derivative at fair value, with subsequent changes in fair value recognized as a regulatory offset. Please see Note 1 (Summary of Significant Accounting Policies - Derivatives) for a discussion of the Company’s regulatory accounting treatment of derivatives.</w:t>
      </w:r>
    </w:p>
    <w:p>
      <w:pPr>
        <w:spacing w:after="0" w:line="188" w:lineRule="exact"/>
        <w:rPr>
          <w:sz w:val="20"/>
          <w:szCs w:val="20"/>
          <w:color w:val="auto"/>
        </w:rPr>
      </w:pPr>
    </w:p>
    <w:p>
      <w:pPr>
        <w:ind w:right="40" w:firstLine="612"/>
        <w:spacing w:after="0" w:line="244" w:lineRule="auto"/>
        <w:rPr>
          <w:sz w:val="20"/>
          <w:szCs w:val="20"/>
          <w:color w:val="auto"/>
        </w:rPr>
      </w:pPr>
      <w:r>
        <w:rPr>
          <w:rFonts w:ascii="Times New Roman" w:cs="Times New Roman" w:eastAsia="Times New Roman" w:hAnsi="Times New Roman"/>
          <w:sz w:val="21"/>
          <w:szCs w:val="21"/>
          <w:color w:val="231F20"/>
        </w:rPr>
        <w:t>The PPA provides a bundled price for energy and environmental attributes. In connection with bifurcation and fair value measurement of the embedded energy derivative, the Company applied an allocation approach to separate the embedded energy derivative from the non-derivative environmental attribute component. The fair value of the embedded energy derivative is estimated using a discounted cash flow model that compares forward market prices to the adjusted fixed price for the energy component of the PPA, multiplied by expected delivery volumes, and discounted using a rate that reflects the relevant counterparty’s credit risk. Observable inputs include on-peak and off-peak forward electricity prices and the Company incorporates an adjustment to estimate the pricing through the term of the PPA. As of December 31, 2025, the Company classified the embedded derivative within Level 3 of the fair value hierarchy due to the use of significant unobservable inputs in estimating the value of the embedded derivative. Please also see Note 1 (Summary of Significant Accounting Policies) for a discussion of the Company’s fair value accounting policy.</w:t>
      </w:r>
    </w:p>
    <w:p>
      <w:pPr>
        <w:spacing w:after="0" w:line="200" w:lineRule="exact"/>
        <w:rPr>
          <w:sz w:val="20"/>
          <w:szCs w:val="20"/>
          <w:color w:val="auto"/>
        </w:rPr>
      </w:pPr>
    </w:p>
    <w:p>
      <w:pPr>
        <w:jc w:val="both"/>
        <w:ind w:right="160" w:firstLine="619"/>
        <w:spacing w:after="0" w:line="249" w:lineRule="auto"/>
        <w:rPr>
          <w:sz w:val="20"/>
          <w:szCs w:val="20"/>
          <w:color w:val="auto"/>
        </w:rPr>
      </w:pPr>
      <w:r>
        <w:rPr>
          <w:rFonts w:ascii="Times New Roman" w:cs="Times New Roman" w:eastAsia="Times New Roman" w:hAnsi="Times New Roman"/>
          <w:sz w:val="21"/>
          <w:szCs w:val="21"/>
          <w:color w:val="231F20"/>
        </w:rPr>
        <w:t>The fair value of the derivative was $17.7 million as of December 31, 2025, with $2.8 million recorded in Prepayments and Other related to the current portion and $14.9 million in Other Assets related to the noncurrent portion. The Company has recorded corresponding Current and Noncurrent Regulatory Liabilities related to the fair value of the derivative. No derivative assets or liabilities were recognized as of December 31, 2024. The Company does not offset derivative assets and liabilities in the balance sheet.</w:t>
      </w:r>
    </w:p>
    <w:p>
      <w:pPr>
        <w:spacing w:after="0" w:line="195" w:lineRule="exact"/>
        <w:rPr>
          <w:sz w:val="20"/>
          <w:szCs w:val="20"/>
          <w:color w:val="auto"/>
        </w:rPr>
      </w:pPr>
    </w:p>
    <w:p>
      <w:pPr>
        <w:ind w:right="500" w:firstLine="619"/>
        <w:spacing w:after="0" w:line="279" w:lineRule="auto"/>
        <w:rPr>
          <w:sz w:val="20"/>
          <w:szCs w:val="20"/>
          <w:color w:val="auto"/>
        </w:rPr>
      </w:pPr>
      <w:r>
        <w:rPr>
          <w:rFonts w:ascii="Times New Roman" w:cs="Times New Roman" w:eastAsia="Times New Roman" w:hAnsi="Times New Roman"/>
          <w:sz w:val="21"/>
          <w:szCs w:val="21"/>
          <w:color w:val="231F20"/>
        </w:rPr>
        <w:t>The Company entered into a long-term energy procurement arrangement primarily to comply with regulatory clean energy requirements. The Company does not enter into such arrangements for trading or speculative purposes.</w:t>
      </w:r>
    </w:p>
    <w:p>
      <w:pPr>
        <w:spacing w:after="0" w:line="162" w:lineRule="exact"/>
        <w:rPr>
          <w:sz w:val="20"/>
          <w:szCs w:val="20"/>
          <w:color w:val="auto"/>
        </w:rPr>
      </w:pPr>
    </w:p>
    <w:p>
      <w:pPr>
        <w:ind w:right="220" w:firstLine="619"/>
        <w:spacing w:after="0" w:line="279" w:lineRule="auto"/>
        <w:rPr>
          <w:sz w:val="20"/>
          <w:szCs w:val="20"/>
          <w:color w:val="auto"/>
        </w:rPr>
      </w:pPr>
      <w:r>
        <w:rPr>
          <w:rFonts w:ascii="Times New Roman" w:cs="Times New Roman" w:eastAsia="Times New Roman" w:hAnsi="Times New Roman"/>
          <w:sz w:val="21"/>
          <w:szCs w:val="21"/>
          <w:color w:val="231F20"/>
        </w:rPr>
        <w:t>The Company is exposed to credit risk related to possible nonperformance by its counterparty. The Company manages this risk through ongoing credit monitoring and, as applicable, the use of collateral or other credit enhancements.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Note 8: Commitments and Contingencies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Regulatory Matters</w:t>
      </w:r>
    </w:p>
    <w:p>
      <w:pPr>
        <w:spacing w:after="0" w:line="120" w:lineRule="exact"/>
        <w:rPr>
          <w:sz w:val="20"/>
          <w:szCs w:val="20"/>
          <w:color w:val="auto"/>
        </w:rPr>
      </w:pPr>
    </w:p>
    <w:p>
      <w:pPr>
        <w:ind w:right="80" w:firstLine="619"/>
        <w:spacing w:after="0" w:line="246" w:lineRule="auto"/>
        <w:rPr>
          <w:sz w:val="20"/>
          <w:szCs w:val="20"/>
          <w:color w:val="auto"/>
        </w:rPr>
      </w:pPr>
      <w:r>
        <w:rPr>
          <w:rFonts w:ascii="Times New Roman" w:cs="Times New Roman" w:eastAsia="Times New Roman" w:hAnsi="Times New Roman"/>
          <w:sz w:val="21"/>
          <w:szCs w:val="21"/>
          <w:b w:val="1"/>
          <w:bCs w:val="1"/>
          <w:color w:val="231F20"/>
        </w:rPr>
        <w:t>Overview—</w:t>
      </w:r>
      <w:r>
        <w:rPr>
          <w:rFonts w:ascii="Times New Roman" w:cs="Times New Roman" w:eastAsia="Times New Roman" w:hAnsi="Times New Roman"/>
          <w:sz w:val="21"/>
          <w:szCs w:val="21"/>
          <w:color w:val="231F20"/>
        </w:rPr>
        <w:t>Unitil’s distribution utilities primarily deliver electricity and/or natural gas to customers in the Company’s</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service territories at rates established under traditional cost of service regulation. Under this regulatory structure, Unitil Energy, Fitchburg, Northern Utilities and Maine Natural’s non-Augusta service area are provided the opportunity to recover the cost of providing distribution service to their customers based on a representative test year, in addition to earning a return on their capital investment in utility assets. Unitil Energy, Northern Utilities' New Hampshire division, and Fitchburg’s electric and gas divisions operate under revenue decoupling mechanisms. Bangor and Maine Natural’s Augusta Service Area delivery rates to natural gas customers are established under alternative rate plans, which provide multi-year rate changes designed to approximate market-based rates.</w:t>
      </w:r>
    </w:p>
    <w:p>
      <w:pPr>
        <w:spacing w:after="0" w:line="232" w:lineRule="exact"/>
        <w:rPr>
          <w:sz w:val="20"/>
          <w:szCs w:val="20"/>
          <w:color w:val="auto"/>
        </w:rPr>
      </w:pPr>
    </w:p>
    <w:p>
      <w:pPr>
        <w:ind w:right="140" w:firstLine="619"/>
        <w:spacing w:after="0" w:line="279" w:lineRule="auto"/>
        <w:rPr>
          <w:sz w:val="20"/>
          <w:szCs w:val="20"/>
          <w:color w:val="auto"/>
        </w:rPr>
      </w:pPr>
      <w:r>
        <w:rPr>
          <w:rFonts w:ascii="Times New Roman" w:cs="Times New Roman" w:eastAsia="Times New Roman" w:hAnsi="Times New Roman"/>
          <w:sz w:val="21"/>
          <w:szCs w:val="21"/>
          <w:color w:val="231F20"/>
        </w:rPr>
        <w:t>Most of Unitil’s customers are entitled to purchase their electric or natural gas supplies from third-party suppliers. For Northern Utilities, Bangor, and Maine Natural, only business customers are entitled to purchase their natural gas supplies from</w:t>
      </w:r>
    </w:p>
    <w:p>
      <w:pPr>
        <w:sectPr>
          <w:pgSz w:w="12240" w:h="15840" w:orient="portrait"/>
          <w:cols w:equalWidth="0" w:num="1">
            <w:col w:w="10800"/>
          </w:cols>
          <w:pgMar w:left="720" w:top="925" w:right="720" w:bottom="188"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70</w:t>
      </w:r>
    </w:p>
    <w:p>
      <w:pPr>
        <w:sectPr>
          <w:pgSz w:w="12240" w:h="15840" w:orient="portrait"/>
          <w:cols w:equalWidth="0" w:num="1">
            <w:col w:w="10800"/>
          </w:cols>
          <w:pgMar w:left="720" w:top="925" w:right="720" w:bottom="188" w:gutter="0" w:footer="0" w:header="0"/>
          <w:type w:val="continuous"/>
        </w:sectPr>
      </w:pPr>
    </w:p>
    <w:bookmarkStart w:id="90" w:name="page91"/>
    <w:bookmarkEnd w:id="90"/>
    <w:p>
      <w:pPr>
        <w:ind w:right="160"/>
        <w:spacing w:after="0" w:line="247" w:lineRule="auto"/>
        <w:rPr>
          <w:sz w:val="20"/>
          <w:szCs w:val="20"/>
          <w:color w:val="auto"/>
        </w:rPr>
      </w:pPr>
      <w:r>
        <w:rPr>
          <w:rFonts w:ascii="Times New Roman" w:cs="Times New Roman" w:eastAsia="Times New Roman" w:hAnsi="Times New Roman"/>
          <w:sz w:val="21"/>
          <w:szCs w:val="21"/>
          <w:color w:val="231F20"/>
        </w:rPr>
        <w:t>third-party suppliers. Municipal aggregation has also occurred in a number of towns in Unitil’s New Hampshire and Massachusetts service territories. As the providers of basic or default service, Unitil Energy, Fitchburg, Northern Utilities, Bangor and Maine Natural purchase wholesale electricity or natural gas and recover the actual costs of these supplies, without profit or markup, through reconciling, pass-through rate mechanisms that are periodically adjusted. The MDPU, the NHPUC and the MPUC each have continued to approve these reconciling rate mechanisms which allow Fitchburg, Unitil Energy, Northern Utilities, Bangor and Maine Natural to recover their actual wholesale energy costs for electric power and natural gas.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Rate Case Activity</w:t>
      </w:r>
    </w:p>
    <w:p>
      <w:pPr>
        <w:spacing w:after="0" w:line="34" w:lineRule="exact"/>
        <w:rPr>
          <w:sz w:val="20"/>
          <w:szCs w:val="20"/>
          <w:color w:val="auto"/>
        </w:rPr>
      </w:pPr>
    </w:p>
    <w:p>
      <w:pPr>
        <w:ind w:right="160" w:firstLine="619"/>
        <w:spacing w:after="0" w:line="242" w:lineRule="auto"/>
        <w:rPr>
          <w:sz w:val="20"/>
          <w:szCs w:val="20"/>
          <w:color w:val="auto"/>
        </w:rPr>
      </w:pPr>
      <w:r>
        <w:rPr>
          <w:rFonts w:ascii="Times New Roman" w:cs="Times New Roman" w:eastAsia="Times New Roman" w:hAnsi="Times New Roman"/>
          <w:sz w:val="21"/>
          <w:szCs w:val="21"/>
          <w:b w:val="1"/>
          <w:bCs w:val="1"/>
          <w:color w:val="231F20"/>
        </w:rPr>
        <w:t xml:space="preserve">Northern Utilities - Base Rates - Maine </w:t>
      </w:r>
      <w:r>
        <w:rPr>
          <w:rFonts w:ascii="Times New Roman" w:cs="Times New Roman" w:eastAsia="Times New Roman" w:hAnsi="Times New Roman"/>
          <w:sz w:val="21"/>
          <w:szCs w:val="21"/>
          <w:color w:val="231F20"/>
        </w:rPr>
        <w:t>- On September 20, 2023, the MPUC issued an order approving a Stipulation</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filed on August 31, 2023, between Northern Utilities and the Office of the Public Advocate which resolved all matters in the base rate filing made by Northern Utilities with the MPUC on May 1, 2023. The order approves an increase in distribution revenues of $7.6 million effective October 1, 2023. The order reflects a return on equity of 9.35%, an equity ratio of 52.01%, and a weighted average cost of capital of 7.22%.</w:t>
      </w:r>
    </w:p>
    <w:p>
      <w:pPr>
        <w:spacing w:after="0" w:line="198"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1"/>
          <w:szCs w:val="21"/>
          <w:b w:val="1"/>
          <w:bCs w:val="1"/>
          <w:color w:val="231F20"/>
        </w:rPr>
        <w:t xml:space="preserve">Northern Utilities - Targeted Infrastructure Replacement Adjustment (TIRA) - Maine </w:t>
      </w:r>
      <w:r>
        <w:rPr>
          <w:rFonts w:ascii="Times New Roman" w:cs="Times New Roman" w:eastAsia="Times New Roman" w:hAnsi="Times New Roman"/>
          <w:sz w:val="21"/>
          <w:szCs w:val="21"/>
          <w:color w:val="231F20"/>
        </w:rPr>
        <w:t>- The settlement in Northern</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Utilities’ Maine division’s 2013 rate case authorized the Company to implement a TIRA rate mechanism to adjust base distribution rates annually to recover the revenue requirements associated with targeted investments in gas distribution system infrastructure replacement and upgrade projects, including the Company’s Cast Iron Replacement Program (CIRP). In its Final Order issued on February 28, 2018 for Northern Utilities’ 2017 base rate case, the MPUC approved an extension of the TIRA mechanism for an additional eight-year period, which will allow for annual rate adjustments through the end of the CIRP program. The Company’s most recent request under the TIRA mechanism, to increase annual base rates by $2.1 million for 2024 eligible facilities, was filed with the MPUC on February 28, 2025 for rates effective May 1, 2025. On April 29, 2025, the MPUC issued an order approving the filing, for rates effective May 1, 2025. During 2024, Northern Utilities performed its fourteenth and final year of construction on the 14-year combined CIRP, (Unprotected Steel and Farm Tap project ordered by the MPUC in Docket Nos. 2008-00151 and 2013-00133). As the Cast Iron Replacement Program and related unprotected steel and Farm Tap programs have been completed and all leak-prone pipe has been removed, this is Northern’s final TIRA rate adjustment.</w:t>
      </w:r>
    </w:p>
    <w:p>
      <w:pPr>
        <w:spacing w:after="0" w:line="203"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1"/>
          <w:szCs w:val="21"/>
          <w:b w:val="1"/>
          <w:bCs w:val="1"/>
          <w:color w:val="231F20"/>
        </w:rPr>
        <w:t xml:space="preserve">Northern Utilities - Base Rates - New Hampshire </w:t>
      </w:r>
      <w:r>
        <w:rPr>
          <w:rFonts w:ascii="Times New Roman" w:cs="Times New Roman" w:eastAsia="Times New Roman" w:hAnsi="Times New Roman"/>
          <w:sz w:val="21"/>
          <w:szCs w:val="21"/>
          <w:color w:val="231F20"/>
        </w:rPr>
        <w:t>- On July 20, 2022, the NHPUC issued an Order in the distribution</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base rate case filed with the NHPUC on August 2, 2021 by Northern Utilities. The Order approved a comprehensive Settlement Agreement between the Company, the New Hampshire Department of Energy (DOE), and the Office of the Consumer Advocate (OCA). As provided in the Settlement Agreement, in addition to authorizing an increase to permanent distribution rates of $6.1 million, effective August 1, 2022, the Order (1) approved a revenue decoupling mechanism and (2) allowed for a step adjustment effective September 1, 2022 covering the additional revenue requirement resulting from changes in Net Plant in Service associated with non-growth investments for the period January 1, 2021, through December 31, 2021. This distribution base rate case reflected the Company’s operating costs and investments in utility plant for a test year ended December 31, 2020 as adjusted for known and measurable changes. The Order provided for a return on equity of 9.3% and a capital structure reflecting 52% equity and 48% long-term debt. The increase in permanent rates was reconciled back to October 1, 2021, the effective date of temporary rates previously approved in this docket. On June 8, 2022, the Company filed for its step increase of approximately $ 1.6 million of annual revenue, for rates effective as of September 1, 2022, to recover eligible 2021 capital investments. On August 31, 2022, the NHPUC approved the Company’s filing.</w:t>
      </w:r>
    </w:p>
    <w:p>
      <w:pPr>
        <w:spacing w:after="0" w:line="203"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21"/>
          <w:szCs w:val="21"/>
          <w:b w:val="1"/>
          <w:bCs w:val="1"/>
          <w:color w:val="231F20"/>
        </w:rPr>
        <w:t xml:space="preserve">Unitil Energy - Base Rates </w:t>
      </w:r>
      <w:r>
        <w:rPr>
          <w:rFonts w:ascii="Times New Roman" w:cs="Times New Roman" w:eastAsia="Times New Roman" w:hAnsi="Times New Roman"/>
          <w:sz w:val="21"/>
          <w:szCs w:val="21"/>
          <w:color w:val="231F20"/>
        </w:rPr>
        <w:t>- On May 1, 2025 Unitil Energy filed for an increase in distribution base rates with the</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NHPUC. The Company is seeking an increase in base rates of approximately $18.5 million or 7.3% above present rates. Unitil Energy also requested implementation of temporary rates for service rendered on and after July 1, 2025, and until a final order on permanent rates is issued. The requested temporary rates were approved at the requested levels, resulting in an increase in annual revenues of $7.8 million, or a 3.7% increase above present rates. As provided by statute, once a final order on permanent rates is issued, the permanent rate level is reconciled back to the effective date of the temporary rates. The filing includes (1) a proposed multi-year rate plan, (2) a continuation of its revenue decoupling mechanism, (3) an update to the previously approved suite of proposed time of use (TOU) rates including rates for electric vehicles (4) resiliency programs to further the Company’s commitment to reliability, (5) an Arrearage Management Program for financial hardship customers; and (6) other rate design and tariff changes. This matter remains pending.</w:t>
      </w:r>
    </w:p>
    <w:p>
      <w:pPr>
        <w:spacing w:after="0" w:line="201" w:lineRule="exact"/>
        <w:rPr>
          <w:sz w:val="20"/>
          <w:szCs w:val="20"/>
          <w:color w:val="auto"/>
        </w:rPr>
      </w:pPr>
    </w:p>
    <w:p>
      <w:pPr>
        <w:ind w:right="40" w:firstLine="619"/>
        <w:spacing w:after="0" w:line="280" w:lineRule="auto"/>
        <w:rPr>
          <w:sz w:val="20"/>
          <w:szCs w:val="20"/>
          <w:color w:val="auto"/>
        </w:rPr>
      </w:pPr>
      <w:r>
        <w:rPr>
          <w:rFonts w:ascii="Times New Roman" w:cs="Times New Roman" w:eastAsia="Times New Roman" w:hAnsi="Times New Roman"/>
          <w:sz w:val="20"/>
          <w:szCs w:val="20"/>
          <w:b w:val="1"/>
          <w:bCs w:val="1"/>
          <w:color w:val="231F20"/>
        </w:rPr>
        <w:t xml:space="preserve">Fitchburg - Base Rates - Electric - </w:t>
      </w:r>
      <w:r>
        <w:rPr>
          <w:rFonts w:ascii="Times New Roman" w:cs="Times New Roman" w:eastAsia="Times New Roman" w:hAnsi="Times New Roman"/>
          <w:sz w:val="20"/>
          <w:szCs w:val="20"/>
          <w:color w:val="231F20"/>
        </w:rPr>
        <w:t>Fitchburg’s base rates are decoupled and subject to an annual revenue decoupling</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adjustment mechanism, which includes a cap on the amount that rates may be increased in any year. In addition, Fitchburg has an annual capital cost recovery mechanism to recover the revenue requirement associated with certain capital additions. On July</w:t>
      </w:r>
    </w:p>
    <w:p>
      <w:pPr>
        <w:sectPr>
          <w:pgSz w:w="12240" w:h="15840" w:orient="portrait"/>
          <w:cols w:equalWidth="0" w:num="1">
            <w:col w:w="10800"/>
          </w:cols>
          <w:pgMar w:left="720" w:top="929" w:right="720" w:bottom="188" w:gutter="0" w:footer="0" w:header="0"/>
        </w:sect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71</w:t>
      </w:r>
    </w:p>
    <w:p>
      <w:pPr>
        <w:sectPr>
          <w:pgSz w:w="12240" w:h="15840" w:orient="portrait"/>
          <w:cols w:equalWidth="0" w:num="1">
            <w:col w:w="10800"/>
          </w:cols>
          <w:pgMar w:left="720" w:top="929" w:right="720" w:bottom="188" w:gutter="0" w:footer="0" w:header="0"/>
          <w:type w:val="continuous"/>
        </w:sectPr>
      </w:pPr>
    </w:p>
    <w:bookmarkStart w:id="91" w:name="page92"/>
    <w:bookmarkEnd w:id="91"/>
    <w:p>
      <w:pPr>
        <w:ind w:right="60"/>
        <w:spacing w:after="0" w:line="244" w:lineRule="auto"/>
        <w:rPr>
          <w:sz w:val="20"/>
          <w:szCs w:val="20"/>
          <w:color w:val="auto"/>
        </w:rPr>
      </w:pPr>
      <w:r>
        <w:rPr>
          <w:rFonts w:ascii="Times New Roman" w:cs="Times New Roman" w:eastAsia="Times New Roman" w:hAnsi="Times New Roman"/>
          <w:sz w:val="21"/>
          <w:szCs w:val="21"/>
          <w:color w:val="231F20"/>
        </w:rPr>
        <w:t>26, 2023, the MDPU issued an Order approving the Company's cumulative revenue requirement of $3.1 million associated with its 2019-2021 capital expenditures. On September 11, 2024, the MDPU issued a final order approving the cumulative revenue requirement of $3.5 million associated with its 2019-2022 capital expenditures. On November 1, 2024, Fitchburg filed its cumulative revenue requirement of $0.5 million associated with its 2023 capital expenditures, which reflects the transfer of capital expenditures associated with its 2019-2023 year investments into base distribution rates effective July 1, 2024. On December 23, 2024, the MDPU approved recovery through its capital cost recovery mechanism effective January 1, 2025. On October 31, 2025, Fitchburg submitted its revenue requirement analysis for 2024 capital expenditures. In accordance with its tariff, Fitchburg sought approval to recover $0.2 million effective January 1, 2026. On December 30, 2025, the MDPU approved the proposed recovery, subject to investigation.</w:t>
      </w:r>
    </w:p>
    <w:p>
      <w:pPr>
        <w:spacing w:after="0" w:line="204" w:lineRule="exact"/>
        <w:rPr>
          <w:sz w:val="20"/>
          <w:szCs w:val="20"/>
          <w:color w:val="auto"/>
        </w:rPr>
      </w:pPr>
    </w:p>
    <w:p>
      <w:pPr>
        <w:ind w:right="20" w:firstLine="619"/>
        <w:spacing w:after="0" w:line="241" w:lineRule="auto"/>
        <w:rPr>
          <w:sz w:val="20"/>
          <w:szCs w:val="20"/>
          <w:color w:val="auto"/>
        </w:rPr>
      </w:pPr>
      <w:r>
        <w:rPr>
          <w:rFonts w:ascii="Times New Roman" w:cs="Times New Roman" w:eastAsia="Times New Roman" w:hAnsi="Times New Roman"/>
          <w:sz w:val="21"/>
          <w:szCs w:val="21"/>
          <w:color w:val="231F20"/>
        </w:rPr>
        <w:t>On August 17, 2023, Fitchburg filed a petition with the MDPU seeking approval for a $6.8 million increase to base distribution rates, with new rates to be effective July 1, 2024. Fitchburg also requested, among other things, approval for a performance-based ratemaking (PBR) plan for up to a five-year term and continuation of its revenue decoupling mechanism. On June 28, 2024, the MDPU issued an Order providing for a $4.7 million increase to base rates, effective July 1, 2024. This includes a transfer of $2.2 million in costs from certain reconciling mechanisms to base distribution rates. In addition to authorizing an increase to base rates, the Order approved a PBR plan for up to a five-year term and continuation of the Company’s revenue decoupling mechanism. The Order provided for a return on equity of 9.4% and a capital structure reflecting 52% equity and 48% long-term debt. On July 5, 2024, the Company filed its compliance tariff filing and made further revisions as directed by the MDPU on July 15, 2024. On July 16, 2024 the MDPU approved its revised compliance filing. In its Order, the MDPU found that allowing the Company to recover pension and PBOP expense through its Pension/PBOP Adjustment mechanism is no longer warranted. Instead, the MDPU concluded that these expenses should be recovered in base distribution rates, the mechanism should be discontinued and any unrecovered expenses existing as of the effective date of new rates will be recovered over two years. On July 18, 2024, the Company filed a Motion for Reconsideration and Recalculation requesting that the MDPU reconsider its decision to require the Company to absorb $1.4 million in negative excess accumulated deferred income taxes (ADIT) because the effect of the Order was to inappropriately claw back amounts that were previously approved by the MDPU for recovery from customers. On November 26, 2024, the MDPU issued an Order on the Company’s motion holding, in part, that Pension/PBOP expenses shall be recovered in base distribution rates. On December 9, 2024, the Company filed an appeal with Massachusetts Supreme Judicial Court on the grounds that the MDPU’s Order unlawfully denies the Company’s recovery of approximately $1.4 million of negative, excess ADIT. The amount of $1.4 million is disaggregated between the Company’s gas division ($0.6 million) and the electric division ($0.8 million). This appeal is pending. The ruling on November 26, 2024 approved certain other recalculations, resulting in an additional increase to electric base rates of $0.1 million effective December 1, 2024.</w:t>
      </w:r>
    </w:p>
    <w:p>
      <w:pPr>
        <w:spacing w:after="0" w:line="214" w:lineRule="exact"/>
        <w:rPr>
          <w:sz w:val="20"/>
          <w:szCs w:val="20"/>
          <w:color w:val="auto"/>
        </w:rPr>
      </w:pPr>
    </w:p>
    <w:p>
      <w:pPr>
        <w:ind w:right="140" w:firstLine="619"/>
        <w:spacing w:after="0" w:line="254" w:lineRule="auto"/>
        <w:rPr>
          <w:sz w:val="20"/>
          <w:szCs w:val="20"/>
          <w:color w:val="auto"/>
        </w:rPr>
      </w:pPr>
      <w:r>
        <w:rPr>
          <w:rFonts w:ascii="Times New Roman" w:cs="Times New Roman" w:eastAsia="Times New Roman" w:hAnsi="Times New Roman"/>
          <w:sz w:val="21"/>
          <w:szCs w:val="21"/>
          <w:b w:val="1"/>
          <w:bCs w:val="1"/>
          <w:color w:val="231F20"/>
        </w:rPr>
        <w:t xml:space="preserve">Fitchburg - Performance Base Rate Adjustment - Electric </w:t>
      </w:r>
      <w:r>
        <w:rPr>
          <w:rFonts w:ascii="Times New Roman" w:cs="Times New Roman" w:eastAsia="Times New Roman" w:hAnsi="Times New Roman"/>
          <w:sz w:val="21"/>
          <w:szCs w:val="21"/>
          <w:color w:val="231F20"/>
        </w:rPr>
        <w:t>- On February 28, 2025, Fitchburg filed its first</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Performance Based Revenue Adjustment (PBRA) for rates effective July 1, 2025. The calculated PBRA adjustment resulted in a distribution revenue increase of $1.6 million. On June 20, 2025, the MDPU issued an order approving the proposed increase effective July 1, 2025.</w:t>
      </w:r>
    </w:p>
    <w:p>
      <w:pPr>
        <w:spacing w:after="0" w:line="185" w:lineRule="exact"/>
        <w:rPr>
          <w:sz w:val="20"/>
          <w:szCs w:val="20"/>
          <w:color w:val="auto"/>
        </w:rPr>
      </w:pPr>
    </w:p>
    <w:p>
      <w:pPr>
        <w:ind w:firstLine="619"/>
        <w:spacing w:after="0" w:line="242" w:lineRule="auto"/>
        <w:rPr>
          <w:sz w:val="20"/>
          <w:szCs w:val="20"/>
          <w:color w:val="auto"/>
        </w:rPr>
      </w:pPr>
      <w:r>
        <w:rPr>
          <w:rFonts w:ascii="Times New Roman" w:cs="Times New Roman" w:eastAsia="Times New Roman" w:hAnsi="Times New Roman"/>
          <w:sz w:val="21"/>
          <w:szCs w:val="21"/>
          <w:b w:val="1"/>
          <w:bCs w:val="1"/>
          <w:color w:val="231F20"/>
        </w:rPr>
        <w:t xml:space="preserve">Fitchburg - Base Rates - Gas - </w:t>
      </w:r>
      <w:r>
        <w:rPr>
          <w:rFonts w:ascii="Times New Roman" w:cs="Times New Roman" w:eastAsia="Times New Roman" w:hAnsi="Times New Roman"/>
          <w:sz w:val="21"/>
          <w:szCs w:val="21"/>
          <w:color w:val="231F20"/>
        </w:rPr>
        <w:t>On August 17, 2023, Fitchburg filed a petition with the MDPU seeking approval for a</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$10.9 million increase to base distribution rates, with new rates anticipated to be effective July 1, 2024. Fitchburg proposed to transfer $4.2 million in revenue requirements recovered through its Gas System Enhancement Program to base distribution rates. Net of these transfers, the proposed overall increase to distribution revenues was $ 6.7 million. As part of this filing, Fitchburg requested approval for a PBR plan for up to a five-year term and continuation of its revenue decoupling mechanism. On June 28, 2024, the MDPU issued an Order providing for a $10.1 million increase to base rates, effective July 1, 2024. This includes a transfer of $4.9 million in costs from certain reconciling mechanisms to base distribution rates. In addition to authorizing an increase to base rates, the Order approved a PBR plan for up to a five-year term. The order approves continuation of the Company’s revenue decoupling mechanism but changes the structure from a revenue per customer benchmark to a total revenue cap. The Order provided for a return on equity of 9.4% and a capital structure reflecting 52% equity and 48% long-term debt. On July 5, 2024, the Company filed its compliance tariff filing and made further revisions as directed by the MDPU on July 15, 2024. On July 16, 2024, the MDPU approved its revised compliance filing. In its Order, the MDPU found that allowing the Company to recover pension and PBOP expense through its Pension/PBOP Adjustment mechanism is no longer warranted. Instead, the MDPU concluded that these expenses should be recovered in base distribution rates, the mechanism should be discontinued and any unrecovered expenses existing as of the effective date of new rates will be recovered over two years. On July 18, 2024, the Company filed a Motion for Reconsideration and Recalculation requesting that the MDPU reconsider its decision to require the Company to absorb $1.4 million in negative excess ADIT because the effect of the Order was to inappropriately claw back amounts that were previously approved by the MDPU for recovery from customers. On November</w:t>
      </w:r>
    </w:p>
    <w:p>
      <w:pPr>
        <w:sectPr>
          <w:pgSz w:w="12240" w:h="15840" w:orient="portrait"/>
          <w:cols w:equalWidth="0" w:num="1">
            <w:col w:w="10800"/>
          </w:cols>
          <w:pgMar w:left="720" w:top="929" w:right="720" w:bottom="188"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72</w:t>
      </w:r>
    </w:p>
    <w:p>
      <w:pPr>
        <w:sectPr>
          <w:pgSz w:w="12240" w:h="15840" w:orient="portrait"/>
          <w:cols w:equalWidth="0" w:num="1">
            <w:col w:w="10800"/>
          </w:cols>
          <w:pgMar w:left="720" w:top="929" w:right="720" w:bottom="188" w:gutter="0" w:footer="0" w:header="0"/>
          <w:type w:val="continuous"/>
        </w:sectPr>
      </w:pPr>
    </w:p>
    <w:bookmarkStart w:id="92" w:name="page93"/>
    <w:bookmarkEnd w:id="92"/>
    <w:p>
      <w:pPr>
        <w:ind w:right="160"/>
        <w:spacing w:after="0" w:line="247" w:lineRule="auto"/>
        <w:rPr>
          <w:sz w:val="20"/>
          <w:szCs w:val="20"/>
          <w:color w:val="auto"/>
        </w:rPr>
      </w:pPr>
      <w:r>
        <w:rPr>
          <w:rFonts w:ascii="Times New Roman" w:cs="Times New Roman" w:eastAsia="Times New Roman" w:hAnsi="Times New Roman"/>
          <w:sz w:val="21"/>
          <w:szCs w:val="21"/>
          <w:color w:val="231F20"/>
        </w:rPr>
        <w:t>26, 2024, the MDPU issued an Order on the Company’s motion holding, in part, that Pension/PBOP expenses shall be recovered in base distribution rates. On December 9, 2024, the Company filed an appeal with Massachusetts Supreme Judicial Court on the grounds that the MDPU’s Order unlawfully denies the Company’s recovery of approximately $1.4 million of negative, excess ADIT. The amount of $1.4 million is disaggregated between the Company’s Gas Division ($0.6 million) and the Electric Division ($0.8 million). This appeal is pending. The ruling on November 26, 2024 approved certain other recalculations, resulting in an additional increase to gas base rates of $0.1 million effective December 1, 2024.</w:t>
      </w:r>
    </w:p>
    <w:p>
      <w:pPr>
        <w:spacing w:after="0" w:line="195" w:lineRule="exact"/>
        <w:rPr>
          <w:sz w:val="20"/>
          <w:szCs w:val="20"/>
          <w:color w:val="auto"/>
        </w:rPr>
      </w:pPr>
    </w:p>
    <w:p>
      <w:pPr>
        <w:jc w:val="both"/>
        <w:ind w:right="380" w:firstLine="619"/>
        <w:spacing w:after="0" w:line="261" w:lineRule="auto"/>
        <w:rPr>
          <w:sz w:val="20"/>
          <w:szCs w:val="20"/>
          <w:color w:val="auto"/>
        </w:rPr>
      </w:pPr>
      <w:r>
        <w:rPr>
          <w:rFonts w:ascii="Times New Roman" w:cs="Times New Roman" w:eastAsia="Times New Roman" w:hAnsi="Times New Roman"/>
          <w:sz w:val="21"/>
          <w:szCs w:val="21"/>
          <w:b w:val="1"/>
          <w:bCs w:val="1"/>
          <w:color w:val="231F20"/>
        </w:rPr>
        <w:t xml:space="preserve">Fitchburg - Performance Base Rate Adjustment - Gas </w:t>
      </w:r>
      <w:r>
        <w:rPr>
          <w:rFonts w:ascii="Times New Roman" w:cs="Times New Roman" w:eastAsia="Times New Roman" w:hAnsi="Times New Roman"/>
          <w:sz w:val="21"/>
          <w:szCs w:val="21"/>
          <w:color w:val="231F20"/>
        </w:rPr>
        <w:t>- On February 28, 2025, Fitchburg filed its first PBRA for</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rates effective July 1, 2025. The calculated PBRA adjustment resulted in a distribution revenue increase of $0.7 million. On June 20, 2025, the MDPU issued an order approving the proposed increase effective July 1, 2025.</w:t>
      </w:r>
    </w:p>
    <w:p>
      <w:pPr>
        <w:spacing w:after="0" w:line="178" w:lineRule="exact"/>
        <w:rPr>
          <w:sz w:val="20"/>
          <w:szCs w:val="20"/>
          <w:color w:val="auto"/>
        </w:rPr>
      </w:pPr>
    </w:p>
    <w:p>
      <w:pPr>
        <w:ind w:right="60" w:firstLine="619"/>
        <w:spacing w:after="0" w:line="242" w:lineRule="auto"/>
        <w:rPr>
          <w:sz w:val="20"/>
          <w:szCs w:val="20"/>
          <w:color w:val="auto"/>
        </w:rPr>
      </w:pPr>
      <w:r>
        <w:rPr>
          <w:rFonts w:ascii="Times New Roman" w:cs="Times New Roman" w:eastAsia="Times New Roman" w:hAnsi="Times New Roman"/>
          <w:sz w:val="21"/>
          <w:szCs w:val="21"/>
          <w:b w:val="1"/>
          <w:bCs w:val="1"/>
          <w:color w:val="231F20"/>
        </w:rPr>
        <w:t xml:space="preserve">Fitchburg - Gas System Enhancement Program </w:t>
      </w:r>
      <w:r>
        <w:rPr>
          <w:rFonts w:ascii="Times New Roman" w:cs="Times New Roman" w:eastAsia="Times New Roman" w:hAnsi="Times New Roman"/>
          <w:sz w:val="21"/>
          <w:szCs w:val="21"/>
          <w:color w:val="231F20"/>
        </w:rPr>
        <w:t>- Pursuant to statute and MDPU order, Fitchburg has an approved</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Gas System Enhancement Plan (GSEP) tariff through which it may recover certain gas infrastructure replacement and safety related investment costs, subject to an annual cap. Under the plan, the Company is required to make two annual filings with the MDPU: a forward-looking filing for the subsequent construction year, to be filed on or before October 31; and a filing, submitted on or before May 1, of final project documentation for projects completed during the prior year, demonstrating substantial compliance with its plan in effect for that year and showing that project costs were reasonably and prudently incurred. Fitchburg’s forward-looking cumulative revenue requirement filing, filed on October 31, 2024, requested recovery of approximately $3.5 million associated with 2023-2025 year investments. On April 30, 2025, the MDPU issued an Order approving Fitchburg’s 2025 GSEP and associated revenue requirement of approximately $ 3.5 million with an additional $1.6 million in prior deferrals for a total of approximately $5.1 million to be recovered through the Gas System Enhancement Adjustment Factors for effect May 1, 2025. However, the MDPU also took steps to “substantially reform the GSEP process,” including (but not limited to): reducing the currently applicable revenue cap on recovery from 3.0% to 2.5% for the 2025 GSEPs, with “likely” further reductions to 2.0% for the 2026 GSEPs and 1.5% for the 2027 GSEPs; and eliminating carrying charges on GSEP deferrals. On May 20, 2025, Fitchburg filed a motion for reconsideration and / or clarification regarding application of the reduced cap to a Fitchburg specific project, and joined a joint motion for reconsideration and / or clarification with other Massachusetts Electric Distribution Companies (EDCs) regarding aspects of the Order applicable to all Massachusetts companies. On August 26, 2025, the MDPU issued an order denying the motions for reconsideration and clarification. The Company filed its most recent forward-looking cumulative revenue requirement filing on October 31, 2025, requesting recovery of approximately $5.4 million with an additional $1.0 million in prior deferrals for a total of approximately $6.4 million to be recovered through the Gas System Enhancement Adjustment Factors for effect May 1, 2026. This matter remains pending.</w:t>
      </w:r>
    </w:p>
    <w:p>
      <w:pPr>
        <w:spacing w:after="0" w:line="200" w:lineRule="exact"/>
        <w:rPr>
          <w:sz w:val="20"/>
          <w:szCs w:val="20"/>
          <w:color w:val="auto"/>
        </w:rPr>
      </w:pPr>
    </w:p>
    <w:p>
      <w:pPr>
        <w:ind w:right="80" w:firstLine="619"/>
        <w:spacing w:after="0" w:line="245" w:lineRule="auto"/>
        <w:rPr>
          <w:sz w:val="20"/>
          <w:szCs w:val="20"/>
          <w:color w:val="auto"/>
        </w:rPr>
      </w:pPr>
      <w:r>
        <w:rPr>
          <w:rFonts w:ascii="Times New Roman" w:cs="Times New Roman" w:eastAsia="Times New Roman" w:hAnsi="Times New Roman"/>
          <w:sz w:val="21"/>
          <w:szCs w:val="21"/>
          <w:b w:val="1"/>
          <w:bCs w:val="1"/>
          <w:color w:val="231F20"/>
        </w:rPr>
        <w:t xml:space="preserve">Granite State - Base Rates </w:t>
      </w:r>
      <w:r>
        <w:rPr>
          <w:rFonts w:ascii="Times New Roman" w:cs="Times New Roman" w:eastAsia="Times New Roman" w:hAnsi="Times New Roman"/>
          <w:sz w:val="21"/>
          <w:szCs w:val="21"/>
          <w:color w:val="231F20"/>
        </w:rPr>
        <w:t>- On October 4, 2024, Granite State filed an uncontested rate settlement with the FERC</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which provides for an increase in annual revenues of $ 3.0 million, effective November 1, 2024. The Settlement Agreement permits the filing of limited Section 4 rate adjustments for capital cost projects eligible for cost recovery in 2025, 2026, and 2027, and sets forth an overall cap of $29.9 million on the capital costs recoverable under such filings. Under the Settlement Agreement, Granite State may not file a new general rate case earlier than April 30, 2028 with rates to be effective no earlier than September 1, 2028 based on a test year ending no earlier than December 31, 2027. On November 25, 2024, the FERC approved Granite State’s filing. As authorized by the Settlement Agreement, on July 29, 2025, Granite State filed a limited Section 4 rate adjustment for an annual revenue increase of $1.2 million, effective September 1, 2025. On August 13, 2025, the FERC approved this filing.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Other Matters</w:t>
      </w:r>
    </w:p>
    <w:p>
      <w:pPr>
        <w:spacing w:after="0" w:line="242" w:lineRule="exact"/>
        <w:rPr>
          <w:sz w:val="20"/>
          <w:szCs w:val="20"/>
          <w:color w:val="auto"/>
        </w:rPr>
      </w:pPr>
    </w:p>
    <w:p>
      <w:pPr>
        <w:ind w:right="40" w:firstLine="619"/>
        <w:spacing w:after="0" w:line="254" w:lineRule="auto"/>
        <w:rPr>
          <w:sz w:val="20"/>
          <w:szCs w:val="20"/>
          <w:color w:val="auto"/>
        </w:rPr>
      </w:pPr>
      <w:r>
        <w:rPr>
          <w:rFonts w:ascii="Times New Roman" w:cs="Times New Roman" w:eastAsia="Times New Roman" w:hAnsi="Times New Roman"/>
          <w:sz w:val="21"/>
          <w:szCs w:val="21"/>
          <w:b w:val="1"/>
          <w:bCs w:val="1"/>
          <w:color w:val="231F20"/>
        </w:rPr>
        <w:t xml:space="preserve">Unitil Energy - Proposal to Construct Utility-Scale Solar Facility - </w:t>
      </w:r>
      <w:r>
        <w:rPr>
          <w:rFonts w:ascii="Times New Roman" w:cs="Times New Roman" w:eastAsia="Times New Roman" w:hAnsi="Times New Roman"/>
          <w:sz w:val="21"/>
          <w:szCs w:val="21"/>
          <w:color w:val="231F20"/>
        </w:rPr>
        <w:t>On October 31, 2022, Unitil Energy submitted a</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petition to the NHPUC for review of Unitil Energy’s proposal to construct, own, and operate a 4.99 MW utility-scale photovoltaic generating facility, which was subsequently revised to a 4.88 MW facility. On May 1, 2023, the NHPUC issued an Order approving the Company's petition.</w:t>
      </w:r>
    </w:p>
    <w:p>
      <w:pPr>
        <w:spacing w:after="0" w:line="189" w:lineRule="exact"/>
        <w:rPr>
          <w:sz w:val="20"/>
          <w:szCs w:val="20"/>
          <w:color w:val="auto"/>
        </w:rPr>
      </w:pPr>
    </w:p>
    <w:p>
      <w:pPr>
        <w:ind w:right="280" w:firstLine="619"/>
        <w:spacing w:after="0" w:line="279" w:lineRule="auto"/>
        <w:rPr>
          <w:sz w:val="20"/>
          <w:szCs w:val="20"/>
          <w:color w:val="auto"/>
        </w:rPr>
      </w:pPr>
      <w:r>
        <w:rPr>
          <w:rFonts w:ascii="Times New Roman" w:cs="Times New Roman" w:eastAsia="Times New Roman" w:hAnsi="Times New Roman"/>
          <w:sz w:val="21"/>
          <w:szCs w:val="21"/>
          <w:color w:val="231F20"/>
        </w:rPr>
        <w:t>The facility became fully commissioned in May 2025. Unitil Energy has included a cost recovery proposal associated with the solar facility as part of its pending base rate proceeding filing.</w:t>
      </w:r>
    </w:p>
    <w:p>
      <w:pPr>
        <w:spacing w:after="0" w:line="159"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21"/>
          <w:szCs w:val="21"/>
          <w:b w:val="1"/>
          <w:bCs w:val="1"/>
          <w:color w:val="231F20"/>
        </w:rPr>
        <w:t xml:space="preserve">Unitil Energy - Major Storm Cost Reserve Recovery - </w:t>
      </w:r>
      <w:r>
        <w:rPr>
          <w:rFonts w:ascii="Times New Roman" w:cs="Times New Roman" w:eastAsia="Times New Roman" w:hAnsi="Times New Roman"/>
          <w:sz w:val="21"/>
          <w:szCs w:val="21"/>
          <w:color w:val="231F20"/>
        </w:rPr>
        <w:t>On February 28, 2025, Unitil Energy filed a request with the</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NHPUC to increase its Storm Recovery Adjustment Factor (SRAF) effective August 1, 2025. The Company proposed to reduce its Major Storm Cost Reserve deferral balance by transferring its April 2024 Nor’easter costs of approximately $1.8 million into</w:t>
      </w:r>
    </w:p>
    <w:p>
      <w:pPr>
        <w:sectPr>
          <w:pgSz w:w="12240" w:h="15840" w:orient="portrait"/>
          <w:cols w:equalWidth="0" w:num="1">
            <w:col w:w="10780"/>
          </w:cols>
          <w:pgMar w:left="720" w:top="929" w:right="740" w:bottom="188" w:gutter="0" w:footer="0" w:header="0"/>
        </w:sect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73</w:t>
      </w:r>
    </w:p>
    <w:p>
      <w:pPr>
        <w:sectPr>
          <w:pgSz w:w="12240" w:h="15840" w:orient="portrait"/>
          <w:cols w:equalWidth="0" w:num="1">
            <w:col w:w="10780"/>
          </w:cols>
          <w:pgMar w:left="720" w:top="929" w:right="740" w:bottom="188" w:gutter="0" w:footer="0" w:header="0"/>
          <w:type w:val="continuous"/>
        </w:sectPr>
      </w:pPr>
    </w:p>
    <w:bookmarkStart w:id="93" w:name="page94"/>
    <w:bookmarkEnd w:id="93"/>
    <w:p>
      <w:pPr>
        <w:ind w:right="600"/>
        <w:spacing w:after="0" w:line="305" w:lineRule="auto"/>
        <w:rPr>
          <w:sz w:val="20"/>
          <w:szCs w:val="20"/>
          <w:color w:val="auto"/>
        </w:rPr>
      </w:pPr>
      <w:r>
        <w:rPr>
          <w:rFonts w:ascii="Times New Roman" w:cs="Times New Roman" w:eastAsia="Times New Roman" w:hAnsi="Times New Roman"/>
          <w:sz w:val="20"/>
          <w:szCs w:val="20"/>
          <w:color w:val="231F20"/>
        </w:rPr>
        <w:t>the SRAF and recover the cost over the next three years. On June 27, 2025, the New Hampshire DOE filed a statement in support of the Company’s request. On August 29, 2025, the NHPUC issued an order approving the Company’s request.</w:t>
      </w:r>
    </w:p>
    <w:p>
      <w:pPr>
        <w:spacing w:after="0" w:line="134"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21"/>
          <w:szCs w:val="21"/>
          <w:b w:val="1"/>
          <w:bCs w:val="1"/>
          <w:color w:val="231F20"/>
        </w:rPr>
        <w:t xml:space="preserve">Massachusetts Inquiry into Gas and Electric Delivery Charge and Bill Redesign - </w:t>
      </w:r>
      <w:r>
        <w:rPr>
          <w:rFonts w:ascii="Times New Roman" w:cs="Times New Roman" w:eastAsia="Times New Roman" w:hAnsi="Times New Roman"/>
          <w:sz w:val="21"/>
          <w:szCs w:val="21"/>
          <w:color w:val="231F20"/>
        </w:rPr>
        <w:t>On December 15, 2025, the</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MDPU opened an investigation to conduct a comprehensive review of gas and electric delivery rates and charges with the aims of containing customer costs, reducing utility bill volatility, and increasing utility bill transparency and accessibility. Each Distribution Company has been directed to submit a report that includes certain requested information regarding delivery related reconciling mechanisms and costs by February 13, 2026. The MDPU also seeks written comments from the Distribution Companies and other interested stakeholders responding to a list of questions regarding delivery related reconciling charges on April 14, 2026. Reply comments are due on May 14, 2026.</w:t>
      </w:r>
    </w:p>
    <w:p>
      <w:pPr>
        <w:spacing w:after="0" w:line="196" w:lineRule="exact"/>
        <w:rPr>
          <w:sz w:val="20"/>
          <w:szCs w:val="20"/>
          <w:color w:val="auto"/>
        </w:rPr>
      </w:pPr>
    </w:p>
    <w:p>
      <w:pPr>
        <w:ind w:right="40" w:firstLine="619"/>
        <w:spacing w:after="0" w:line="260" w:lineRule="auto"/>
        <w:rPr>
          <w:sz w:val="20"/>
          <w:szCs w:val="20"/>
          <w:color w:val="auto"/>
        </w:rPr>
      </w:pPr>
      <w:r>
        <w:rPr>
          <w:rFonts w:ascii="Times New Roman" w:cs="Times New Roman" w:eastAsia="Times New Roman" w:hAnsi="Times New Roman"/>
          <w:sz w:val="20"/>
          <w:szCs w:val="20"/>
          <w:color w:val="231F20"/>
        </w:rPr>
        <w:t>As a second phase of this investigation, the MDPU will investigate how to redesign utility bills to enhance customer knowledge, agency, and responsiveness to price and policy signals. The MPDU has also indicated its intent to open investigations as follows: 1) in response to the Department of Energy Resources’ (“DOER”) petition requesting an investigation into electric rate design and regulatory mechanisms, 2) to investigate reporting of AMI interval data to ISO New England for load settlement and capacity tag calculations, accelerated switching, and dynamic rate-ready TVR offered by competitive suppliers and municipal aggregators, and 3) to examine the utilities’ current practices and recent performance in customer billing and determine whether the current billing and termination regulations are sufficient to ensure consumer protection.</w:t>
      </w:r>
    </w:p>
    <w:p>
      <w:pPr>
        <w:spacing w:after="0" w:line="184" w:lineRule="exact"/>
        <w:rPr>
          <w:sz w:val="20"/>
          <w:szCs w:val="20"/>
          <w:color w:val="auto"/>
        </w:rPr>
      </w:pPr>
    </w:p>
    <w:p>
      <w:pPr>
        <w:ind w:right="20" w:firstLine="619"/>
        <w:spacing w:after="0" w:line="242" w:lineRule="auto"/>
        <w:rPr>
          <w:sz w:val="20"/>
          <w:szCs w:val="20"/>
          <w:color w:val="auto"/>
        </w:rPr>
      </w:pPr>
      <w:r>
        <w:rPr>
          <w:rFonts w:ascii="Times New Roman" w:cs="Times New Roman" w:eastAsia="Times New Roman" w:hAnsi="Times New Roman"/>
          <w:sz w:val="21"/>
          <w:szCs w:val="21"/>
          <w:b w:val="1"/>
          <w:bCs w:val="1"/>
          <w:color w:val="231F20"/>
        </w:rPr>
        <w:t xml:space="preserve">Massachusetts Solar Massachusetts Renewable Target Program (SMART) 3.0 </w:t>
      </w:r>
      <w:r>
        <w:rPr>
          <w:rFonts w:ascii="Times New Roman" w:cs="Times New Roman" w:eastAsia="Times New Roman" w:hAnsi="Times New Roman"/>
          <w:sz w:val="21"/>
          <w:szCs w:val="21"/>
          <w:color w:val="231F20"/>
        </w:rPr>
        <w:t>- On November 21, 2025, the EDCs</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jointly filed a new tariff (the SMART 3.0 Tariff) with the MDPU to implement the SMART 3.0 Program regulations 225 C.M.R. 28.00, which were filed with the Secretary of State on September 12, 2025 (SMART Regulations). The SMART Program, which was first implemented in 2017, establishes a voluntary statewide solar incentive program under the direction of the DOER. In 2020, the DOER revised its SMART Program regulations, 225 C.M.R. 20.00 -- an update commonly referred to as SMART 2.0. The SMART Program relies on the EDCs to issue incentive payments and alternative on-bill credits to participating customers. Accordingly, the EDCs are seeking approval of revised SMART Tariffs. SMART 3.0 replaces the structure of the initial SMART Program, a declining block incentive program, with a program that contains capacity targets and incentive rates adjusted annually by the DOER. SMART 3.0 Program incentives will be paid over a 20 year term and will vary based on a project’s category and capacity. On January 9, 2026, the EDCs supplemented their filing to provide updated program costs estimates reflecting SMART 3.0 applications received in program year 2025 and assuming full enrollment of all available capacity in program year 2026. Because program year 2025 application levels were significantly lower than the maximum capacity quantities across the EDCs, this resulted in a decrease in estimated maximum statewide costs from $6.7 billion to $4.5 billion over 20 years. Fitchburg’s estimated maximum cost is $191 million over 20 years. The cost projections are illustrative and intended to give the MDPU a sense of scale of the potential long-term costs of the SMART 3.0 Program. The EDCs are not seeking approval of specific costs at this time. The EDCs recover SMART Program costs from all distribution customers through the SMART factor, which is set forth in its current SMART tariff and is updated annually. This matter remains pending.</w:t>
      </w:r>
    </w:p>
    <w:p>
      <w:pPr>
        <w:spacing w:after="0" w:line="206" w:lineRule="exact"/>
        <w:rPr>
          <w:sz w:val="20"/>
          <w:szCs w:val="20"/>
          <w:color w:val="auto"/>
        </w:rPr>
      </w:pPr>
    </w:p>
    <w:p>
      <w:pPr>
        <w:ind w:right="40" w:firstLine="619"/>
        <w:spacing w:after="0" w:line="242" w:lineRule="auto"/>
        <w:rPr>
          <w:sz w:val="20"/>
          <w:szCs w:val="20"/>
          <w:color w:val="auto"/>
        </w:rPr>
      </w:pPr>
      <w:r>
        <w:rPr>
          <w:rFonts w:ascii="Times New Roman" w:cs="Times New Roman" w:eastAsia="Times New Roman" w:hAnsi="Times New Roman"/>
          <w:sz w:val="21"/>
          <w:szCs w:val="21"/>
          <w:b w:val="1"/>
          <w:bCs w:val="1"/>
          <w:color w:val="231F20"/>
        </w:rPr>
        <w:t xml:space="preserve">Fitchburg - Grid Modernization </w:t>
      </w:r>
      <w:r>
        <w:rPr>
          <w:rFonts w:ascii="Times New Roman" w:cs="Times New Roman" w:eastAsia="Times New Roman" w:hAnsi="Times New Roman"/>
          <w:sz w:val="21"/>
          <w:szCs w:val="21"/>
          <w:color w:val="231F20"/>
        </w:rPr>
        <w:t>- On July 1, 2021, Fitchburg submitted its Grid Modernization Plan (GMP) to the</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MDPU. The GMP includes a five-year strategic plan, including a plan for the full deployment of advanced metering functionality, and a four-year short-term investment plan, which focuses on foundational investments to facilitate the interconnection and integration of distributed energy resources, optimizing system performance through command and control and self-healing measures, and optimizing system demand by facilitating consumer price-responsiveness. On October 7, 2022, the MDPU issued a “Track 1” Order approving a budget cap of $9.3 million through 2025 for previously deployed or preauthorized grid modernization investments. On November 30, 2022, the MDPU issued its “Track 2” Order addressing new technologies and Advanced Metering Infrastructure (AMI) proposals. The MDPU preauthorizes a four-year $1.5 million budget for Fitchburg’s additional grid-facing investments. Any spending over the total budget cap is not eligible for targeted cost recovery through its Grid Modernization Factor (GMF), and instead, may be recovered by the Company in a base distribution rate proceeding subsequent to a prudency finding by the MDPU in a GMF filing or term review Order. The MDPU also preauthorized the Company’s AMI meter replacement investments, with a budget of $11.2 million through 2025. Additionally, the MDPU provided preliminary approval for the Company’s customer engagement and experience and data sharing platform investments, with a combined budget of $2.3 million through 2025. The Company may recover eligible costs incurred for preauthorized grid- facing investments and customer-facing investments that will be made during the 2022-2025 GMP term through the GMFs, subject to certain modifications to the Company’s GMF tariff and a final prudence review. The MDPU conducted a hearing on September 26, 2023 on the Company’s then-pending GMF filings and Grid Modernization Term Report. This matter remains pending.</w:t>
      </w:r>
    </w:p>
    <w:p>
      <w:pPr>
        <w:sectPr>
          <w:pgSz w:w="12240" w:h="15840" w:orient="portrait"/>
          <w:cols w:equalWidth="0" w:num="1">
            <w:col w:w="10800"/>
          </w:cols>
          <w:pgMar w:left="720" w:top="929" w:right="720" w:bottom="188"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74</w:t>
      </w:r>
    </w:p>
    <w:p>
      <w:pPr>
        <w:sectPr>
          <w:pgSz w:w="12240" w:h="15840" w:orient="portrait"/>
          <w:cols w:equalWidth="0" w:num="1">
            <w:col w:w="10800"/>
          </w:cols>
          <w:pgMar w:left="720" w:top="929" w:right="720" w:bottom="188" w:gutter="0" w:footer="0" w:header="0"/>
          <w:type w:val="continuous"/>
        </w:sectPr>
      </w:pPr>
    </w:p>
    <w:bookmarkStart w:id="94" w:name="page95"/>
    <w:bookmarkEnd w:id="94"/>
    <w:p>
      <w:pPr>
        <w:ind w:right="60" w:firstLine="619"/>
        <w:spacing w:after="0" w:line="246" w:lineRule="auto"/>
        <w:rPr>
          <w:sz w:val="20"/>
          <w:szCs w:val="20"/>
          <w:color w:val="auto"/>
        </w:rPr>
      </w:pPr>
      <w:r>
        <w:rPr>
          <w:rFonts w:ascii="Times New Roman" w:cs="Times New Roman" w:eastAsia="Times New Roman" w:hAnsi="Times New Roman"/>
          <w:sz w:val="21"/>
          <w:szCs w:val="21"/>
          <w:color w:val="231F20"/>
        </w:rPr>
        <w:t>In its Track 2 Order, the MDPU directed the Company and other EDCs to convene a statewide AMI stakeholder working group (AMI Working Group) to address the following issues: (1) customer and third-party access to customer usage data; (2) customer education and engagement; (3) billing of time varying rates (TVR) offered by competitive suppliers; and (4) AMI deployment strategies that may expedite the ability for competitive suppliers to offer TVR products. Additionally, the MDPU directed the EDCs to file quarterly status reports, including a final report that sets forth issues on which a consensus had been reached and those issues that remain to be resolved. On August 1, 2024, the EDCs filed a final report identifying where stakeholders were able and unable to reach consensus.</w:t>
      </w:r>
    </w:p>
    <w:p>
      <w:pPr>
        <w:spacing w:after="0" w:line="199"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1"/>
          <w:szCs w:val="21"/>
          <w:color w:val="231F20"/>
        </w:rPr>
        <w:t>On November 20, 2024, the MA Legislature enacted the 2024 Climate Act that, among other things, requires the EDCs to jointly establish a centralized data repository in a cost-effective manner as approved by the MDPU, to allow customers and third parties, including competitive suppliers, access to detailed AMI customer data in near-real time, subject to customer approval and protections. The EDCs must submit for MDPU approval a plan for the implementation of AMI data access protocols not later than one year after the effective date of the Act, i.e., by February 18, 2026, in conjunction with the centralized data repository. The Climate Act allows the EDCs to recover prudent and necessary expenses for the implementation of advanced metering data repositories and permits the MDPU to implement penalties for failure by the EDCs to meet implementation goals. The MDPU has opened a docket and provided substantive guidance in anticipation of the Company’s February 2026 filing.</w:t>
      </w:r>
    </w:p>
    <w:p>
      <w:pPr>
        <w:spacing w:after="0" w:line="201" w:lineRule="exact"/>
        <w:rPr>
          <w:sz w:val="20"/>
          <w:szCs w:val="20"/>
          <w:color w:val="auto"/>
        </w:rPr>
      </w:pPr>
    </w:p>
    <w:p>
      <w:pPr>
        <w:ind w:firstLine="619"/>
        <w:spacing w:after="0" w:line="242" w:lineRule="auto"/>
        <w:rPr>
          <w:sz w:val="20"/>
          <w:szCs w:val="20"/>
          <w:color w:val="auto"/>
        </w:rPr>
      </w:pPr>
      <w:r>
        <w:rPr>
          <w:rFonts w:ascii="Times New Roman" w:cs="Times New Roman" w:eastAsia="Times New Roman" w:hAnsi="Times New Roman"/>
          <w:sz w:val="21"/>
          <w:szCs w:val="21"/>
          <w:b w:val="1"/>
          <w:bCs w:val="1"/>
          <w:color w:val="231F20"/>
        </w:rPr>
        <w:t xml:space="preserve">Fitchburg - Grid Modernization Cost Recovery Factor </w:t>
      </w:r>
      <w:r>
        <w:rPr>
          <w:rFonts w:ascii="Times New Roman" w:cs="Times New Roman" w:eastAsia="Times New Roman" w:hAnsi="Times New Roman"/>
          <w:sz w:val="21"/>
          <w:szCs w:val="21"/>
          <w:color w:val="231F20"/>
        </w:rPr>
        <w:t>- On April 15, 2023, Fitchburg filed its GMF rate adjustment</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and reconciliation filing for recovery of the costs incurred as a result of implementing the Company’s 2022-2025 GMP, approved by the MDPU in Orders dated October 7, 2022 and November 30, 2022. On May 31, 2023, the MDPU approved, subject to further investigation and reconciliation, the cumulative recovery of $1.0 million associated with the Company’s 2022 GMP revenue requirement, effective June 1, 2023. The MDPU conducted a hearing on September 26, 2023 regarding the Company’s pending GMF filings and Grid Modernization Term Report. The matter remains pending. On April 15, 2024, Fitchburg filed its GMF rate adjustment and reconciliation filing for recovery of the costs incurred as a result of implementing the Company’s 2022-2025 GMP. On May 31, 2024, the MDPU approved, subject to further investigation and reconciliation, the cumulative recovery of $1.3 million associated with its 2023 revenue requirement, effective June 1, 2024. On June 28, 2024, the MDPU issued an Order in Fitchburg’s electric base rate case providing for the transfer of $1.6 million meter-related costs from base distribution rates to the GMF, effective July 1, 2024. On April 15, 2025, Fitchburg filed its GMF rate adjustment and reconciliation filing for recovery of the costs incurred as a result of implementing the Company’s 2022-2025 GMP and continued recovery of meter-related costs. This filing seeks recovery of $1.4 million associated with its 2024 GMP revenue requirement as well as $1.5 million associated with its 2024 meter-related costs, effective June 1, 2025. On May 30, 2025, the MDPU issued an order approving the Company’s proposed rate changes effective June 1, 2025 subject to further investigation and reconciliation. This matter remains pending.</w:t>
      </w:r>
    </w:p>
    <w:p>
      <w:pPr>
        <w:spacing w:after="0" w:line="210" w:lineRule="exact"/>
        <w:rPr>
          <w:sz w:val="20"/>
          <w:szCs w:val="20"/>
          <w:color w:val="auto"/>
        </w:rPr>
      </w:pPr>
    </w:p>
    <w:p>
      <w:pPr>
        <w:ind w:right="60" w:firstLine="619"/>
        <w:spacing w:after="0" w:line="243" w:lineRule="auto"/>
        <w:rPr>
          <w:sz w:val="20"/>
          <w:szCs w:val="20"/>
          <w:color w:val="auto"/>
        </w:rPr>
      </w:pPr>
      <w:r>
        <w:rPr>
          <w:rFonts w:ascii="Times New Roman" w:cs="Times New Roman" w:eastAsia="Times New Roman" w:hAnsi="Times New Roman"/>
          <w:sz w:val="21"/>
          <w:szCs w:val="21"/>
          <w:b w:val="1"/>
          <w:bCs w:val="1"/>
          <w:color w:val="231F20"/>
        </w:rPr>
        <w:t xml:space="preserve">Fitchburg - Investigation into the role of gas LDCs to achieve Commonwealth 2050 climate goals </w:t>
      </w:r>
      <w:r>
        <w:rPr>
          <w:rFonts w:ascii="Times New Roman" w:cs="Times New Roman" w:eastAsia="Times New Roman" w:hAnsi="Times New Roman"/>
          <w:sz w:val="21"/>
          <w:szCs w:val="21"/>
          <w:color w:val="231F20"/>
        </w:rPr>
        <w:t>- On December</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6, 2023, the MDPU issued an Order announcing a regulatory framework intended to set forth its role and that of the LDCs in helping the Commonwealth achieve its target of net-zero GHG emissions by 2050. In this proceeding, the MDPU reviewed eight potential decarbonization “pathways” and six regulatory design recommendations intended to facilitate the Commonwealth’s transition. The MDPU made no specific findings as to a preferred pathway or technology, but did make specific findings regarding regulatory design recommendations. The MDPU emphasized that the Order is not intended to jeopardize the rate recovery of existing investments in natural gas infrastructure by Fitchburg. As part of future cost recovery proposals, LDCs will bear the burden of demonstrating that non-gas pipeline alternatives (NPAs) were adequately considered and found to be non-viable or cost prohibitive to receive full cost recovery of investments. The MDPU further found that the “clean energy transition” will require coordinated planning between LDCs and electric distribution companies, monitoring progress through LDC reporting, and aligning existing MDPU practices with climate targets. To that end, the MDPU ordered the LDCs to submit individual Climate Compliance Plans (CCP) every five years beginning in 2025, and to propose climate compliance performance metrics in upcoming performance-based regulation filings, ensuring a proactive approach to achieving climate targets.</w:t>
      </w:r>
    </w:p>
    <w:p>
      <w:pPr>
        <w:spacing w:after="0" w:line="204" w:lineRule="exact"/>
        <w:rPr>
          <w:sz w:val="20"/>
          <w:szCs w:val="20"/>
          <w:color w:val="auto"/>
        </w:rPr>
      </w:pPr>
    </w:p>
    <w:p>
      <w:pPr>
        <w:ind w:right="160" w:firstLine="619"/>
        <w:spacing w:after="0" w:line="247" w:lineRule="auto"/>
        <w:rPr>
          <w:sz w:val="20"/>
          <w:szCs w:val="20"/>
          <w:color w:val="auto"/>
        </w:rPr>
      </w:pPr>
      <w:r>
        <w:rPr>
          <w:rFonts w:ascii="Times New Roman" w:cs="Times New Roman" w:eastAsia="Times New Roman" w:hAnsi="Times New Roman"/>
          <w:sz w:val="21"/>
          <w:szCs w:val="21"/>
          <w:color w:val="231F20"/>
        </w:rPr>
        <w:t>On December 29, 2023, the LDCs filed a Joint Motion for Clarification. The Joint Motion requested clarification of three issues: (1) the MDPU’s directive concerning the NPAs analysis; (2) the timetable for establishing ‘incentives and disincentives’ for progress toward compliance with Climate Act mandates as part of a PBR framework and achievement of approved Climate Compliance Plans; and (3) the methodology for emissions reduction accounting for Climate Compliance Plans, with particular attention to Scope 1 and Scope 3 emissions accounting. On April 2, 2024, the MDPU issued an Order on the LDCs’ Joint Motion. In its Order, the MDPU clarified, among other things, that NPA analyses should be applied at the</w:t>
      </w:r>
    </w:p>
    <w:p>
      <w:pPr>
        <w:sectPr>
          <w:pgSz w:w="12240" w:h="15840" w:orient="portrait"/>
          <w:cols w:equalWidth="0" w:num="1">
            <w:col w:w="10800"/>
          </w:cols>
          <w:pgMar w:left="720" w:top="929" w:right="720" w:bottom="188"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75</w:t>
      </w:r>
    </w:p>
    <w:p>
      <w:pPr>
        <w:sectPr>
          <w:pgSz w:w="12240" w:h="15840" w:orient="portrait"/>
          <w:cols w:equalWidth="0" w:num="1">
            <w:col w:w="10800"/>
          </w:cols>
          <w:pgMar w:left="720" w:top="929" w:right="720" w:bottom="188" w:gutter="0" w:footer="0" w:header="0"/>
          <w:type w:val="continuous"/>
        </w:sectPr>
      </w:pPr>
    </w:p>
    <w:bookmarkStart w:id="95" w:name="page96"/>
    <w:bookmarkEnd w:id="95"/>
    <w:p>
      <w:pPr>
        <w:ind w:right="280"/>
        <w:spacing w:after="0" w:line="253" w:lineRule="auto"/>
        <w:rPr>
          <w:sz w:val="20"/>
          <w:szCs w:val="20"/>
          <w:color w:val="auto"/>
        </w:rPr>
      </w:pPr>
      <w:r>
        <w:rPr>
          <w:rFonts w:ascii="Times New Roman" w:cs="Times New Roman" w:eastAsia="Times New Roman" w:hAnsi="Times New Roman"/>
          <w:sz w:val="21"/>
          <w:szCs w:val="21"/>
          <w:color w:val="231F20"/>
        </w:rPr>
        <w:t>project level to all investment decisions going forward, and should be considered at project planning stage; that pending an approved NPA framework, LDCs should make all reasonable efforts to incorporate NPA analyses into investment decisions; and that LDCs will have the burden to demonstrate the prudence of implementing a traditional project instead of a NPA. The MDPU did not expressly exempt any category of project from the NPA analysis requirement.</w:t>
      </w:r>
    </w:p>
    <w:p>
      <w:pPr>
        <w:spacing w:after="0" w:line="188" w:lineRule="exact"/>
        <w:rPr>
          <w:sz w:val="20"/>
          <w:szCs w:val="20"/>
          <w:color w:val="auto"/>
        </w:rPr>
      </w:pPr>
    </w:p>
    <w:p>
      <w:pPr>
        <w:ind w:right="80" w:firstLine="619"/>
        <w:spacing w:after="0" w:line="243" w:lineRule="auto"/>
        <w:rPr>
          <w:sz w:val="20"/>
          <w:szCs w:val="20"/>
          <w:color w:val="auto"/>
        </w:rPr>
      </w:pPr>
      <w:r>
        <w:rPr>
          <w:rFonts w:ascii="Times New Roman" w:cs="Times New Roman" w:eastAsia="Times New Roman" w:hAnsi="Times New Roman"/>
          <w:sz w:val="21"/>
          <w:szCs w:val="21"/>
          <w:color w:val="231F20"/>
        </w:rPr>
        <w:t>On June 14, 2024, the MDPU directed the LDCs to provide certain information regarding the companies’ line extension policies for customers requesting new service. The LDCs provided responsive information on August 13, 2024; various interested parties provided comments on the companies’ policies on October 11, 2024, and the LDCs, including Fitchburg, provided reply comments on February 27, 2025. On February 5, 2025, the MDPU issued a memorandum setting a draft line extension policy that would require customers seeking new gas service to pay the entire cost of connecting to the distribution system. The Company provided comments on the draft policy on April 3, 2025. On August 8, 2025, the MDPU issued an Interlocutory Order on Policies and Practices for Line Extension Allowances and Contributions In Aid of Construction for Gas Local Distribution Companies setting forth a revised Straw Proposal that would require customers seeking new gas service to pay the entire cost of connecting to the distribution system, subject to certain exceptions and requiring the LDCs to submit model tariffs incorporating the revised policy. The LDCs sought clarification of the Order’s finality and a stay of the Order’s effect. On September 5, 2025, the MDPU issued an Order on the LDCs’ motion, clarifying that the Interlocutory Order is not a final decision, the MDPU has not resolved issues concerning line extension allowance policies, and the LDCs and intervenors will have the opportunity to litigate the line extension allowance issues in the CCP proceedings. The MDPU retained its direction that the LDCs file illustrative tariff revisions.</w:t>
      </w:r>
    </w:p>
    <w:p>
      <w:pPr>
        <w:spacing w:after="0" w:line="198"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21"/>
          <w:szCs w:val="21"/>
          <w:color w:val="231F20"/>
        </w:rPr>
        <w:t>On April 1, 2025, Fitchburg filed its first CCP. The Company’s plan presents a portfolio of initiatives that will help the Commonwealth meet its decarbonization goals over the next five-to-ten years, while maintaining a focus on customers’ long-term interests in safety, reliability, affordability, and equity. Fitchburg also filed a model CCP Tariff to establish a cost recovery mechanism for the development and implementation of the CCP, including costs associated with assessing and implementing NPAs. This matter remains pending.</w:t>
      </w:r>
    </w:p>
    <w:p>
      <w:pPr>
        <w:spacing w:after="0" w:line="192" w:lineRule="exact"/>
        <w:rPr>
          <w:sz w:val="20"/>
          <w:szCs w:val="20"/>
          <w:color w:val="auto"/>
        </w:rPr>
      </w:pPr>
    </w:p>
    <w:p>
      <w:pPr>
        <w:ind w:firstLine="619"/>
        <w:spacing w:after="0" w:line="241" w:lineRule="auto"/>
        <w:rPr>
          <w:sz w:val="20"/>
          <w:szCs w:val="20"/>
          <w:color w:val="auto"/>
        </w:rPr>
      </w:pPr>
      <w:r>
        <w:rPr>
          <w:rFonts w:ascii="Times New Roman" w:cs="Times New Roman" w:eastAsia="Times New Roman" w:hAnsi="Times New Roman"/>
          <w:sz w:val="21"/>
          <w:szCs w:val="21"/>
          <w:b w:val="1"/>
          <w:bCs w:val="1"/>
          <w:color w:val="231F20"/>
        </w:rPr>
        <w:t xml:space="preserve">Fitchburg - Electric Sector Modernization Plan - </w:t>
      </w:r>
      <w:r>
        <w:rPr>
          <w:rFonts w:ascii="Times New Roman" w:cs="Times New Roman" w:eastAsia="Times New Roman" w:hAnsi="Times New Roman"/>
          <w:sz w:val="21"/>
          <w:szCs w:val="21"/>
          <w:color w:val="231F20"/>
        </w:rPr>
        <w:t>Pursuant to M.G.L. c. 164 § 92B, Fitchburg submitted a draft</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Electric Sector Modernization Plan (ESMP) to the statutorily created Massachusetts Grid Modernization Advisory Council (Council) for the Council’s review, input, and recommendations. The ESMP is a plan intended to upgrade the Company’s distribution system to enable and accommodate increased distributed energy resources (DERs) and electrification technologies, improve grid reliability and resiliency, and assist the Commonwealth in achieving climate goals, among other objectives. The Council provided recommendations on the ESMP in November 2023. The Company submitted its final ESMP to the MDPU on January 29, 2024. The Company concurrently submitted a proposal to recover, among other things, incremental costs associated with ESMP investments through an annual reconciling rate adjustment mechanism. On February 20, 2024, the MDPU issued an interlocutory order finding in part that “to the extent that the MDPU determines that accelerated cost recovery through annual reconciling mechanisms for proposed investments identified in the ESMPs is appropriate, we anticipate establishing the appropriate parameters for those mechanisms through a separate phase of these proceedings to be conducted after August 29, 2024.” On August 29, 2024, the MDPU issued a final order approving Fitchburg’s ESMP. Among other directives, the Order directs Fitchburg and other Massachusetts EDCs to conduct a stakeholder process related to long-term system planning related to forecasted DER interconnection and sets forth the criteria for biannual reports. The MDPU found it appropriate to allow Fitchburg and the other EDCs a short-term targeted cost recovery mechanism for ESMP costs. On December 18, 2024 Fitchburg filed a model ESMP tariff and a company-specific exemplar ESMP mechanism tariff, which describes the parameters of cost-recovery in the second phase of this proceeding. The MDPU conducted an evidentiary hearing on the Company’s proposal on March 12, 2025. On June 13, 2025, the MDPU issued an order which approved the Company’s requested ESMP costs, in part. The MDPU concluded that ESMP substation and distribution feeder investments are ineligible for recovery within the Company’s approved ESMP tariff, but are eligible for recovery under the PBRA. The Company’s resulting approved five year budget is $21.5 million. The Company’s compliance ESMP tariff was approved on July 3, 2025. On September 30, 2025, the Company submitted its first Biannual Report on ESMP investments. The Company informed the MDPU that it is collaborating with the other EDCs to develop a peak demand reduction methodology and template for the next biannual filing to be filed in March 2026.</w:t>
      </w:r>
    </w:p>
    <w:p>
      <w:pPr>
        <w:spacing w:after="0" w:line="220" w:lineRule="exact"/>
        <w:rPr>
          <w:sz w:val="20"/>
          <w:szCs w:val="20"/>
          <w:color w:val="auto"/>
        </w:rPr>
      </w:pPr>
    </w:p>
    <w:p>
      <w:pPr>
        <w:ind w:right="160" w:firstLine="619"/>
        <w:spacing w:after="0" w:line="249" w:lineRule="auto"/>
        <w:rPr>
          <w:sz w:val="20"/>
          <w:szCs w:val="20"/>
          <w:color w:val="auto"/>
        </w:rPr>
      </w:pPr>
      <w:r>
        <w:rPr>
          <w:rFonts w:ascii="Times New Roman" w:cs="Times New Roman" w:eastAsia="Times New Roman" w:hAnsi="Times New Roman"/>
          <w:sz w:val="21"/>
          <w:szCs w:val="21"/>
          <w:color w:val="231F20"/>
        </w:rPr>
        <w:t>The MDPU has indicated its intent to investigate how innovative approaches to cost recovery through base distribution rates can further the purpose of G.L. c. 164, § 92B, optimally balance the MDPU’s priorities, and promote efficiency. The MDPU stated that such a proceeding will likely require a lengthy inquiry to identify, analyze, and resolve many complex ratemaking issues. To help inform the subsequent proceeding(s), the MDPU requested comments from interested parties on items and issues that should be considered, including: (1) information and data on innovative approaches to cost recovery, in</w:t>
      </w:r>
    </w:p>
    <w:p>
      <w:pPr>
        <w:sectPr>
          <w:pgSz w:w="12240" w:h="15840" w:orient="portrait"/>
          <w:cols w:equalWidth="0" w:num="1">
            <w:col w:w="10780"/>
          </w:cols>
          <w:pgMar w:left="720" w:top="929" w:right="740" w:bottom="188"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76</w:t>
      </w:r>
    </w:p>
    <w:p>
      <w:pPr>
        <w:sectPr>
          <w:pgSz w:w="12240" w:h="15840" w:orient="portrait"/>
          <w:cols w:equalWidth="0" w:num="1">
            <w:col w:w="10780"/>
          </w:cols>
          <w:pgMar w:left="720" w:top="929" w:right="740" w:bottom="188" w:gutter="0" w:footer="0" w:header="0"/>
          <w:type w:val="continuous"/>
        </w:sectPr>
      </w:pPr>
    </w:p>
    <w:bookmarkStart w:id="96" w:name="page97"/>
    <w:bookmarkEnd w:id="96"/>
    <w:p>
      <w:pPr>
        <w:ind w:right="60"/>
        <w:spacing w:after="0" w:line="247" w:lineRule="auto"/>
        <w:rPr>
          <w:sz w:val="20"/>
          <w:szCs w:val="20"/>
          <w:color w:val="auto"/>
        </w:rPr>
      </w:pPr>
      <w:r>
        <w:rPr>
          <w:rFonts w:ascii="Times New Roman" w:cs="Times New Roman" w:eastAsia="Times New Roman" w:hAnsi="Times New Roman"/>
          <w:sz w:val="21"/>
          <w:szCs w:val="21"/>
          <w:color w:val="231F20"/>
        </w:rPr>
        <w:t>particular, to facilitate accelerated electrification and/or grid modernization efforts identified at the federal level and/or successfully implemented or being considered in other states; and (2) discussion and proposals on performance metrics and incentives applicable to longer-term cost recovery considerations. On October 1, 2025, the Company and the other EDCs, at the MDPU’s direction, submitted comments on potential future approaches to cost recovery for Electric Sector Modernization Plan investments and expenses. On October 29, 2025, intervenors submitted comments. Reply comments were filed on November 26, 2025.</w:t>
      </w:r>
    </w:p>
    <w:p>
      <w:pPr>
        <w:spacing w:after="0" w:line="198" w:lineRule="exact"/>
        <w:rPr>
          <w:sz w:val="20"/>
          <w:szCs w:val="20"/>
          <w:color w:val="auto"/>
        </w:rPr>
      </w:pPr>
    </w:p>
    <w:p>
      <w:pPr>
        <w:ind w:right="40" w:firstLine="619"/>
        <w:spacing w:after="0" w:line="244" w:lineRule="auto"/>
        <w:rPr>
          <w:sz w:val="20"/>
          <w:szCs w:val="20"/>
          <w:color w:val="auto"/>
        </w:rPr>
      </w:pPr>
      <w:r>
        <w:rPr>
          <w:rFonts w:ascii="Times New Roman" w:cs="Times New Roman" w:eastAsia="Times New Roman" w:hAnsi="Times New Roman"/>
          <w:sz w:val="21"/>
          <w:szCs w:val="21"/>
          <w:color w:val="231F20"/>
        </w:rPr>
        <w:t>Following the stakeholder process related to long-term system planning, Fitchburg and other EDCs submitted a draft Long-Term System Planning Proposal (LTSPP) for MDPU review and approval. On December 16, 2025, the MDPU issued an Order establishing a phased approach to investigate the LTSPP jointly proposed by the electric distribution companies and stakeholders. The MDPU intends to establish a uniform LTSPP for the Distribution Companies to proactively upgrade their respective electric power systems to enable increased, timely interconnection of new distributed generation (DG), which will support the Commonwealth’s energy and climate policies. To expedite the cost-effective deployment and interconnection of DG, Phase I will focus on the establishment of a framework for the LTSPP and other necessary elements for the Distribution Companies to make the first LTSPP filings. The MDPU will investigate additional topics in Phase II, in parallel with Phase I, to ensure effective LTSPP implementation following the MDPU’s review of proposed LTSPP investments. This matter remains pending.</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231F20"/>
        </w:rPr>
        <w:t xml:space="preserve">Fitchburg - Electric Vehicle (EV) Proceedings - </w:t>
      </w:r>
      <w:r>
        <w:rPr>
          <w:rFonts w:ascii="Times New Roman" w:cs="Times New Roman" w:eastAsia="Times New Roman" w:hAnsi="Times New Roman"/>
          <w:sz w:val="21"/>
          <w:szCs w:val="21"/>
          <w:color w:val="231F20"/>
        </w:rPr>
        <w:t>On December 30, 2022, the MDPU issued an order approving</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231F20"/>
        </w:rPr>
        <w:t>Fitchburg’s five-year EV program with a $1.0 million budget consisting of: (1) public infrastructure offering ($0.5 million); (2)</w:t>
      </w:r>
    </w:p>
    <w:p>
      <w:pPr>
        <w:spacing w:after="0"/>
        <w:rPr>
          <w:sz w:val="20"/>
          <w:szCs w:val="20"/>
          <w:color w:val="auto"/>
        </w:rPr>
      </w:pPr>
      <w:r>
        <w:rPr>
          <w:rFonts w:ascii="Times New Roman" w:cs="Times New Roman" w:eastAsia="Times New Roman" w:hAnsi="Times New Roman"/>
          <w:sz w:val="21"/>
          <w:szCs w:val="21"/>
          <w:color w:val="231F20"/>
        </w:rPr>
        <w:t>Electric Vehicle Supply Equipment incentives for residential segment ($0.3 million); and (3) marketing and outreach</w:t>
      </w:r>
    </w:p>
    <w:p>
      <w:pPr>
        <w:spacing w:after="0" w:line="241" w:lineRule="auto"/>
        <w:rPr>
          <w:sz w:val="20"/>
          <w:szCs w:val="20"/>
          <w:color w:val="auto"/>
        </w:rPr>
      </w:pPr>
      <w:r>
        <w:rPr>
          <w:rFonts w:ascii="Times New Roman" w:cs="Times New Roman" w:eastAsia="Times New Roman" w:hAnsi="Times New Roman"/>
          <w:sz w:val="21"/>
          <w:szCs w:val="21"/>
          <w:color w:val="231F20"/>
        </w:rPr>
        <w:t>($0.2 million). The Company may shift spending between program segments and between years over the five-year term of its program, subject to a 15% cap. Any spending above the approved EV program budget or above the 15% cap for each program segment is not eligible for targeted cost recovery through the GMF and, instead, may be recovered in a base distribution rate proceeding subsequent to a prudency finding by the MDPU. The MDPU’s Order directs the Companies to submit annual reports that document their performance and these reports are due on or before May 15th of each year. The MDPU accepted the Company’s Demand Charge Alternative proposal and directed implementation within six months. The Demand Charge Alternative is offered for a ten-year period beginning July 1, 2023 with tiered rates to separately-metered EV general delivery service customers. The MDPU also accepted the Company’s proposed residential EV TOU rate, effective April 1, 2023.</w:t>
      </w:r>
    </w:p>
    <w:p>
      <w:pPr>
        <w:spacing w:after="0" w:line="204" w:lineRule="exact"/>
        <w:rPr>
          <w:sz w:val="20"/>
          <w:szCs w:val="20"/>
          <w:color w:val="auto"/>
        </w:rPr>
      </w:pPr>
    </w:p>
    <w:p>
      <w:pPr>
        <w:ind w:right="80" w:firstLine="619"/>
        <w:spacing w:after="0" w:line="243" w:lineRule="auto"/>
        <w:rPr>
          <w:sz w:val="20"/>
          <w:szCs w:val="20"/>
          <w:color w:val="auto"/>
        </w:rPr>
      </w:pPr>
      <w:r>
        <w:rPr>
          <w:rFonts w:ascii="Times New Roman" w:cs="Times New Roman" w:eastAsia="Times New Roman" w:hAnsi="Times New Roman"/>
          <w:sz w:val="21"/>
          <w:szCs w:val="21"/>
          <w:color w:val="231F20"/>
        </w:rPr>
        <w:t>In June 2023, the MDPU convened an EV stakeholder process to finalize EV program performance metrics. On April 3, 2023, the electric companies filed comments on the MDPU’s proposed metrics. On December 15, 2023, the MDPU approved EV performance metrics. Following that approval, the MDPU required the electric companies to develop a joint state-wide program evaluation plan for MDPU approval and stakeholder input. On May 15, 2024, Fitchburg submitted its first annual report on the performance of its EV Program, and along with the other Massachusetts EDCs, a proposed statewide program evaluation plan for MDPU approval and stakeholder input. On September 30, 2024, the MDPU stamp approved the Joint Statewide Electric Vehicle Program Evaluation Plan. In addition, on October 1, 2024 the MDPU approved Fitchburg’s request for a supplemental budget increase to engage a consultant to assist with the Joint Statewide Electric Vehicle Program Evaluation Plan. On December 20, 2024, the Company submitted a request for approval to modify certain aspects of the public, residential, and income eligible offers of its EV program. On October 17, 2025, the MDPU approved the Company’s proposed modifications.</w:t>
      </w:r>
    </w:p>
    <w:p>
      <w:pPr>
        <w:spacing w:after="0" w:line="207" w:lineRule="exact"/>
        <w:rPr>
          <w:sz w:val="20"/>
          <w:szCs w:val="20"/>
          <w:color w:val="auto"/>
        </w:rPr>
      </w:pPr>
    </w:p>
    <w:p>
      <w:pPr>
        <w:jc w:val="both"/>
        <w:ind w:right="140" w:firstLine="619"/>
        <w:spacing w:after="0" w:line="253" w:lineRule="auto"/>
        <w:rPr>
          <w:sz w:val="20"/>
          <w:szCs w:val="20"/>
          <w:color w:val="auto"/>
        </w:rPr>
      </w:pPr>
      <w:r>
        <w:rPr>
          <w:rFonts w:ascii="Times New Roman" w:cs="Times New Roman" w:eastAsia="Times New Roman" w:hAnsi="Times New Roman"/>
          <w:sz w:val="21"/>
          <w:szCs w:val="21"/>
          <w:color w:val="231F20"/>
        </w:rPr>
        <w:t>On December 31, 2025, Fitchburg submitted to the MDPU a petition for approval of a right-of-way and pole-mounted electric vehicle supply equipment (EVSE) proposal as required by the 2024 Climate Act (Chapter 239, Section 134 of the Acts of 2024). The Company proposes to leverage the program modifications approved on October 17, 2025 to continue to promote public EVSE through its currently approved EV program, which will extend through 2027. This matter remains pending.</w:t>
      </w:r>
    </w:p>
    <w:p>
      <w:pPr>
        <w:spacing w:after="0" w:line="185" w:lineRule="exact"/>
        <w:rPr>
          <w:sz w:val="20"/>
          <w:szCs w:val="20"/>
          <w:color w:val="auto"/>
        </w:rPr>
      </w:pPr>
    </w:p>
    <w:p>
      <w:pPr>
        <w:ind w:right="60" w:firstLine="619"/>
        <w:spacing w:after="0" w:line="250" w:lineRule="auto"/>
        <w:rPr>
          <w:sz w:val="20"/>
          <w:szCs w:val="20"/>
          <w:color w:val="auto"/>
        </w:rPr>
      </w:pPr>
      <w:r>
        <w:rPr>
          <w:rFonts w:ascii="Times New Roman" w:cs="Times New Roman" w:eastAsia="Times New Roman" w:hAnsi="Times New Roman"/>
          <w:sz w:val="21"/>
          <w:szCs w:val="21"/>
          <w:b w:val="1"/>
          <w:bCs w:val="1"/>
          <w:color w:val="231F20"/>
        </w:rPr>
        <w:t xml:space="preserve">Fitchburg - Storm Cost Deferral Petition - </w:t>
      </w:r>
      <w:r>
        <w:rPr>
          <w:rFonts w:ascii="Times New Roman" w:cs="Times New Roman" w:eastAsia="Times New Roman" w:hAnsi="Times New Roman"/>
          <w:sz w:val="21"/>
          <w:szCs w:val="21"/>
          <w:color w:val="231F20"/>
        </w:rPr>
        <w:t>On November 3, 2025, Fitchburg filed a request with the MDPU regarding</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its Storm Reserve Adjustment Factor effective January 1, 2026. The Company requested continued recovery of storm costs resulting from the January and March 2023 winter storms over a three-year period. On December 29, 2025, the MDPU allowed the associated rate increase to become effective January 1, 2026, subject to further investigation and reconciliation. This matter remains pending before the Commission.</w:t>
      </w:r>
    </w:p>
    <w:p>
      <w:pPr>
        <w:spacing w:after="0" w:line="191" w:lineRule="exact"/>
        <w:rPr>
          <w:sz w:val="20"/>
          <w:szCs w:val="20"/>
          <w:color w:val="auto"/>
        </w:rPr>
      </w:pPr>
    </w:p>
    <w:p>
      <w:pPr>
        <w:ind w:right="160" w:firstLine="619"/>
        <w:spacing w:after="0" w:line="261" w:lineRule="auto"/>
        <w:rPr>
          <w:sz w:val="20"/>
          <w:szCs w:val="20"/>
          <w:color w:val="auto"/>
        </w:rPr>
      </w:pPr>
      <w:r>
        <w:rPr>
          <w:rFonts w:ascii="Times New Roman" w:cs="Times New Roman" w:eastAsia="Times New Roman" w:hAnsi="Times New Roman"/>
          <w:sz w:val="21"/>
          <w:szCs w:val="21"/>
          <w:b w:val="1"/>
          <w:bCs w:val="1"/>
          <w:color w:val="231F20"/>
        </w:rPr>
        <w:t>Fitchburg- Approval of Gas Supply Agreement with Constellation LNG</w:t>
      </w:r>
      <w:r>
        <w:rPr>
          <w:rFonts w:ascii="Times New Roman" w:cs="Times New Roman" w:eastAsia="Times New Roman" w:hAnsi="Times New Roman"/>
          <w:sz w:val="21"/>
          <w:szCs w:val="21"/>
          <w:color w:val="231F20"/>
        </w:rPr>
        <w:t>- On February 16, 2024, Fitchburg filed a</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petition with the MDPU for approval of a six year agreement with Constellation LNG for the purchase of natural gas in the liquid or vapor form for the period June 1, 2024 through May 31, 2030 heating seasons. This request is for the approval of two</w:t>
      </w:r>
    </w:p>
    <w:p>
      <w:pPr>
        <w:sectPr>
          <w:pgSz w:w="12240" w:h="15840" w:orient="portrait"/>
          <w:cols w:equalWidth="0" w:num="1">
            <w:col w:w="10800"/>
          </w:cols>
          <w:pgMar w:left="720" w:top="929" w:right="720" w:bottom="188" w:gutter="0" w:footer="0" w:header="0"/>
        </w:sect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77</w:t>
      </w:r>
    </w:p>
    <w:p>
      <w:pPr>
        <w:sectPr>
          <w:pgSz w:w="12240" w:h="15840" w:orient="portrait"/>
          <w:cols w:equalWidth="0" w:num="1">
            <w:col w:w="10800"/>
          </w:cols>
          <w:pgMar w:left="720" w:top="929" w:right="720" w:bottom="188" w:gutter="0" w:footer="0" w:header="0"/>
          <w:type w:val="continuous"/>
        </w:sectPr>
      </w:pPr>
    </w:p>
    <w:bookmarkStart w:id="97" w:name="page98"/>
    <w:bookmarkEnd w:id="97"/>
    <w:p>
      <w:pPr>
        <w:jc w:val="both"/>
        <w:ind w:right="60"/>
        <w:spacing w:after="0" w:line="249" w:lineRule="auto"/>
        <w:rPr>
          <w:sz w:val="20"/>
          <w:szCs w:val="20"/>
          <w:color w:val="auto"/>
        </w:rPr>
      </w:pPr>
      <w:r>
        <w:rPr>
          <w:rFonts w:ascii="Times New Roman" w:cs="Times New Roman" w:eastAsia="Times New Roman" w:hAnsi="Times New Roman"/>
          <w:sz w:val="21"/>
          <w:szCs w:val="21"/>
          <w:color w:val="231F20"/>
        </w:rPr>
        <w:t>contracts, the first for up to 3,400 Dth per day of natural gas peaking supply to the Company. This first contract will be broken out for 3,000 Dth per Day in the form of LNG for use at the Company’s Westminster LNG facility and 400 Dth per Day will be in the form of natural gas supply delivered to the city-gate connecting the Company’s system to the Tennessee Gas Pipeline.</w:t>
      </w:r>
    </w:p>
    <w:p>
      <w:pPr>
        <w:spacing w:after="0" w:line="3"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21"/>
          <w:szCs w:val="21"/>
          <w:color w:val="231F20"/>
        </w:rPr>
        <w:t>The second contract will provide up to 3,000 Dth per day of LNG trucking from the Everett Marine Terminal to the Company’s Westminster LNG facility.</w:t>
      </w:r>
    </w:p>
    <w:p>
      <w:pPr>
        <w:spacing w:after="0" w:line="193" w:lineRule="exact"/>
        <w:rPr>
          <w:sz w:val="20"/>
          <w:szCs w:val="20"/>
          <w:color w:val="auto"/>
        </w:rPr>
      </w:pPr>
    </w:p>
    <w:p>
      <w:pPr>
        <w:jc w:val="both"/>
        <w:ind w:right="160" w:firstLine="619"/>
        <w:spacing w:after="0" w:line="253" w:lineRule="auto"/>
        <w:rPr>
          <w:sz w:val="20"/>
          <w:szCs w:val="20"/>
          <w:color w:val="auto"/>
        </w:rPr>
      </w:pPr>
      <w:r>
        <w:rPr>
          <w:rFonts w:ascii="Times New Roman" w:cs="Times New Roman" w:eastAsia="Times New Roman" w:hAnsi="Times New Roman"/>
          <w:sz w:val="21"/>
          <w:szCs w:val="21"/>
          <w:color w:val="231F20"/>
        </w:rPr>
        <w:t>This Agreement would ensure that the Everett Marine Terminal, which plays a critical role in both the Company’s and the New England energy market’s efficient and reliable operation, will continue to be available for the next six winter seasons. A six year agreement was also requested by Boston Gas Company, Eversource Gas Company, and NSTAR Gas Company. Fitchburg and the other LDCs received an Order on May 17, 2024 approving the agreements.</w:t>
      </w:r>
    </w:p>
    <w:p>
      <w:pPr>
        <w:spacing w:after="0" w:line="184" w:lineRule="exact"/>
        <w:rPr>
          <w:sz w:val="20"/>
          <w:szCs w:val="20"/>
          <w:color w:val="auto"/>
        </w:rPr>
      </w:pPr>
    </w:p>
    <w:p>
      <w:pPr>
        <w:ind w:right="140" w:firstLine="619"/>
        <w:spacing w:after="0" w:line="244" w:lineRule="auto"/>
        <w:rPr>
          <w:sz w:val="20"/>
          <w:szCs w:val="20"/>
          <w:color w:val="auto"/>
        </w:rPr>
      </w:pPr>
      <w:r>
        <w:rPr>
          <w:rFonts w:ascii="Times New Roman" w:cs="Times New Roman" w:eastAsia="Times New Roman" w:hAnsi="Times New Roman"/>
          <w:sz w:val="21"/>
          <w:szCs w:val="21"/>
          <w:b w:val="1"/>
          <w:bCs w:val="1"/>
          <w:color w:val="231F20"/>
        </w:rPr>
        <w:t xml:space="preserve">Unitil Corporation – Merger of Bangor Natural Gas, Inc. </w:t>
      </w:r>
      <w:r>
        <w:rPr>
          <w:rFonts w:ascii="Times New Roman" w:cs="Times New Roman" w:eastAsia="Times New Roman" w:hAnsi="Times New Roman"/>
          <w:sz w:val="21"/>
          <w:szCs w:val="21"/>
          <w:color w:val="231F20"/>
        </w:rPr>
        <w:t>- On July 15, 2024, Unitil, Northern Utilities, Hearthstone</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Holdings, Inc. d/b/a Hope Companies, Inc. (HUI), PHC Utilities, Inc. (PHC), and Bangor Natural Gas Company filed a Joint Petition requesting that the MPUC approve the merger of Bangor into Unitil pursuant to a July 8, 2024 Stock Purchase Agreement among PHC, HUI and Unitil. Furthermore, Unitil requested that the MPUC issue an order excusing Bangor and Unitil from certain regulatory conditions and obligations imposed upon Bangor or its affiliates in conjunction with prior reorganizations of Bangor. Unitil filed a Stipulation supporting the proposed merger, signed by all parties to the docket, on December 4, 2024. Among other provisions, Unitil and Bangor agreed that Bangor would not file a general rate case prior to January 1, 2027. The MPUC issued an Order approving the Stipulation on December 18, 2024. In a separate Order issued January 14, 2025, the MPUC approved the proposed long-term debt facility. Unitil completed the acquisition of Bangor on January 31, 2025.</w:t>
      </w:r>
    </w:p>
    <w:p>
      <w:pPr>
        <w:spacing w:after="0" w:line="200"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21"/>
          <w:szCs w:val="21"/>
          <w:b w:val="1"/>
          <w:bCs w:val="1"/>
          <w:color w:val="231F20"/>
        </w:rPr>
        <w:t xml:space="preserve">Unitil Corporation – Merger of Maine Natural Gas Corporation </w:t>
      </w:r>
      <w:r>
        <w:rPr>
          <w:rFonts w:ascii="Times New Roman" w:cs="Times New Roman" w:eastAsia="Times New Roman" w:hAnsi="Times New Roman"/>
          <w:sz w:val="21"/>
          <w:szCs w:val="21"/>
          <w:color w:val="231F20"/>
        </w:rPr>
        <w:t>- On May 9, 2025, Unitil, Northern Utilities,</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Bangor, Avangrid Enterprises, Inc. and Maine Natural filed a Joint Petition requesting that the MPUC approve the merger of Maine Natural into Unitil pursuant to a Stock Purchase Agreement among Avangrid and Unitil. A procedural schedule has been established which includes discovery, technical conferences, testimonies and briefs. To comply with the statutory timeframe of 180 days, deliberations are scheduled to be held no later than early November 2025. The MPUC issued an Order approving the Stipulation on September 12, 2025. In a separate Order issued September 16, 2025, the MPUC approved the proposed long-term debt facility. Unitil completed the acquisition of Maine Natural on October 31, 2025.</w:t>
      </w:r>
    </w:p>
    <w:p>
      <w:pPr>
        <w:spacing w:after="0" w:line="191"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1"/>
          <w:szCs w:val="21"/>
          <w:b w:val="1"/>
          <w:bCs w:val="1"/>
          <w:color w:val="231F20"/>
        </w:rPr>
        <w:t xml:space="preserve">Unitil Corporation – Merger of Aquarion Water Companies </w:t>
      </w:r>
      <w:r>
        <w:rPr>
          <w:rFonts w:ascii="Times New Roman" w:cs="Times New Roman" w:eastAsia="Times New Roman" w:hAnsi="Times New Roman"/>
          <w:sz w:val="21"/>
          <w:szCs w:val="21"/>
          <w:color w:val="231F20"/>
        </w:rPr>
        <w:t>- On May 6, 2025, Unitil announced that it has entered</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into a definitive agreement to acquire Aquarion Water Company of Massachusetts Inc., Aquarion Water Company of New Hampshire, Inc., and Abenaki Water Co., Inc. (the Aquarion Companies) from the Aquarion Water Authority (AWA), a quasi-public corporation chartered by the Connecticut General Assembly in 2024 to acquire Aquarion and to operate as a water authority. Unitil’s acquisition of the Aquarion Companies is contingent upon the initial sale of Aquarion by Eversource to the AWA (Initial Transaction), which will then simultaneously convey the Aquarion Companies to Unitil. On November 19, 2025, the Connecticut Public Utilities Regulatory Authority (PURA) denied approval of the Initial Transaction. On December 2, 2025, the joint applicants in the Connecticut proceeding filed a judicial appeal of PURA’s decision denying the Initial Transaction. On January 15, 2026, a decision was issued that remanded the case back to PURA for further deliberations. This case remains pending at PURA.</w:t>
      </w:r>
    </w:p>
    <w:p>
      <w:pPr>
        <w:spacing w:after="0" w:line="204" w:lineRule="exact"/>
        <w:rPr>
          <w:sz w:val="20"/>
          <w:szCs w:val="20"/>
          <w:color w:val="auto"/>
        </w:rPr>
      </w:pPr>
    </w:p>
    <w:p>
      <w:pPr>
        <w:ind w:right="40" w:firstLine="619"/>
        <w:spacing w:after="0" w:line="244" w:lineRule="auto"/>
        <w:rPr>
          <w:sz w:val="20"/>
          <w:szCs w:val="20"/>
          <w:color w:val="auto"/>
        </w:rPr>
      </w:pPr>
      <w:r>
        <w:rPr>
          <w:rFonts w:ascii="Times New Roman" w:cs="Times New Roman" w:eastAsia="Times New Roman" w:hAnsi="Times New Roman"/>
          <w:sz w:val="21"/>
          <w:szCs w:val="21"/>
          <w:color w:val="231F20"/>
        </w:rPr>
        <w:t>On May 8, 2025, Eversource Energy (Eversource), the AWA, and Unitil submitted an amended and restated petition to the MDPU for approval of a change of control of Aquarion Water Company of Massachusetts, Inc. (AWC-MA). On December 12, 2025, the MDPU issued an Order approving the stock sale of Aquarion by Eversource to AWA, and, in turn, AWA’s simultaneous sale of AWC-MA to Unitil. The approval is subject to certain conditions, including quarterly service quality reporting and a two-year rate case filing moratorium. The approval is also contingent upon, inter alia, approval of the Initial Transaction. The MDPU also declined to rule on the issue, raised by the MA AGO, of ratemaking treatment of the gain on sale of certain assets that occurred under Eversource ownership. On January 2, 2026, Unitil, Eversource, and AWA filed a motion for reconsideration and clarification of the MDPU’s Order with respect to the rate case moratorium and ratemaking treatment of the gain on sale. This matter remains pending.</w:t>
      </w:r>
    </w:p>
    <w:p>
      <w:pPr>
        <w:sectPr>
          <w:pgSz w:w="12240" w:h="15840" w:orient="portrait"/>
          <w:cols w:equalWidth="0" w:num="1">
            <w:col w:w="10800"/>
          </w:cols>
          <w:pgMar w:left="720" w:top="929" w:right="72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78</w:t>
      </w:r>
    </w:p>
    <w:p>
      <w:pPr>
        <w:sectPr>
          <w:pgSz w:w="12240" w:h="15840" w:orient="portrait"/>
          <w:cols w:equalWidth="0" w:num="1">
            <w:col w:w="10800"/>
          </w:cols>
          <w:pgMar w:left="720" w:top="929" w:right="720" w:bottom="188" w:gutter="0" w:footer="0" w:header="0"/>
          <w:type w:val="continuous"/>
        </w:sectPr>
      </w:pPr>
    </w:p>
    <w:bookmarkStart w:id="98" w:name="page99"/>
    <w:bookmarkEnd w:id="98"/>
    <w:p>
      <w:pPr>
        <w:ind w:right="220" w:firstLine="619"/>
        <w:spacing w:after="0" w:line="246" w:lineRule="auto"/>
        <w:rPr>
          <w:sz w:val="20"/>
          <w:szCs w:val="20"/>
          <w:color w:val="auto"/>
        </w:rPr>
      </w:pPr>
      <w:r>
        <w:rPr>
          <w:rFonts w:ascii="Times New Roman" w:cs="Times New Roman" w:eastAsia="Times New Roman" w:hAnsi="Times New Roman"/>
          <w:sz w:val="21"/>
          <w:szCs w:val="21"/>
          <w:color w:val="231F20"/>
        </w:rPr>
        <w:t>On May 8, 2025, Unitil, Eversource, Aquarion Water Company of New Hampshire, Inc., (AWC-NH), Abenaki Water Company (Abenaki) and AWA filed a motion to amend the petition originally filed on April 10, 2025 by Eversource. AWC-NH, Abenaki and AWA, requesting that the NHPUC approve the acquisition of AWC-NH and Abenaki by Unitil. On August 28, 2025, the Joint Petitioners and the DOE submitted a settlement agreement to the NHPUC recommending approval of the proposed acquisition subject to certain conditions, including a rate case stay-out through June 1, 2026. The Office of the Consumer Advocate did not join the settlement. The NHPUC conducted a hearing on the matter on September 25, 2025. On October 7, 2025, the NHPUC issued an Order approving the settlement agreement.</w:t>
      </w:r>
    </w:p>
    <w:p>
      <w:pPr>
        <w:spacing w:after="0" w:line="198" w:lineRule="exact"/>
        <w:rPr>
          <w:sz w:val="20"/>
          <w:szCs w:val="20"/>
          <w:color w:val="auto"/>
        </w:rPr>
      </w:pPr>
    </w:p>
    <w:p>
      <w:pPr>
        <w:ind w:right="80" w:firstLine="619"/>
        <w:spacing w:after="0" w:line="244" w:lineRule="auto"/>
        <w:rPr>
          <w:sz w:val="20"/>
          <w:szCs w:val="20"/>
          <w:color w:val="auto"/>
        </w:rPr>
      </w:pPr>
      <w:r>
        <w:rPr>
          <w:rFonts w:ascii="Times New Roman" w:cs="Times New Roman" w:eastAsia="Times New Roman" w:hAnsi="Times New Roman"/>
          <w:sz w:val="21"/>
          <w:szCs w:val="21"/>
          <w:color w:val="231F20"/>
        </w:rPr>
        <w:t>On May 23, 2025, pursuant to 35-A M.R.S. § 708, Northern Utilities filed a request that the MPUC grant an exemption from approval of the reorganization that will be triggered by the anticipated acquisition by Unitil of the three water utilities in Massachusetts and New Hampshire. The MPUC has previously granted Maine public utilities exemptions from regulatory approval of reorganizations under circumstances similar to those presented in this case involving the acquisition of companies outside of Maine by a utility’s holding company parent that will have no direct financial or operational impact on the Maine utility. Based on MPUC precedent in similar reorganizations, Northern Utilities requested an exemption from Section 708 approval of Unitil’s acquisition of the Aquarion MA-NH Companies. In the alternative, if the MPUC declines to grant the requested exemption, then Northern Utilities requested that the MPUC approve the reorganization pursuant to Section 708. The MPUC approved the reorganization, subject to certain conditions agreed upon by Unitil, on January 6, 2025.</w:t>
      </w:r>
    </w:p>
    <w:p>
      <w:pPr>
        <w:spacing w:after="0" w:line="201" w:lineRule="exact"/>
        <w:rPr>
          <w:sz w:val="20"/>
          <w:szCs w:val="20"/>
          <w:color w:val="auto"/>
        </w:rPr>
      </w:pPr>
    </w:p>
    <w:p>
      <w:pPr>
        <w:ind w:right="40" w:firstLine="619"/>
        <w:spacing w:after="0" w:line="245" w:lineRule="auto"/>
        <w:rPr>
          <w:sz w:val="20"/>
          <w:szCs w:val="20"/>
          <w:color w:val="auto"/>
        </w:rPr>
      </w:pPr>
      <w:r>
        <w:rPr>
          <w:rFonts w:ascii="Times New Roman" w:cs="Times New Roman" w:eastAsia="Times New Roman" w:hAnsi="Times New Roman"/>
          <w:sz w:val="21"/>
          <w:szCs w:val="21"/>
          <w:b w:val="1"/>
          <w:bCs w:val="1"/>
          <w:color w:val="231F20"/>
        </w:rPr>
        <w:t xml:space="preserve">Northern Utilities / Granite State - Firm Capacity Contract </w:t>
      </w:r>
      <w:r>
        <w:rPr>
          <w:rFonts w:ascii="Times New Roman" w:cs="Times New Roman" w:eastAsia="Times New Roman" w:hAnsi="Times New Roman"/>
          <w:sz w:val="21"/>
          <w:szCs w:val="21"/>
          <w:color w:val="231F20"/>
        </w:rPr>
        <w:t>- Northern Utilities relies on the transportation of gas</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supply over its affiliate Granite State pipeline to serve its customers in the Maine and New Hampshire service areas. Granite State facilitates critical upstream interconnections with interstate pipelines and third-party suppliers essential to Northern Utilities’ service to its customers. Northern Utilities reserves firm capacity through a contract with Granite State, which is renewed annually. Pursuant to statutory requirements in Maine and orders of the MPUC, Northern Utilities submits an annual informational report requesting approval of a one-year extension of its 12-month contract for firm pipeline capacity reservation, with an evergreen provision and three-month termination notification requirement. On March 31, 2025, Northern Utilities submitted an annual informational report requesting approval on a one-year extension for the period of November 1, 2025 through October 31, 2026. The Company received an order approving the one-year extension of its request on June 3, 2025.</w:t>
      </w:r>
    </w:p>
    <w:p>
      <w:pPr>
        <w:spacing w:after="0" w:line="196" w:lineRule="exact"/>
        <w:rPr>
          <w:sz w:val="20"/>
          <w:szCs w:val="20"/>
          <w:color w:val="auto"/>
        </w:rPr>
      </w:pPr>
    </w:p>
    <w:p>
      <w:pPr>
        <w:ind w:right="20" w:firstLine="619"/>
        <w:spacing w:after="0" w:line="243" w:lineRule="auto"/>
        <w:rPr>
          <w:sz w:val="20"/>
          <w:szCs w:val="20"/>
          <w:color w:val="auto"/>
        </w:rPr>
      </w:pPr>
      <w:r>
        <w:rPr>
          <w:rFonts w:ascii="Times New Roman" w:cs="Times New Roman" w:eastAsia="Times New Roman" w:hAnsi="Times New Roman"/>
          <w:sz w:val="21"/>
          <w:szCs w:val="21"/>
          <w:b w:val="1"/>
          <w:bCs w:val="1"/>
          <w:color w:val="231F20"/>
        </w:rPr>
        <w:t xml:space="preserve">Northern Utilities / Portland Natural Gas Transmission System (PNGTS) and TransCanada Pipelines Limited (TCPL) transportation from Empress, Alberta to Granite State Gas Transmission, Inc. (GSGT) </w:t>
      </w:r>
      <w:r>
        <w:rPr>
          <w:rFonts w:ascii="Times New Roman" w:cs="Times New Roman" w:eastAsia="Times New Roman" w:hAnsi="Times New Roman"/>
          <w:sz w:val="21"/>
          <w:szCs w:val="21"/>
          <w:color w:val="231F20"/>
        </w:rPr>
        <w:t>- On October 5, 2023,</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Northern Utilities filed with the NHPUC and the MPUC a request to approve agreements for the ability for Northern Utilities to increase supply portfolio capacity by 12,500 Dth per day in New Hampshire and Maine. This incremental capacity to Northern Utilities’ supply portfolio took effect April 1, 2024 for a thirty-year term. Northern Utilities was able to acquire this incremental supply of TCPL capacity through an open season process. On January 26, 2024 and January 30, 2024, the Company received orders from the NHPUC and MPUC, respectively, approving Northern Utilities’ proposal for Empress Agreements with PNGTS and TransCanada Pipelines. Conservation Law Foundation filed a motion for reconsideration of the MPUC’s decision on February 15, 2024. The Company objected to the motion, and on March 26, 2025, the Hearing Examiners issued a Recommended Order on Reconsideration from the MPUC on this CLF motion. The Recommended Order, if adopted, would affirm the MPUC’s previous decision to approve the Company’s entry into these Agreements. The MPUC issued an Order reaffirming and clarifying its initial Order approving the Empress Agreements, and specifically affirmed its conclusion that entering into the Empress Capacity Agreements is prudent, in the public interest, and not inconsistent with the state’s climate policy.</w:t>
      </w:r>
    </w:p>
    <w:p>
      <w:pPr>
        <w:spacing w:after="0" w:line="198" w:lineRule="exact"/>
        <w:rPr>
          <w:sz w:val="20"/>
          <w:szCs w:val="20"/>
          <w:color w:val="auto"/>
        </w:rPr>
      </w:pPr>
    </w:p>
    <w:p>
      <w:pPr>
        <w:ind w:right="20" w:firstLine="619"/>
        <w:spacing w:after="0" w:line="246" w:lineRule="auto"/>
        <w:rPr>
          <w:sz w:val="20"/>
          <w:szCs w:val="20"/>
          <w:color w:val="auto"/>
        </w:rPr>
      </w:pPr>
      <w:r>
        <w:rPr>
          <w:rFonts w:ascii="Times New Roman" w:cs="Times New Roman" w:eastAsia="Times New Roman" w:hAnsi="Times New Roman"/>
          <w:sz w:val="21"/>
          <w:szCs w:val="21"/>
          <w:b w:val="1"/>
          <w:bCs w:val="1"/>
          <w:color w:val="231F20"/>
        </w:rPr>
        <w:t xml:space="preserve">Maine Inquiry Into the Future of Gas </w:t>
      </w:r>
      <w:r>
        <w:rPr>
          <w:rFonts w:ascii="Times New Roman" w:cs="Times New Roman" w:eastAsia="Times New Roman" w:hAnsi="Times New Roman"/>
          <w:sz w:val="21"/>
          <w:szCs w:val="21"/>
          <w:color w:val="231F20"/>
        </w:rPr>
        <w:t>- On May 13, 2025, the MPUC initiated an inquiry to explore the implications</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of Maine’s decarbonization goals for natural gas utilities and their customers and solicit information from stakeholders. Specifically, the MPUC opened the inquiry with the goal of 1) developing a consistent methodology or framework to incorporate and evaluate the GHG emissions impact in the MPUC’s decision-making around gas infrastructure investments and contractual commitments for supply or capacity needed to serve customers; 2) evaluating the consistency of these investments with state goals and 3) assisting in evaluation of a broader path for the future of natural gas in Maine. Initial comments on the scope of the inquiry were submitted on June 17, 2025. On December 18, 2025, the MPUC issued a Procedural Order scheduling a workshop on January 21, 2026 to explore issues raised in comments.</w:t>
      </w:r>
    </w:p>
    <w:p>
      <w:pPr>
        <w:spacing w:after="0" w:line="193"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21"/>
          <w:szCs w:val="21"/>
          <w:b w:val="1"/>
          <w:bCs w:val="1"/>
          <w:color w:val="231F20"/>
        </w:rPr>
        <w:t xml:space="preserve">Reconciliation Filings </w:t>
      </w:r>
      <w:r>
        <w:rPr>
          <w:rFonts w:ascii="Times New Roman" w:cs="Times New Roman" w:eastAsia="Times New Roman" w:hAnsi="Times New Roman"/>
          <w:sz w:val="21"/>
          <w:szCs w:val="21"/>
          <w:color w:val="231F20"/>
        </w:rPr>
        <w:t>- Fitchburg, Unitil Energy, Northern Utilities, Bangor and Maine Natural each have a number of</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regulatory reconciling accounts that require annual or semi-annual filings with the MDPU, NHPUC and MPUC, respectively, to reconcile revenues and costs, and to seek approval of any rate changes. These filings include: annual electric reconciliation filings by Fitchburg and Unitil Energy for a number of items, including default service, stranded cost changes and transmission</w:t>
      </w:r>
    </w:p>
    <w:p>
      <w:pPr>
        <w:sectPr>
          <w:pgSz w:w="12240" w:h="15840" w:orient="portrait"/>
          <w:cols w:equalWidth="0" w:num="1">
            <w:col w:w="10780"/>
          </w:cols>
          <w:pgMar w:left="720" w:top="929" w:right="740" w:bottom="188"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79</w:t>
      </w:r>
    </w:p>
    <w:p>
      <w:pPr>
        <w:sectPr>
          <w:pgSz w:w="12240" w:h="15840" w:orient="portrait"/>
          <w:cols w:equalWidth="0" w:num="1">
            <w:col w:w="10780"/>
          </w:cols>
          <w:pgMar w:left="720" w:top="929" w:right="740" w:bottom="188" w:gutter="0" w:footer="0" w:header="0"/>
          <w:type w:val="continuous"/>
        </w:sectPr>
      </w:pPr>
    </w:p>
    <w:bookmarkStart w:id="99" w:name="page100"/>
    <w:bookmarkEnd w:id="99"/>
    <w:p>
      <w:pPr>
        <w:ind w:right="180"/>
        <w:spacing w:after="0" w:line="249" w:lineRule="auto"/>
        <w:rPr>
          <w:sz w:val="20"/>
          <w:szCs w:val="20"/>
          <w:color w:val="auto"/>
        </w:rPr>
      </w:pPr>
      <w:r>
        <w:rPr>
          <w:rFonts w:ascii="Times New Roman" w:cs="Times New Roman" w:eastAsia="Times New Roman" w:hAnsi="Times New Roman"/>
          <w:sz w:val="21"/>
          <w:szCs w:val="21"/>
          <w:color w:val="231F20"/>
        </w:rPr>
        <w:t>charges; costs associated with energy efficiency programs in New Hampshire and Massachusetts, as directed by the NHPUC and MDPU; recovery of the ongoing costs of storm repairs incurred by Unitil Energy and Fitchburg; and the actual wholesale energy costs for electric power and gas incurred by each of the five companies. Fitchburg, Unitil Energy, Northern Utilities, Bangor and Maine Natural have been, and remain in full compliance with all directives and orders regarding these filings. The Company considers these to be routine regulatory proceedings, and there are no material issues outstanding.</w:t>
      </w:r>
    </w:p>
    <w:p>
      <w:pPr>
        <w:spacing w:after="0" w:line="192"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21"/>
          <w:szCs w:val="21"/>
          <w:b w:val="1"/>
          <w:bCs w:val="1"/>
          <w:color w:val="231F20"/>
        </w:rPr>
        <w:t xml:space="preserve">Fitchburg - Massachusetts Request for Proposals (RFPs) </w:t>
      </w:r>
      <w:r>
        <w:rPr>
          <w:rFonts w:ascii="Times New Roman" w:cs="Times New Roman" w:eastAsia="Times New Roman" w:hAnsi="Times New Roman"/>
          <w:sz w:val="21"/>
          <w:szCs w:val="21"/>
          <w:color w:val="231F20"/>
        </w:rPr>
        <w:t>- Pursuant to Section 83 of “An Act Relative to Green</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Communities,” St. 2008, c. 169, as amended, the Massachusetts EDCs, including Fitchburg, have conducted numerous procurements of long-term renewable energy and environmental attributes. “An Act to Promote Energy Diversity” (2016) (the Act) added Section 83C, which required the joint procurement of 1,600 MW of offshore wind by June 30, 2027 (this target has since been increased as explained below) and Section 83D, which required the joint procurement of cost-effective long-term contracts for an annual total of 9,450,000 megawatt-hours (MWh) of clean energy (hydroelectric, solar and land-based wind) by December 31, 2022. Fitchburg’s pro rata share of the contracts resulting from these procurements is approximately 1%.</w:t>
      </w:r>
    </w:p>
    <w:p>
      <w:pPr>
        <w:spacing w:after="0" w:line="196" w:lineRule="exact"/>
        <w:rPr>
          <w:sz w:val="20"/>
          <w:szCs w:val="20"/>
          <w:color w:val="auto"/>
        </w:rPr>
      </w:pPr>
    </w:p>
    <w:p>
      <w:pPr>
        <w:ind w:right="40" w:firstLine="619"/>
        <w:spacing w:after="0" w:line="245" w:lineRule="auto"/>
        <w:rPr>
          <w:sz w:val="20"/>
          <w:szCs w:val="20"/>
          <w:color w:val="auto"/>
        </w:rPr>
      </w:pPr>
      <w:r>
        <w:rPr>
          <w:rFonts w:ascii="Times New Roman" w:cs="Times New Roman" w:eastAsia="Times New Roman" w:hAnsi="Times New Roman"/>
          <w:sz w:val="21"/>
          <w:szCs w:val="21"/>
          <w:color w:val="231F20"/>
        </w:rPr>
        <w:t>The EDCs issued the RFP for Section 83D Long-Term Contracts in March 2017, and transmission service agreements with NECEC Transmission LLC and power purchase agreements (PPAs) for 9,554,940 MWh annually of hydroelectric generation and associated environmental attributes with Hydro-Quebec Energy Services (U.S.), Inc. (together, the NECEC project) over a 20-year period, were filed for approval by the MDPU in July 2018. The MDPU approved the agreements in June 2019, including the EDCs’ proposal to sell the energy procured under the contract into the ISO-NE wholesale market and to credit or charge the difference between the contract costs and the ISO-NE market revenue to customers. The MDPU also approved the EDCs’ request for remuneration equal to 2.75% of the contract payments, as well as the EDCs’ proposal to recover costs associated with the contracts. The NECEC project achieved commercial operation in January 2026.</w:t>
      </w:r>
    </w:p>
    <w:p>
      <w:pPr>
        <w:spacing w:after="0" w:line="201"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21"/>
          <w:szCs w:val="21"/>
          <w:color w:val="231F20"/>
        </w:rPr>
        <w:t>The EDCs issued the first RFP for offshore wind energy generation pursuant to Section 83C in June 2017. In July 2018, the EDCs filed two long-term PPA’s with Vineyard Wind, each for 400 MW for approval by the MDPU. In April 2019, the MDPU approved the offshore wind PPAs, including similar requirements for the EDCs’ to sell the energy procured and credit or charge net costs to customers including EDC remuneration of 2.75%. The expected commercial operation dates for Vineyard Wind are January 15, 2027 for Facility 1 and May 31, 2026 for Facility 2.</w:t>
      </w:r>
    </w:p>
    <w:p>
      <w:pPr>
        <w:spacing w:after="0" w:line="195" w:lineRule="exact"/>
        <w:rPr>
          <w:sz w:val="20"/>
          <w:szCs w:val="20"/>
          <w:color w:val="auto"/>
        </w:rPr>
      </w:pPr>
    </w:p>
    <w:p>
      <w:pPr>
        <w:ind w:firstLine="619"/>
        <w:spacing w:after="0" w:line="259" w:lineRule="auto"/>
        <w:rPr>
          <w:sz w:val="20"/>
          <w:szCs w:val="20"/>
          <w:color w:val="auto"/>
        </w:rPr>
      </w:pPr>
      <w:r>
        <w:rPr>
          <w:rFonts w:ascii="Times New Roman" w:cs="Times New Roman" w:eastAsia="Times New Roman" w:hAnsi="Times New Roman"/>
          <w:sz w:val="21"/>
          <w:szCs w:val="21"/>
          <w:color w:val="231F20"/>
        </w:rPr>
        <w:t>The EDCs issued additional RFPs pursuant to Section 83C to procure additional offshore wind energy generation in May 2019 and in May 2021. These two procurements led to four additional PPAs for a total of 2400 MW that were approved by MDPU but were later terminated in September 2023.</w:t>
      </w:r>
    </w:p>
    <w:p>
      <w:pPr>
        <w:spacing w:after="0" w:line="184" w:lineRule="exact"/>
        <w:rPr>
          <w:sz w:val="20"/>
          <w:szCs w:val="20"/>
          <w:color w:val="auto"/>
        </w:rPr>
      </w:pPr>
    </w:p>
    <w:p>
      <w:pPr>
        <w:ind w:right="40" w:firstLine="619"/>
        <w:spacing w:after="0" w:line="244" w:lineRule="auto"/>
        <w:rPr>
          <w:sz w:val="20"/>
          <w:szCs w:val="20"/>
          <w:color w:val="auto"/>
        </w:rPr>
      </w:pPr>
      <w:r>
        <w:rPr>
          <w:rFonts w:ascii="Times New Roman" w:cs="Times New Roman" w:eastAsia="Times New Roman" w:hAnsi="Times New Roman"/>
          <w:sz w:val="21"/>
          <w:szCs w:val="21"/>
          <w:color w:val="231F20"/>
        </w:rPr>
        <w:t>The EDCs issued a fourth offshore wind RFP in August 2023 seeking to procure at least 400 MW and up to the maximum amount remaining of the statutory requirement under Section 83C of 5,600 MW of Offshore Wind Energy Generation, pursuant to “An Act Driving Clean Energy and Offshore Wind” (2022), which increased the total solicitation target (including future solicitations) for offshore wind energy generation to 5,600 MW by June 30, 2027. The EDCs received bids for offshore wind energy generation from three developers as part of a multi-state solicitation with Rhode Island and Connecticut. In September 2024, the Massachusetts DOER selected a portfolio of projects totaling 2,678 MW from the three projects, one of which was dependent on commitments from Connecticut. In December 2024, Connecticut withdrew from contract negotiations resulting in the termination of the conditional project. Contract negotiations with the remaining two developers have been extended and are targeted to be completed by June 30, 2026.</w:t>
      </w:r>
    </w:p>
    <w:p>
      <w:pPr>
        <w:spacing w:after="0" w:line="205" w:lineRule="exact"/>
        <w:rPr>
          <w:sz w:val="20"/>
          <w:szCs w:val="20"/>
          <w:color w:val="auto"/>
        </w:rPr>
      </w:pPr>
    </w:p>
    <w:p>
      <w:pPr>
        <w:ind w:right="40" w:firstLine="619"/>
        <w:spacing w:after="0" w:line="244" w:lineRule="auto"/>
        <w:rPr>
          <w:sz w:val="20"/>
          <w:szCs w:val="20"/>
          <w:color w:val="auto"/>
        </w:rPr>
      </w:pPr>
      <w:r>
        <w:rPr>
          <w:rFonts w:ascii="Times New Roman" w:cs="Times New Roman" w:eastAsia="Times New Roman" w:hAnsi="Times New Roman"/>
          <w:sz w:val="21"/>
          <w:szCs w:val="21"/>
          <w:color w:val="231F20"/>
        </w:rPr>
        <w:t>In December 2024, the Massachusetts Legislature approved “</w:t>
      </w:r>
      <w:r>
        <w:rPr>
          <w:rFonts w:ascii="Times New Roman" w:cs="Times New Roman" w:eastAsia="Times New Roman" w:hAnsi="Times New Roman"/>
          <w:sz w:val="21"/>
          <w:szCs w:val="21"/>
          <w:color w:val="2C292A"/>
        </w:rPr>
        <w:t>An Act promoting a clean energy grid, advancing equity,</w:t>
      </w:r>
      <w:r>
        <w:rPr>
          <w:rFonts w:ascii="Times New Roman" w:cs="Times New Roman" w:eastAsia="Times New Roman" w:hAnsi="Times New Roman"/>
          <w:sz w:val="21"/>
          <w:szCs w:val="21"/>
          <w:color w:val="231F20"/>
        </w:rPr>
        <w:t xml:space="preserve"> </w:t>
      </w:r>
      <w:r>
        <w:rPr>
          <w:rFonts w:ascii="Times New Roman" w:cs="Times New Roman" w:eastAsia="Times New Roman" w:hAnsi="Times New Roman"/>
          <w:sz w:val="21"/>
          <w:szCs w:val="21"/>
          <w:color w:val="2C292A"/>
        </w:rPr>
        <w:t xml:space="preserve">and protecting ratepayers” </w:t>
      </w:r>
      <w:r>
        <w:rPr>
          <w:rFonts w:ascii="Times New Roman" w:cs="Times New Roman" w:eastAsia="Times New Roman" w:hAnsi="Times New Roman"/>
          <w:sz w:val="21"/>
          <w:szCs w:val="21"/>
          <w:color w:val="231F20"/>
        </w:rPr>
        <w:t>which among other provisions, extends the period for long-term renewable contracts up to 30 years</w:t>
      </w:r>
      <w:r>
        <w:rPr>
          <w:rFonts w:ascii="Times New Roman" w:cs="Times New Roman" w:eastAsia="Times New Roman" w:hAnsi="Times New Roman"/>
          <w:sz w:val="21"/>
          <w:szCs w:val="21"/>
          <w:color w:val="2C292A"/>
        </w:rPr>
        <w:t xml:space="preserve"> </w:t>
      </w:r>
      <w:r>
        <w:rPr>
          <w:rFonts w:ascii="Times New Roman" w:cs="Times New Roman" w:eastAsia="Times New Roman" w:hAnsi="Times New Roman"/>
          <w:sz w:val="21"/>
          <w:szCs w:val="21"/>
          <w:color w:val="231F20"/>
        </w:rPr>
        <w:t>and directs the EDCs, under a new Section 83E, to “jointly and competitively solicit proposals for energy storage systems and enter into cost-effective long-term contracts equal to, in the aggregate, approximately 5,000 megawatts of energy storage systems not later than July 31, 2030.” Pursuant to Section 83E, the EDCs jointly issued the first RFP for energy storage systems (ESS) in July 2025 seeking environmental attributes associated with approximately 1,500 megawatts of mid-duration energy storage systems. In December 2025, the DOER selected a portfolio of battery energy storage projects that total 1,268 MW and contract negotiations are underway. A second solicitation under Section 83E is currently being developed for release in July 2026. Fitchburg’s pro rata share of the contracts resulting from these procurements is approximately 1%.</w:t>
      </w:r>
    </w:p>
    <w:p>
      <w:pPr>
        <w:spacing w:after="0" w:line="204" w:lineRule="exact"/>
        <w:rPr>
          <w:sz w:val="20"/>
          <w:szCs w:val="20"/>
          <w:color w:val="auto"/>
        </w:rPr>
      </w:pPr>
    </w:p>
    <w:p>
      <w:pPr>
        <w:ind w:right="100" w:firstLine="619"/>
        <w:spacing w:after="0" w:line="259" w:lineRule="auto"/>
        <w:rPr>
          <w:sz w:val="20"/>
          <w:szCs w:val="20"/>
          <w:color w:val="auto"/>
        </w:rPr>
      </w:pPr>
      <w:r>
        <w:rPr>
          <w:rFonts w:ascii="Times New Roman" w:cs="Times New Roman" w:eastAsia="Times New Roman" w:hAnsi="Times New Roman"/>
          <w:sz w:val="21"/>
          <w:szCs w:val="21"/>
          <w:color w:val="231F20"/>
        </w:rPr>
        <w:t>Pursuant to Section 82 of Chapter 179 of the Acts of 2022 (</w:t>
      </w:r>
      <w:r>
        <w:rPr>
          <w:rFonts w:ascii="Times New Roman" w:cs="Times New Roman" w:eastAsia="Times New Roman" w:hAnsi="Times New Roman"/>
          <w:sz w:val="21"/>
          <w:szCs w:val="21"/>
          <w:i w:val="1"/>
          <w:iCs w:val="1"/>
          <w:color w:val="231F20"/>
        </w:rPr>
        <w:t>An Act driving clean energy and offshore wind</w:t>
      </w:r>
      <w:r>
        <w:rPr>
          <w:rFonts w:ascii="Times New Roman" w:cs="Times New Roman" w:eastAsia="Times New Roman" w:hAnsi="Times New Roman"/>
          <w:sz w:val="21"/>
          <w:szCs w:val="21"/>
          <w:color w:val="231F20"/>
        </w:rPr>
        <w:t>), the Massachusetts DOER is authorized to coordinate with other New England states issuing competitive solicitations for long-term clean energy generation, including nuclear power generation, associated environmental attributes, transmission or capacity for</w:t>
      </w:r>
    </w:p>
    <w:p>
      <w:pPr>
        <w:sectPr>
          <w:pgSz w:w="12240" w:h="15840" w:orient="portrait"/>
          <w:cols w:equalWidth="0" w:num="1">
            <w:col w:w="10800"/>
          </w:cols>
          <w:pgMar w:left="720" w:top="929" w:right="720" w:bottom="188" w:gutter="0" w:footer="0" w:header="0"/>
        </w:sect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80</w:t>
      </w:r>
    </w:p>
    <w:p>
      <w:pPr>
        <w:sectPr>
          <w:pgSz w:w="12240" w:h="15840" w:orient="portrait"/>
          <w:cols w:equalWidth="0" w:num="1">
            <w:col w:w="10800"/>
          </w:cols>
          <w:pgMar w:left="720" w:top="929" w:right="720" w:bottom="188" w:gutter="0" w:footer="0" w:header="0"/>
          <w:type w:val="continuous"/>
        </w:sectPr>
      </w:pPr>
    </w:p>
    <w:bookmarkStart w:id="100" w:name="page101"/>
    <w:bookmarkEnd w:id="100"/>
    <w:p>
      <w:pPr>
        <w:ind w:right="120"/>
        <w:spacing w:after="0" w:line="249" w:lineRule="auto"/>
        <w:rPr>
          <w:sz w:val="20"/>
          <w:szCs w:val="20"/>
          <w:color w:val="auto"/>
        </w:rPr>
      </w:pPr>
      <w:r>
        <w:rPr>
          <w:rFonts w:ascii="Times New Roman" w:cs="Times New Roman" w:eastAsia="Times New Roman" w:hAnsi="Times New Roman"/>
          <w:sz w:val="21"/>
          <w:szCs w:val="21"/>
          <w:color w:val="231F20"/>
        </w:rPr>
        <w:t>the benefit of residents of the Commonwealth and the region. If the DOER, in consultation with the EDCs and the office of the Attorney General, determines not later than December 31, 2027, that a project would satisfy the benefits listed in Section 82, DOER may direct the EDCs to enter into cost-effective long-term contracts. DOER is currently exploring procurements issued by Maine and Connecticut. In September 2025, Connecticut issued an Expedited Zero Carbon RFP and following selections made by Connecticut, DOER selected two projects for Massachusetts.</w:t>
      </w:r>
    </w:p>
    <w:p>
      <w:pPr>
        <w:spacing w:after="0" w:line="192" w:lineRule="exact"/>
        <w:rPr>
          <w:sz w:val="20"/>
          <w:szCs w:val="20"/>
          <w:color w:val="auto"/>
        </w:rPr>
      </w:pPr>
    </w:p>
    <w:p>
      <w:pPr>
        <w:ind w:right="80" w:firstLine="619"/>
        <w:spacing w:after="0" w:line="266" w:lineRule="auto"/>
        <w:rPr>
          <w:sz w:val="20"/>
          <w:szCs w:val="20"/>
          <w:color w:val="auto"/>
        </w:rPr>
      </w:pPr>
      <w:r>
        <w:rPr>
          <w:rFonts w:ascii="Times New Roman" w:cs="Times New Roman" w:eastAsia="Times New Roman" w:hAnsi="Times New Roman"/>
          <w:sz w:val="20"/>
          <w:szCs w:val="20"/>
          <w:b w:val="1"/>
          <w:bCs w:val="1"/>
          <w:color w:val="231F20"/>
        </w:rPr>
        <w:t xml:space="preserve">Unitil Energy/Northern Utilities - 2024-2026 Triennial Energy Efficiency Plan - New Hampshire </w:t>
      </w:r>
      <w:r>
        <w:rPr>
          <w:rFonts w:ascii="Times New Roman" w:cs="Times New Roman" w:eastAsia="Times New Roman" w:hAnsi="Times New Roman"/>
          <w:sz w:val="20"/>
          <w:szCs w:val="20"/>
          <w:color w:val="231F20"/>
        </w:rPr>
        <w:t>- On November</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30, 2023, the NHPUC approved the changes to New Hampshire’s ratepayer-funded energy efficiency program offerings for the 2024–2026 period requested by New Hampshire’s electric and gas utilities. On July 1, 2024, the New Hampshire electric and gas utilities filed an interim update with the NHPUC, seeking approval to update the energy efficiency program models with benefit assumptions from the recently issued report of Avoided Energy Supply Components in New England: 2024 Report.</w:t>
      </w:r>
    </w:p>
    <w:p>
      <w:pPr>
        <w:spacing w:after="0" w:line="173" w:lineRule="exact"/>
        <w:rPr>
          <w:sz w:val="20"/>
          <w:szCs w:val="20"/>
          <w:color w:val="auto"/>
        </w:rPr>
      </w:pPr>
    </w:p>
    <w:p>
      <w:pPr>
        <w:ind w:firstLine="619"/>
        <w:spacing w:after="0" w:line="250" w:lineRule="auto"/>
        <w:rPr>
          <w:sz w:val="20"/>
          <w:szCs w:val="20"/>
          <w:color w:val="auto"/>
        </w:rPr>
      </w:pPr>
      <w:r>
        <w:rPr>
          <w:rFonts w:ascii="Times New Roman" w:cs="Times New Roman" w:eastAsia="Times New Roman" w:hAnsi="Times New Roman"/>
          <w:sz w:val="21"/>
          <w:szCs w:val="21"/>
          <w:b w:val="1"/>
          <w:bCs w:val="1"/>
          <w:color w:val="231F20"/>
        </w:rPr>
        <w:t xml:space="preserve">Fitchburg Energy Efficiency Programs </w:t>
      </w:r>
      <w:r>
        <w:rPr>
          <w:rFonts w:ascii="Times New Roman" w:cs="Times New Roman" w:eastAsia="Times New Roman" w:hAnsi="Times New Roman"/>
          <w:sz w:val="21"/>
          <w:szCs w:val="21"/>
          <w:color w:val="231F20"/>
        </w:rPr>
        <w:t>- Both the electric and gas divisions of Fitchburg actively participate in the</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energy efficiency programs in Massachusetts, as directed by the MDPU. These programs require periodic filings and are subject to investigation and review. The Company considers these to be routine regulatory proceedings. The MDPU recently approved the Massachusetts utilities’ 2025-2027 three-year energy efficiency plan subject to certain modifications, including a $500 million reduction to the total residential sector budget.</w:t>
      </w:r>
    </w:p>
    <w:p>
      <w:pPr>
        <w:spacing w:after="0" w:line="191"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21"/>
          <w:szCs w:val="21"/>
          <w:b w:val="1"/>
          <w:bCs w:val="1"/>
          <w:color w:val="231F20"/>
        </w:rPr>
        <w:t>FERC Transmission Formula Rate Proceedings</w:t>
      </w:r>
      <w:r>
        <w:rPr>
          <w:rFonts w:ascii="Times New Roman" w:cs="Times New Roman" w:eastAsia="Times New Roman" w:hAnsi="Times New Roman"/>
          <w:sz w:val="21"/>
          <w:szCs w:val="21"/>
          <w:color w:val="231F20"/>
        </w:rPr>
        <w:t>- Pursuant to Section 206 of the Federal Power Act, there are several</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pending proceedings before the FERC concerning the justness and reasonableness of the Return on Equity (ROE) component of the ISO-New England, Inc. Participating Transmission Owners’ (PTOs) Regional Network Service and Local Network Service formula rates. In August 2013, FERC had found that the Transmission Owners existing ROE was unlawful, and set a new ROE. On April 14, 2017, the U.S. Court of Appeals for the D.C. Circuit issued an opinion vacating and remanding FERC’s decision, finding that FERC had failed to articulate a satisfactory explanation for its orders. At this time, the ROE set in the vacated order will remain in place until further FERC action is taken. On November 21, 2019, the FERC issued an order in EL14-12, Midcontinent Independent System Operator ROE, in which FERC outlined a new methodology for calculating the ROE. The New England Transmission Owners (NETOs) thereafter filed a motion to reopen the record in their pending ROE dockets, which has been granted. This matter remains pending. The Company does not believe these proceedings will have a material adverse effect on its financial condition or results of operations.</w:t>
      </w:r>
    </w:p>
    <w:p>
      <w:pPr>
        <w:spacing w:after="0" w:line="201" w:lineRule="exact"/>
        <w:rPr>
          <w:sz w:val="20"/>
          <w:szCs w:val="20"/>
          <w:color w:val="auto"/>
        </w:rPr>
      </w:pPr>
    </w:p>
    <w:p>
      <w:pPr>
        <w:ind w:right="60" w:firstLine="619"/>
        <w:spacing w:after="0" w:line="244" w:lineRule="auto"/>
        <w:rPr>
          <w:sz w:val="20"/>
          <w:szCs w:val="20"/>
          <w:color w:val="auto"/>
        </w:rPr>
      </w:pPr>
      <w:r>
        <w:rPr>
          <w:rFonts w:ascii="Times New Roman" w:cs="Times New Roman" w:eastAsia="Times New Roman" w:hAnsi="Times New Roman"/>
          <w:sz w:val="21"/>
          <w:szCs w:val="21"/>
          <w:color w:val="231F20"/>
        </w:rPr>
        <w:t>On December 13, 2022, RENEW Northeast, Inc. (RENEW), a non-profit entity that advocates for the business interests of renewable power generators in New England filed a complaint with FERC against ISO-NE and the PTOs requesting a determination that certain open-access transmission tariff schedules are unjust and unreasonable to the extent they permit PTOs to directly assign to interconnection customers O&amp;M costs associated with network upgrades. Fitchburg and Unitil Energy are PTOs, although Unitil Energy does not own transmission plant. The PTOs answered the complaint on January 23, 2023. FERC issued an Order December 19, 2024 and a compliance filing was made on February 18, 2025 revising the ISO-NE OATT accordingly. While most of the intervening parties supported the compliance filing a new issue was raised by one participant. RENEW and the NETO’s have resolved their issues and filed briefs in support of the compliance filing. This matter remains pending in Docket No. EL23-16. The Company does not believe these proceedings will have a material adverse effect on its financial condition or results of operations.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Contractual Obligations</w:t>
      </w:r>
    </w:p>
    <w:p>
      <w:pPr>
        <w:spacing w:after="0" w:line="124" w:lineRule="exact"/>
        <w:rPr>
          <w:sz w:val="20"/>
          <w:szCs w:val="20"/>
          <w:color w:val="auto"/>
        </w:rPr>
      </w:pPr>
    </w:p>
    <w:p>
      <w:pPr>
        <w:ind w:right="40" w:firstLine="619"/>
        <w:spacing w:after="0" w:line="279" w:lineRule="auto"/>
        <w:rPr>
          <w:sz w:val="20"/>
          <w:szCs w:val="20"/>
          <w:color w:val="auto"/>
        </w:rPr>
      </w:pPr>
      <w:r>
        <w:rPr>
          <w:rFonts w:ascii="Times New Roman" w:cs="Times New Roman" w:eastAsia="Times New Roman" w:hAnsi="Times New Roman"/>
          <w:sz w:val="21"/>
          <w:szCs w:val="21"/>
          <w:color w:val="231F20"/>
        </w:rPr>
        <w:t>The following table lists the Company’s known specified gas and electric supply contractual obligations as of December 31, 2025.</w:t>
      </w:r>
    </w:p>
    <w:p>
      <w:pPr>
        <w:spacing w:after="0" w:line="199" w:lineRule="exact"/>
        <w:rPr>
          <w:sz w:val="20"/>
          <w:szCs w:val="20"/>
          <w:color w:val="auto"/>
        </w:rPr>
      </w:pPr>
    </w:p>
    <w:tbl>
      <w:tblPr>
        <w:tblLayout w:type="fixed"/>
        <w:tblInd w:w="540" w:type="dxa"/>
        <w:tblCellMar>
          <w:top w:w="0" w:type="dxa"/>
          <w:left w:w="0" w:type="dxa"/>
          <w:bottom w:w="0" w:type="dxa"/>
          <w:right w:w="0" w:type="dxa"/>
        </w:tblCellMar>
      </w:tblPr>
      <w:tr>
        <w:trPr>
          <w:trHeight w:val="221"/>
        </w:trPr>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Gas and Electric Supply Contractual Obligations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gridSpan w:val="11"/>
          </w:tcPr>
          <w:p>
            <w:pPr>
              <w:ind w:left="80"/>
              <w:spacing w:after="0"/>
              <w:rPr>
                <w:sz w:val="20"/>
                <w:szCs w:val="20"/>
                <w:color w:val="auto"/>
              </w:rPr>
            </w:pPr>
            <w:r>
              <w:rPr>
                <w:rFonts w:ascii="Times New Roman" w:cs="Times New Roman" w:eastAsia="Times New Roman" w:hAnsi="Times New Roman"/>
                <w:sz w:val="16"/>
                <w:szCs w:val="16"/>
                <w:b w:val="1"/>
                <w:bCs w:val="1"/>
                <w:color w:val="231F20"/>
              </w:rPr>
              <w:t>Payments Due by Period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vMerge w:val="restart"/>
          </w:tcPr>
          <w:p>
            <w:pPr>
              <w:jc w:val="right"/>
              <w:ind w:right="31"/>
              <w:spacing w:after="0"/>
              <w:rPr>
                <w:sz w:val="20"/>
                <w:szCs w:val="20"/>
                <w:color w:val="auto"/>
              </w:rPr>
            </w:pPr>
            <w:r>
              <w:rPr>
                <w:rFonts w:ascii="Times New Roman" w:cs="Times New Roman" w:eastAsia="Times New Roman" w:hAnsi="Times New Roman"/>
                <w:sz w:val="16"/>
                <w:szCs w:val="16"/>
                <w:b w:val="1"/>
                <w:bCs w:val="1"/>
                <w:color w:val="231F20"/>
                <w:w w:val="97"/>
              </w:rPr>
              <w:t>2031 &amp;</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4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(millions) as of December 31, 2025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ind w:right="129"/>
              <w:spacing w:after="0"/>
              <w:rPr>
                <w:sz w:val="20"/>
                <w:szCs w:val="20"/>
                <w:color w:val="auto"/>
              </w:rPr>
            </w:pPr>
            <w:r>
              <w:rPr>
                <w:rFonts w:ascii="Times New Roman" w:cs="Times New Roman" w:eastAsia="Times New Roman" w:hAnsi="Times New Roman"/>
                <w:sz w:val="16"/>
                <w:szCs w:val="16"/>
                <w:b w:val="1"/>
                <w:bCs w:val="1"/>
                <w:color w:val="231F20"/>
              </w:rPr>
              <w:t>2026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09"/>
              <w:spacing w:after="0"/>
              <w:rPr>
                <w:sz w:val="20"/>
                <w:szCs w:val="20"/>
                <w:color w:val="auto"/>
              </w:rPr>
            </w:pPr>
            <w:r>
              <w:rPr>
                <w:rFonts w:ascii="Times New Roman" w:cs="Times New Roman" w:eastAsia="Times New Roman" w:hAnsi="Times New Roman"/>
                <w:sz w:val="16"/>
                <w:szCs w:val="16"/>
                <w:b w:val="1"/>
                <w:bCs w:val="1"/>
                <w:color w:val="231F20"/>
              </w:rPr>
              <w:t>2027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129"/>
              <w:spacing w:after="0"/>
              <w:rPr>
                <w:sz w:val="20"/>
                <w:szCs w:val="20"/>
                <w:color w:val="auto"/>
              </w:rPr>
            </w:pPr>
            <w:r>
              <w:rPr>
                <w:rFonts w:ascii="Times New Roman" w:cs="Times New Roman" w:eastAsia="Times New Roman" w:hAnsi="Times New Roman"/>
                <w:sz w:val="16"/>
                <w:szCs w:val="16"/>
                <w:b w:val="1"/>
                <w:bCs w:val="1"/>
                <w:color w:val="231F20"/>
              </w:rPr>
              <w:t>2028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09"/>
              <w:spacing w:after="0"/>
              <w:rPr>
                <w:sz w:val="20"/>
                <w:szCs w:val="20"/>
                <w:color w:val="auto"/>
              </w:rPr>
            </w:pPr>
            <w:r>
              <w:rPr>
                <w:rFonts w:ascii="Times New Roman" w:cs="Times New Roman" w:eastAsia="Times New Roman" w:hAnsi="Times New Roman"/>
                <w:sz w:val="16"/>
                <w:szCs w:val="16"/>
                <w:b w:val="1"/>
                <w:bCs w:val="1"/>
                <w:color w:val="231F20"/>
              </w:rPr>
              <w:t>2029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ind w:right="129"/>
              <w:spacing w:after="0"/>
              <w:rPr>
                <w:sz w:val="20"/>
                <w:szCs w:val="20"/>
                <w:color w:val="auto"/>
              </w:rPr>
            </w:pPr>
            <w:r>
              <w:rPr>
                <w:rFonts w:ascii="Times New Roman" w:cs="Times New Roman" w:eastAsia="Times New Roman" w:hAnsi="Times New Roman"/>
                <w:sz w:val="16"/>
                <w:szCs w:val="16"/>
                <w:b w:val="1"/>
                <w:bCs w:val="1"/>
                <w:color w:val="231F20"/>
              </w:rPr>
              <w:t>2030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Beyond</w:t>
            </w:r>
          </w:p>
        </w:tc>
        <w:tc>
          <w:tcPr>
            <w:tcW w:w="0" w:type="dxa"/>
            <w:vAlign w:val="bottom"/>
          </w:tcPr>
          <w:p>
            <w:pPr>
              <w:spacing w:after="0"/>
              <w:rPr>
                <w:sz w:val="1"/>
                <w:szCs w:val="1"/>
                <w:color w:val="auto"/>
              </w:rPr>
            </w:pPr>
          </w:p>
        </w:tc>
      </w:tr>
      <w:tr>
        <w:trPr>
          <w:trHeight w:val="203"/>
        </w:trPr>
        <w:tc>
          <w:tcPr>
            <w:tcW w:w="2340" w:type="dxa"/>
            <w:vAlign w:val="bottom"/>
            <w:tcBorders>
              <w:top w:val="single" w:sz="8" w:color="231F20"/>
            </w:tcBorders>
            <w:shd w:val="clear" w:color="auto" w:fill="E6E7E8"/>
          </w:tcPr>
          <w:p>
            <w:pPr>
              <w:spacing w:after="0" w:line="204" w:lineRule="exact"/>
              <w:rPr>
                <w:sz w:val="20"/>
                <w:szCs w:val="20"/>
                <w:color w:val="auto"/>
              </w:rPr>
            </w:pPr>
            <w:r>
              <w:rPr>
                <w:rFonts w:ascii="Times New Roman" w:cs="Times New Roman" w:eastAsia="Times New Roman" w:hAnsi="Times New Roman"/>
                <w:sz w:val="19"/>
                <w:szCs w:val="19"/>
                <w:color w:val="231F20"/>
              </w:rPr>
              <w:t>Gas Supply Contracts</w:t>
            </w:r>
          </w:p>
        </w:tc>
        <w:tc>
          <w:tcPr>
            <w:tcW w:w="1080" w:type="dxa"/>
            <w:vAlign w:val="bottom"/>
            <w:tcBorders>
              <w:top w:val="single" w:sz="8" w:color="E6E7E8"/>
            </w:tcBorders>
            <w:shd w:val="clear" w:color="auto" w:fill="E6E7E8"/>
          </w:tcPr>
          <w:p>
            <w:pPr>
              <w:spacing w:after="0"/>
              <w:rPr>
                <w:sz w:val="17"/>
                <w:szCs w:val="17"/>
                <w:color w:val="auto"/>
              </w:rPr>
            </w:pPr>
          </w:p>
        </w:tc>
        <w:tc>
          <w:tcPr>
            <w:tcW w:w="60" w:type="dxa"/>
            <w:vAlign w:val="bottom"/>
            <w:tcBorders>
              <w:top w:val="single" w:sz="8" w:color="E6E7E8"/>
            </w:tcBorders>
            <w:shd w:val="clear" w:color="auto" w:fill="E6E7E8"/>
          </w:tcPr>
          <w:p>
            <w:pPr>
              <w:spacing w:after="0"/>
              <w:rPr>
                <w:sz w:val="17"/>
                <w:szCs w:val="17"/>
                <w:color w:val="auto"/>
              </w:rPr>
            </w:pPr>
          </w:p>
        </w:tc>
        <w:tc>
          <w:tcPr>
            <w:tcW w:w="14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6E7E8"/>
              </w:rPr>
              <w:t>$</w:t>
            </w:r>
          </w:p>
        </w:tc>
        <w:tc>
          <w:tcPr>
            <w:tcW w:w="58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color w:val="231F20"/>
                <w:shd w:val="clear" w:color="auto" w:fill="E6E7E8"/>
              </w:rPr>
              <w:t>779.4</w:t>
            </w:r>
          </w:p>
        </w:tc>
        <w:tc>
          <w:tcPr>
            <w:tcW w:w="180" w:type="dxa"/>
            <w:vAlign w:val="bottom"/>
            <w:tcBorders>
              <w:top w:val="single" w:sz="8" w:color="E6E7E8"/>
            </w:tcBorders>
            <w:shd w:val="clear" w:color="auto" w:fill="E6E7E8"/>
          </w:tcPr>
          <w:p>
            <w:pPr>
              <w:spacing w:after="0"/>
              <w:rPr>
                <w:sz w:val="17"/>
                <w:szCs w:val="17"/>
                <w:color w:val="auto"/>
              </w:rPr>
            </w:pPr>
          </w:p>
        </w:tc>
        <w:tc>
          <w:tcPr>
            <w:tcW w:w="20" w:type="dxa"/>
            <w:vAlign w:val="bottom"/>
            <w:tcBorders>
              <w:top w:val="single" w:sz="8" w:color="E6E7E8"/>
            </w:tcBorders>
            <w:shd w:val="clear" w:color="auto" w:fill="E6E7E8"/>
          </w:tcPr>
          <w:p>
            <w:pPr>
              <w:spacing w:after="0"/>
              <w:rPr>
                <w:sz w:val="17"/>
                <w:szCs w:val="17"/>
                <w:color w:val="auto"/>
              </w:rPr>
            </w:pPr>
          </w:p>
        </w:tc>
        <w:tc>
          <w:tcPr>
            <w:tcW w:w="14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6E7E8"/>
              </w:rPr>
              <w:t>$</w:t>
            </w:r>
          </w:p>
        </w:tc>
        <w:tc>
          <w:tcPr>
            <w:tcW w:w="58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color w:val="231F20"/>
                <w:shd w:val="clear" w:color="auto" w:fill="E6E7E8"/>
              </w:rPr>
              <w:t>113.6</w:t>
            </w:r>
          </w:p>
        </w:tc>
        <w:tc>
          <w:tcPr>
            <w:tcW w:w="180" w:type="dxa"/>
            <w:vAlign w:val="bottom"/>
            <w:tcBorders>
              <w:top w:val="single" w:sz="8" w:color="E6E7E8"/>
            </w:tcBorders>
            <w:shd w:val="clear" w:color="auto" w:fill="E6E7E8"/>
          </w:tcPr>
          <w:p>
            <w:pPr>
              <w:spacing w:after="0"/>
              <w:rPr>
                <w:sz w:val="17"/>
                <w:szCs w:val="17"/>
                <w:color w:val="auto"/>
              </w:rPr>
            </w:pPr>
          </w:p>
        </w:tc>
        <w:tc>
          <w:tcPr>
            <w:tcW w:w="20" w:type="dxa"/>
            <w:vAlign w:val="bottom"/>
            <w:tcBorders>
              <w:top w:val="single" w:sz="8" w:color="E6E7E8"/>
            </w:tcBorders>
            <w:shd w:val="clear" w:color="auto" w:fill="E6E7E8"/>
          </w:tcPr>
          <w:p>
            <w:pPr>
              <w:spacing w:after="0"/>
              <w:rPr>
                <w:sz w:val="17"/>
                <w:szCs w:val="17"/>
                <w:color w:val="auto"/>
              </w:rPr>
            </w:pPr>
          </w:p>
        </w:tc>
        <w:tc>
          <w:tcPr>
            <w:tcW w:w="20" w:type="dxa"/>
            <w:vAlign w:val="bottom"/>
            <w:tcBorders>
              <w:top w:val="single" w:sz="8" w:color="E6E7E8"/>
            </w:tcBorders>
            <w:shd w:val="clear" w:color="auto" w:fill="E6E7E8"/>
          </w:tcPr>
          <w:p>
            <w:pPr>
              <w:spacing w:after="0"/>
              <w:rPr>
                <w:sz w:val="17"/>
                <w:szCs w:val="17"/>
                <w:color w:val="auto"/>
              </w:rPr>
            </w:pPr>
          </w:p>
        </w:tc>
        <w:tc>
          <w:tcPr>
            <w:tcW w:w="100" w:type="dxa"/>
            <w:vAlign w:val="bottom"/>
            <w:tcBorders>
              <w:top w:val="single" w:sz="8" w:color="231F20"/>
            </w:tcBorders>
            <w:shd w:val="clear" w:color="auto" w:fill="E6E7E8"/>
          </w:tcPr>
          <w:p>
            <w:pPr>
              <w:jc w:val="right"/>
              <w:ind w:right="34"/>
              <w:spacing w:after="0"/>
              <w:rPr>
                <w:sz w:val="20"/>
                <w:szCs w:val="20"/>
                <w:color w:val="auto"/>
              </w:rPr>
            </w:pPr>
            <w:r>
              <w:rPr>
                <w:rFonts w:ascii="Times New Roman" w:cs="Times New Roman" w:eastAsia="Times New Roman" w:hAnsi="Times New Roman"/>
                <w:sz w:val="5"/>
                <w:szCs w:val="5"/>
                <w:color w:val="231F20"/>
                <w:w w:val="78"/>
                <w:shd w:val="clear" w:color="auto" w:fill="E6E7E8"/>
              </w:rPr>
              <w:t>$</w:t>
            </w:r>
          </w:p>
        </w:tc>
        <w:tc>
          <w:tcPr>
            <w:tcW w:w="58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color w:val="231F20"/>
                <w:shd w:val="clear" w:color="auto" w:fill="E6E7E8"/>
              </w:rPr>
              <w:t>81.1</w:t>
            </w:r>
          </w:p>
        </w:tc>
        <w:tc>
          <w:tcPr>
            <w:tcW w:w="80" w:type="dxa"/>
            <w:vAlign w:val="bottom"/>
            <w:tcBorders>
              <w:top w:val="single" w:sz="8" w:color="E6E7E8"/>
            </w:tcBorders>
            <w:shd w:val="clear" w:color="auto" w:fill="E6E7E8"/>
          </w:tcPr>
          <w:p>
            <w:pPr>
              <w:spacing w:after="0"/>
              <w:rPr>
                <w:sz w:val="17"/>
                <w:szCs w:val="17"/>
                <w:color w:val="auto"/>
              </w:rPr>
            </w:pPr>
          </w:p>
        </w:tc>
        <w:tc>
          <w:tcPr>
            <w:tcW w:w="100" w:type="dxa"/>
            <w:vAlign w:val="bottom"/>
            <w:tcBorders>
              <w:top w:val="single" w:sz="8" w:color="E6E7E8"/>
            </w:tcBorders>
            <w:shd w:val="clear" w:color="auto" w:fill="E6E7E8"/>
          </w:tcPr>
          <w:p>
            <w:pPr>
              <w:spacing w:after="0"/>
              <w:rPr>
                <w:sz w:val="17"/>
                <w:szCs w:val="17"/>
                <w:color w:val="auto"/>
              </w:rPr>
            </w:pPr>
          </w:p>
        </w:tc>
        <w:tc>
          <w:tcPr>
            <w:tcW w:w="20" w:type="dxa"/>
            <w:vAlign w:val="bottom"/>
            <w:tcBorders>
              <w:top w:val="single" w:sz="8" w:color="E6E7E8"/>
            </w:tcBorders>
            <w:shd w:val="clear" w:color="auto" w:fill="E6E7E8"/>
          </w:tcPr>
          <w:p>
            <w:pPr>
              <w:spacing w:after="0"/>
              <w:rPr>
                <w:sz w:val="17"/>
                <w:szCs w:val="17"/>
                <w:color w:val="auto"/>
              </w:rPr>
            </w:pPr>
          </w:p>
        </w:tc>
        <w:tc>
          <w:tcPr>
            <w:tcW w:w="20" w:type="dxa"/>
            <w:vAlign w:val="bottom"/>
            <w:tcBorders>
              <w:top w:val="single" w:sz="8" w:color="E6E7E8"/>
            </w:tcBorders>
            <w:shd w:val="clear" w:color="auto" w:fill="E6E7E8"/>
          </w:tcPr>
          <w:p>
            <w:pPr>
              <w:spacing w:after="0"/>
              <w:rPr>
                <w:sz w:val="17"/>
                <w:szCs w:val="17"/>
                <w:color w:val="auto"/>
              </w:rPr>
            </w:pPr>
          </w:p>
        </w:tc>
        <w:tc>
          <w:tcPr>
            <w:tcW w:w="120" w:type="dxa"/>
            <w:vAlign w:val="bottom"/>
            <w:tcBorders>
              <w:top w:val="single" w:sz="8" w:color="231F20"/>
            </w:tcBorders>
            <w:shd w:val="clear" w:color="auto" w:fill="E6E7E8"/>
          </w:tcPr>
          <w:p>
            <w:pPr>
              <w:spacing w:after="0" w:line="204" w:lineRule="exact"/>
              <w:rPr>
                <w:sz w:val="20"/>
                <w:szCs w:val="20"/>
                <w:color w:val="auto"/>
              </w:rPr>
            </w:pPr>
            <w:r>
              <w:rPr>
                <w:rFonts w:ascii="Times New Roman" w:cs="Times New Roman" w:eastAsia="Times New Roman" w:hAnsi="Times New Roman"/>
                <w:sz w:val="19"/>
                <w:szCs w:val="19"/>
                <w:color w:val="231F20"/>
                <w:shd w:val="clear" w:color="auto" w:fill="E6E7E8"/>
              </w:rPr>
              <w:t>$</w:t>
            </w:r>
          </w:p>
        </w:tc>
        <w:tc>
          <w:tcPr>
            <w:tcW w:w="58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color w:val="231F20"/>
                <w:shd w:val="clear" w:color="auto" w:fill="E6E7E8"/>
              </w:rPr>
              <w:t>74.1</w:t>
            </w:r>
          </w:p>
        </w:tc>
        <w:tc>
          <w:tcPr>
            <w:tcW w:w="180" w:type="dxa"/>
            <w:vAlign w:val="bottom"/>
            <w:tcBorders>
              <w:top w:val="single" w:sz="8" w:color="E6E7E8"/>
            </w:tcBorders>
            <w:shd w:val="clear" w:color="auto" w:fill="E6E7E8"/>
          </w:tcPr>
          <w:p>
            <w:pPr>
              <w:spacing w:after="0"/>
              <w:rPr>
                <w:sz w:val="17"/>
                <w:szCs w:val="17"/>
                <w:color w:val="auto"/>
              </w:rPr>
            </w:pPr>
          </w:p>
        </w:tc>
        <w:tc>
          <w:tcPr>
            <w:tcW w:w="20" w:type="dxa"/>
            <w:vAlign w:val="bottom"/>
            <w:tcBorders>
              <w:top w:val="single" w:sz="8" w:color="E6E7E8"/>
            </w:tcBorders>
            <w:shd w:val="clear" w:color="auto" w:fill="E6E7E8"/>
          </w:tcPr>
          <w:p>
            <w:pPr>
              <w:spacing w:after="0"/>
              <w:rPr>
                <w:sz w:val="17"/>
                <w:szCs w:val="17"/>
                <w:color w:val="auto"/>
              </w:rPr>
            </w:pPr>
          </w:p>
        </w:tc>
        <w:tc>
          <w:tcPr>
            <w:tcW w:w="20" w:type="dxa"/>
            <w:vAlign w:val="bottom"/>
            <w:tcBorders>
              <w:top w:val="single" w:sz="8" w:color="E6E7E8"/>
            </w:tcBorders>
            <w:shd w:val="clear" w:color="auto" w:fill="E6E7E8"/>
          </w:tcPr>
          <w:p>
            <w:pPr>
              <w:spacing w:after="0"/>
              <w:rPr>
                <w:sz w:val="17"/>
                <w:szCs w:val="17"/>
                <w:color w:val="auto"/>
              </w:rPr>
            </w:pPr>
          </w:p>
        </w:tc>
        <w:tc>
          <w:tcPr>
            <w:tcW w:w="100" w:type="dxa"/>
            <w:vAlign w:val="bottom"/>
            <w:tcBorders>
              <w:top w:val="single" w:sz="8" w:color="231F20"/>
            </w:tcBorders>
            <w:shd w:val="clear" w:color="auto" w:fill="E6E7E8"/>
          </w:tcPr>
          <w:p>
            <w:pPr>
              <w:jc w:val="right"/>
              <w:ind w:right="34"/>
              <w:spacing w:after="0"/>
              <w:rPr>
                <w:sz w:val="20"/>
                <w:szCs w:val="20"/>
                <w:color w:val="auto"/>
              </w:rPr>
            </w:pPr>
            <w:r>
              <w:rPr>
                <w:rFonts w:ascii="Times New Roman" w:cs="Times New Roman" w:eastAsia="Times New Roman" w:hAnsi="Times New Roman"/>
                <w:sz w:val="5"/>
                <w:szCs w:val="5"/>
                <w:color w:val="231F20"/>
                <w:w w:val="78"/>
                <w:shd w:val="clear" w:color="auto" w:fill="E6E7E8"/>
              </w:rPr>
              <w:t>$</w:t>
            </w:r>
          </w:p>
        </w:tc>
        <w:tc>
          <w:tcPr>
            <w:tcW w:w="58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color w:val="231F20"/>
                <w:shd w:val="clear" w:color="auto" w:fill="E6E7E8"/>
              </w:rPr>
              <w:t>67.9</w:t>
            </w:r>
          </w:p>
        </w:tc>
        <w:tc>
          <w:tcPr>
            <w:tcW w:w="180" w:type="dxa"/>
            <w:vAlign w:val="bottom"/>
            <w:tcBorders>
              <w:top w:val="single" w:sz="8" w:color="E6E7E8"/>
            </w:tcBorders>
            <w:shd w:val="clear" w:color="auto" w:fill="E6E7E8"/>
          </w:tcPr>
          <w:p>
            <w:pPr>
              <w:spacing w:after="0"/>
              <w:rPr>
                <w:sz w:val="17"/>
                <w:szCs w:val="17"/>
                <w:color w:val="auto"/>
              </w:rPr>
            </w:pPr>
          </w:p>
        </w:tc>
        <w:tc>
          <w:tcPr>
            <w:tcW w:w="20" w:type="dxa"/>
            <w:vAlign w:val="bottom"/>
            <w:tcBorders>
              <w:top w:val="single" w:sz="8" w:color="E6E7E8"/>
            </w:tcBorders>
            <w:shd w:val="clear" w:color="auto" w:fill="E6E7E8"/>
          </w:tcPr>
          <w:p>
            <w:pPr>
              <w:spacing w:after="0"/>
              <w:rPr>
                <w:sz w:val="17"/>
                <w:szCs w:val="17"/>
                <w:color w:val="auto"/>
              </w:rPr>
            </w:pPr>
          </w:p>
        </w:tc>
        <w:tc>
          <w:tcPr>
            <w:tcW w:w="14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6E7E8"/>
              </w:rPr>
              <w:t>$</w:t>
            </w:r>
          </w:p>
        </w:tc>
        <w:tc>
          <w:tcPr>
            <w:tcW w:w="58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color w:val="231F20"/>
                <w:shd w:val="clear" w:color="auto" w:fill="E6E7E8"/>
              </w:rPr>
              <w:t>53.2</w:t>
            </w:r>
          </w:p>
        </w:tc>
        <w:tc>
          <w:tcPr>
            <w:tcW w:w="180" w:type="dxa"/>
            <w:vAlign w:val="bottom"/>
            <w:tcBorders>
              <w:top w:val="single" w:sz="8" w:color="E6E7E8"/>
            </w:tcBorders>
            <w:shd w:val="clear" w:color="auto" w:fill="E6E7E8"/>
          </w:tcPr>
          <w:p>
            <w:pPr>
              <w:spacing w:after="0"/>
              <w:rPr>
                <w:sz w:val="17"/>
                <w:szCs w:val="17"/>
                <w:color w:val="auto"/>
              </w:rPr>
            </w:pPr>
          </w:p>
        </w:tc>
        <w:tc>
          <w:tcPr>
            <w:tcW w:w="20" w:type="dxa"/>
            <w:vAlign w:val="bottom"/>
            <w:tcBorders>
              <w:top w:val="single" w:sz="8" w:color="E6E7E8"/>
            </w:tcBorders>
            <w:shd w:val="clear" w:color="auto" w:fill="E6E7E8"/>
          </w:tcPr>
          <w:p>
            <w:pPr>
              <w:spacing w:after="0"/>
              <w:rPr>
                <w:sz w:val="17"/>
                <w:szCs w:val="17"/>
                <w:color w:val="auto"/>
              </w:rPr>
            </w:pPr>
          </w:p>
        </w:tc>
        <w:tc>
          <w:tcPr>
            <w:tcW w:w="20" w:type="dxa"/>
            <w:vAlign w:val="bottom"/>
            <w:tcBorders>
              <w:top w:val="single" w:sz="8" w:color="E6E7E8"/>
            </w:tcBorders>
            <w:shd w:val="clear" w:color="auto" w:fill="E6E7E8"/>
          </w:tcPr>
          <w:p>
            <w:pPr>
              <w:spacing w:after="0"/>
              <w:rPr>
                <w:sz w:val="17"/>
                <w:szCs w:val="17"/>
                <w:color w:val="auto"/>
              </w:rPr>
            </w:pPr>
          </w:p>
        </w:tc>
        <w:tc>
          <w:tcPr>
            <w:tcW w:w="6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5"/>
                <w:szCs w:val="5"/>
                <w:color w:val="231F20"/>
                <w:w w:val="78"/>
                <w:shd w:val="clear" w:color="auto" w:fill="E6E7E8"/>
              </w:rPr>
              <w:t>$</w:t>
            </w:r>
          </w:p>
        </w:tc>
        <w:tc>
          <w:tcPr>
            <w:tcW w:w="620" w:type="dxa"/>
            <w:vAlign w:val="bottom"/>
            <w:tcBorders>
              <w:top w:val="single" w:sz="8" w:color="231F20"/>
            </w:tcBorders>
            <w:shd w:val="clear" w:color="auto" w:fill="E6E7E8"/>
          </w:tcPr>
          <w:p>
            <w:pPr>
              <w:jc w:val="right"/>
              <w:spacing w:after="0" w:line="204" w:lineRule="exact"/>
              <w:rPr>
                <w:sz w:val="20"/>
                <w:szCs w:val="20"/>
                <w:color w:val="auto"/>
              </w:rPr>
            </w:pPr>
            <w:r>
              <w:rPr>
                <w:rFonts w:ascii="Times New Roman" w:cs="Times New Roman" w:eastAsia="Times New Roman" w:hAnsi="Times New Roman"/>
                <w:sz w:val="19"/>
                <w:szCs w:val="19"/>
                <w:color w:val="231F20"/>
                <w:shd w:val="clear" w:color="auto" w:fill="E6E7E8"/>
              </w:rPr>
              <w:t>389.5</w:t>
            </w:r>
          </w:p>
        </w:tc>
        <w:tc>
          <w:tcPr>
            <w:tcW w:w="60" w:type="dxa"/>
            <w:vAlign w:val="bottom"/>
            <w:tcBorders>
              <w:top w:val="single" w:sz="8" w:color="E6E7E8"/>
            </w:tcBorders>
            <w:shd w:val="clear" w:color="auto" w:fill="E6E7E8"/>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420" w:type="dxa"/>
            <w:vAlign w:val="bottom"/>
            <w:tcBorders>
              <w:bottom w:val="single" w:sz="8" w:color="E6E7E8"/>
            </w:tcBorders>
            <w:gridSpan w:val="2"/>
          </w:tcPr>
          <w:p>
            <w:pPr>
              <w:spacing w:after="0"/>
              <w:rPr>
                <w:sz w:val="20"/>
                <w:szCs w:val="20"/>
                <w:color w:val="auto"/>
              </w:rPr>
            </w:pPr>
            <w:r>
              <w:rPr>
                <w:rFonts w:ascii="Times New Roman" w:cs="Times New Roman" w:eastAsia="Times New Roman" w:hAnsi="Times New Roman"/>
                <w:sz w:val="19"/>
                <w:szCs w:val="19"/>
                <w:color w:val="231F20"/>
              </w:rPr>
              <w:t>Electric Supply Contracts</w:t>
            </w:r>
          </w:p>
        </w:tc>
        <w:tc>
          <w:tcPr>
            <w:tcW w:w="60" w:type="dxa"/>
            <w:vAlign w:val="bottom"/>
            <w:tcBorders>
              <w:bottom w:val="single" w:sz="8" w:color="E6E7E8"/>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198.3</w:t>
            </w:r>
          </w:p>
        </w:tc>
        <w:tc>
          <w:tcPr>
            <w:tcW w:w="180" w:type="dxa"/>
            <w:vAlign w:val="bottom"/>
            <w:tcBorders>
              <w:bottom w:val="single" w:sz="8" w:color="E6E7E8"/>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9.0</w:t>
            </w:r>
          </w:p>
        </w:tc>
        <w:tc>
          <w:tcPr>
            <w:tcW w:w="180" w:type="dxa"/>
            <w:vAlign w:val="bottom"/>
            <w:tcBorders>
              <w:bottom w:val="single" w:sz="8" w:color="E6E7E8"/>
            </w:tcBorders>
          </w:tcPr>
          <w:p>
            <w:pPr>
              <w:spacing w:after="0"/>
              <w:rPr>
                <w:sz w:val="19"/>
                <w:szCs w:val="19"/>
                <w:color w:val="auto"/>
              </w:rPr>
            </w:pPr>
          </w:p>
        </w:tc>
        <w:tc>
          <w:tcPr>
            <w:tcW w:w="20" w:type="dxa"/>
            <w:vAlign w:val="bottom"/>
            <w:tcBorders>
              <w:bottom w:val="single" w:sz="8" w:color="E6E7E8"/>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9.2</w:t>
            </w:r>
          </w:p>
        </w:tc>
        <w:tc>
          <w:tcPr>
            <w:tcW w:w="80" w:type="dxa"/>
            <w:vAlign w:val="bottom"/>
            <w:tcBorders>
              <w:bottom w:val="single" w:sz="8" w:color="E6E7E8"/>
            </w:tcBorders>
          </w:tcPr>
          <w:p>
            <w:pPr>
              <w:spacing w:after="0"/>
              <w:rPr>
                <w:sz w:val="19"/>
                <w:szCs w:val="19"/>
                <w:color w:val="auto"/>
              </w:rPr>
            </w:pPr>
          </w:p>
        </w:tc>
        <w:tc>
          <w:tcPr>
            <w:tcW w:w="100" w:type="dxa"/>
            <w:vAlign w:val="bottom"/>
            <w:tcBorders>
              <w:bottom w:val="single" w:sz="8" w:color="E6E7E8"/>
            </w:tcBorders>
          </w:tcPr>
          <w:p>
            <w:pPr>
              <w:spacing w:after="0"/>
              <w:rPr>
                <w:sz w:val="19"/>
                <w:szCs w:val="19"/>
                <w:color w:val="auto"/>
              </w:rPr>
            </w:pPr>
          </w:p>
        </w:tc>
        <w:tc>
          <w:tcPr>
            <w:tcW w:w="20" w:type="dxa"/>
            <w:vAlign w:val="bottom"/>
            <w:tcBorders>
              <w:bottom w:val="single" w:sz="8" w:color="E6E7E8"/>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9.2</w:t>
            </w:r>
          </w:p>
        </w:tc>
        <w:tc>
          <w:tcPr>
            <w:tcW w:w="180" w:type="dxa"/>
            <w:vAlign w:val="bottom"/>
            <w:tcBorders>
              <w:bottom w:val="single" w:sz="8" w:color="E6E7E8"/>
            </w:tcBorders>
          </w:tcPr>
          <w:p>
            <w:pPr>
              <w:spacing w:after="0"/>
              <w:rPr>
                <w:sz w:val="19"/>
                <w:szCs w:val="19"/>
                <w:color w:val="auto"/>
              </w:rPr>
            </w:pPr>
          </w:p>
        </w:tc>
        <w:tc>
          <w:tcPr>
            <w:tcW w:w="20" w:type="dxa"/>
            <w:vAlign w:val="bottom"/>
            <w:tcBorders>
              <w:bottom w:val="single" w:sz="8" w:color="E6E7E8"/>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9.1</w:t>
            </w:r>
          </w:p>
        </w:tc>
        <w:tc>
          <w:tcPr>
            <w:tcW w:w="180" w:type="dxa"/>
            <w:vAlign w:val="bottom"/>
            <w:tcBorders>
              <w:bottom w:val="single" w:sz="8" w:color="E6E7E8"/>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9.3</w:t>
            </w:r>
          </w:p>
        </w:tc>
        <w:tc>
          <w:tcPr>
            <w:tcW w:w="180" w:type="dxa"/>
            <w:vAlign w:val="bottom"/>
            <w:tcBorders>
              <w:bottom w:val="single" w:sz="8" w:color="E6E7E8"/>
            </w:tcBorders>
          </w:tcPr>
          <w:p>
            <w:pPr>
              <w:spacing w:after="0"/>
              <w:rPr>
                <w:sz w:val="19"/>
                <w:szCs w:val="19"/>
                <w:color w:val="auto"/>
              </w:rPr>
            </w:pPr>
          </w:p>
        </w:tc>
        <w:tc>
          <w:tcPr>
            <w:tcW w:w="20" w:type="dxa"/>
            <w:vAlign w:val="bottom"/>
            <w:tcBorders>
              <w:bottom w:val="single" w:sz="8" w:color="E6E7E8"/>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60" w:type="dxa"/>
            <w:vAlign w:val="bottom"/>
            <w:tcBorders>
              <w:bottom w:val="single" w:sz="8" w:color="231F20"/>
            </w:tcBorders>
          </w:tcPr>
          <w:p>
            <w:pPr>
              <w:spacing w:after="0"/>
              <w:rPr>
                <w:sz w:val="19"/>
                <w:szCs w:val="19"/>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152.5</w:t>
            </w:r>
          </w:p>
        </w:tc>
        <w:tc>
          <w:tcPr>
            <w:tcW w:w="60" w:type="dxa"/>
            <w:vAlign w:val="bottom"/>
            <w:tcBorders>
              <w:bottom w:val="single" w:sz="8" w:color="E6E7E8"/>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420" w:type="dxa"/>
            <w:vAlign w:val="bottom"/>
            <w:gridSpan w:val="2"/>
            <w:shd w:val="clear" w:color="auto" w:fill="E6E7E8"/>
          </w:tcPr>
          <w:p>
            <w:pPr>
              <w:ind w:left="200"/>
              <w:spacing w:after="0" w:line="214" w:lineRule="exact"/>
              <w:rPr>
                <w:sz w:val="20"/>
                <w:szCs w:val="20"/>
                <w:color w:val="auto"/>
              </w:rPr>
            </w:pPr>
            <w:r>
              <w:rPr>
                <w:rFonts w:ascii="Times New Roman" w:cs="Times New Roman" w:eastAsia="Times New Roman" w:hAnsi="Times New Roman"/>
                <w:sz w:val="19"/>
                <w:szCs w:val="19"/>
                <w:color w:val="231F20"/>
              </w:rPr>
              <w:t>Total</w:t>
            </w:r>
          </w:p>
        </w:tc>
        <w:tc>
          <w:tcPr>
            <w:tcW w:w="60" w:type="dxa"/>
            <w:vAlign w:val="bottom"/>
            <w:shd w:val="clear" w:color="auto" w:fill="E6E7E8"/>
          </w:tcPr>
          <w:p>
            <w:pPr>
              <w:spacing w:after="0"/>
              <w:rPr>
                <w:sz w:val="18"/>
                <w:szCs w:val="18"/>
                <w:color w:val="auto"/>
              </w:rPr>
            </w:pPr>
          </w:p>
        </w:tc>
        <w:tc>
          <w:tcPr>
            <w:tcW w:w="14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6E7E8"/>
              </w:rPr>
              <w:t>$</w:t>
            </w:r>
          </w:p>
        </w:tc>
        <w:tc>
          <w:tcPr>
            <w:tcW w:w="580" w:type="dxa"/>
            <w:vAlign w:val="bottom"/>
            <w:tcBorders>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shd w:val="clear" w:color="auto" w:fill="E6E7E8"/>
              </w:rPr>
              <w:t>977.7</w:t>
            </w:r>
          </w:p>
        </w:tc>
        <w:tc>
          <w:tcPr>
            <w:tcW w:w="180" w:type="dxa"/>
            <w:vAlign w:val="bottom"/>
            <w:shd w:val="clear" w:color="auto" w:fill="E6E7E8"/>
          </w:tcPr>
          <w:p>
            <w:pPr>
              <w:spacing w:after="0"/>
              <w:rPr>
                <w:sz w:val="18"/>
                <w:szCs w:val="18"/>
                <w:color w:val="auto"/>
              </w:rPr>
            </w:pPr>
          </w:p>
        </w:tc>
        <w:tc>
          <w:tcPr>
            <w:tcW w:w="20" w:type="dxa"/>
            <w:vAlign w:val="bottom"/>
            <w:tcBorders>
              <w:bottom w:val="single" w:sz="8" w:color="231F20"/>
            </w:tcBorders>
            <w:shd w:val="clear" w:color="auto" w:fill="E6E7E8"/>
          </w:tcPr>
          <w:p>
            <w:pPr>
              <w:spacing w:after="0"/>
              <w:rPr>
                <w:sz w:val="18"/>
                <w:szCs w:val="18"/>
                <w:color w:val="auto"/>
              </w:rPr>
            </w:pPr>
          </w:p>
        </w:tc>
        <w:tc>
          <w:tcPr>
            <w:tcW w:w="14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6E7E8"/>
              </w:rPr>
              <w:t>$</w:t>
            </w:r>
          </w:p>
        </w:tc>
        <w:tc>
          <w:tcPr>
            <w:tcW w:w="580" w:type="dxa"/>
            <w:vAlign w:val="bottom"/>
            <w:tcBorders>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shd w:val="clear" w:color="auto" w:fill="E6E7E8"/>
              </w:rPr>
              <w:t>122.6</w:t>
            </w:r>
          </w:p>
        </w:tc>
        <w:tc>
          <w:tcPr>
            <w:tcW w:w="180" w:type="dxa"/>
            <w:vAlign w:val="bottom"/>
            <w:shd w:val="clear" w:color="auto" w:fill="E6E7E8"/>
          </w:tcPr>
          <w:p>
            <w:pPr>
              <w:spacing w:after="0"/>
              <w:rPr>
                <w:sz w:val="18"/>
                <w:szCs w:val="18"/>
                <w:color w:val="auto"/>
              </w:rPr>
            </w:pPr>
          </w:p>
        </w:tc>
        <w:tc>
          <w:tcPr>
            <w:tcW w:w="20" w:type="dxa"/>
            <w:vAlign w:val="bottom"/>
            <w:tcBorders>
              <w:bottom w:val="single" w:sz="8" w:color="231F20"/>
            </w:tcBorders>
            <w:shd w:val="clear" w:color="auto" w:fill="E6E7E8"/>
          </w:tcPr>
          <w:p>
            <w:pPr>
              <w:spacing w:after="0"/>
              <w:rPr>
                <w:sz w:val="18"/>
                <w:szCs w:val="18"/>
                <w:color w:val="auto"/>
              </w:rPr>
            </w:pPr>
          </w:p>
        </w:tc>
        <w:tc>
          <w:tcPr>
            <w:tcW w:w="20" w:type="dxa"/>
            <w:vAlign w:val="bottom"/>
            <w:tcBorders>
              <w:bottom w:val="single" w:sz="8" w:color="231F20"/>
            </w:tcBorders>
            <w:shd w:val="clear" w:color="auto" w:fill="E6E7E8"/>
          </w:tcPr>
          <w:p>
            <w:pPr>
              <w:spacing w:after="0"/>
              <w:rPr>
                <w:sz w:val="18"/>
                <w:szCs w:val="18"/>
                <w:color w:val="auto"/>
              </w:rPr>
            </w:pPr>
          </w:p>
        </w:tc>
        <w:tc>
          <w:tcPr>
            <w:tcW w:w="100" w:type="dxa"/>
            <w:vAlign w:val="bottom"/>
            <w:tcBorders>
              <w:bottom w:val="single" w:sz="8" w:color="231F20"/>
            </w:tcBorders>
            <w:shd w:val="clear" w:color="auto" w:fill="E6E7E8"/>
          </w:tcPr>
          <w:p>
            <w:pPr>
              <w:jc w:val="right"/>
              <w:ind w:right="34"/>
              <w:spacing w:after="0"/>
              <w:rPr>
                <w:sz w:val="20"/>
                <w:szCs w:val="20"/>
                <w:color w:val="auto"/>
              </w:rPr>
            </w:pPr>
            <w:r>
              <w:rPr>
                <w:rFonts w:ascii="Times New Roman" w:cs="Times New Roman" w:eastAsia="Times New Roman" w:hAnsi="Times New Roman"/>
                <w:sz w:val="5"/>
                <w:szCs w:val="5"/>
                <w:color w:val="231F20"/>
                <w:w w:val="78"/>
                <w:shd w:val="clear" w:color="auto" w:fill="E6E7E8"/>
              </w:rPr>
              <w:t>$</w:t>
            </w:r>
          </w:p>
        </w:tc>
        <w:tc>
          <w:tcPr>
            <w:tcW w:w="580" w:type="dxa"/>
            <w:vAlign w:val="bottom"/>
            <w:tcBorders>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shd w:val="clear" w:color="auto" w:fill="E6E7E8"/>
              </w:rPr>
              <w:t>90.</w:t>
            </w:r>
            <w:r>
              <w:rPr>
                <w:rFonts w:ascii="Times New Roman" w:cs="Times New Roman" w:eastAsia="Times New Roman" w:hAnsi="Times New Roman"/>
                <w:sz w:val="19"/>
                <w:szCs w:val="19"/>
                <w:u w:val="single" w:color="auto"/>
                <w:color w:val="231F20"/>
                <w:shd w:val="clear" w:color="auto" w:fill="E6E7E8"/>
              </w:rPr>
              <w:t>3</w:t>
            </w:r>
          </w:p>
        </w:tc>
        <w:tc>
          <w:tcPr>
            <w:tcW w:w="80" w:type="dxa"/>
            <w:vAlign w:val="bottom"/>
            <w:shd w:val="clear" w:color="auto" w:fill="E6E7E8"/>
          </w:tcPr>
          <w:p>
            <w:pPr>
              <w:spacing w:after="0"/>
              <w:rPr>
                <w:sz w:val="18"/>
                <w:szCs w:val="18"/>
                <w:color w:val="auto"/>
              </w:rPr>
            </w:pPr>
          </w:p>
        </w:tc>
        <w:tc>
          <w:tcPr>
            <w:tcW w:w="100" w:type="dxa"/>
            <w:vAlign w:val="bottom"/>
            <w:shd w:val="clear" w:color="auto" w:fill="E6E7E8"/>
          </w:tcPr>
          <w:p>
            <w:pPr>
              <w:spacing w:after="0"/>
              <w:rPr>
                <w:sz w:val="18"/>
                <w:szCs w:val="18"/>
                <w:color w:val="auto"/>
              </w:rPr>
            </w:pPr>
          </w:p>
        </w:tc>
        <w:tc>
          <w:tcPr>
            <w:tcW w:w="20" w:type="dxa"/>
            <w:vAlign w:val="bottom"/>
            <w:tcBorders>
              <w:bottom w:val="single" w:sz="8" w:color="231F20"/>
            </w:tcBorders>
            <w:shd w:val="clear" w:color="auto" w:fill="E6E7E8"/>
          </w:tcPr>
          <w:p>
            <w:pPr>
              <w:spacing w:after="0"/>
              <w:rPr>
                <w:sz w:val="18"/>
                <w:szCs w:val="18"/>
                <w:color w:val="auto"/>
              </w:rPr>
            </w:pPr>
          </w:p>
        </w:tc>
        <w:tc>
          <w:tcPr>
            <w:tcW w:w="20" w:type="dxa"/>
            <w:vAlign w:val="bottom"/>
            <w:tcBorders>
              <w:bottom w:val="single" w:sz="8" w:color="231F20"/>
            </w:tcBorders>
            <w:shd w:val="clear" w:color="auto" w:fill="E6E7E8"/>
          </w:tcPr>
          <w:p>
            <w:pPr>
              <w:spacing w:after="0"/>
              <w:rPr>
                <w:sz w:val="18"/>
                <w:szCs w:val="18"/>
                <w:color w:val="auto"/>
              </w:rPr>
            </w:pPr>
          </w:p>
        </w:tc>
        <w:tc>
          <w:tcPr>
            <w:tcW w:w="120" w:type="dxa"/>
            <w:vAlign w:val="bottom"/>
            <w:tcBorders>
              <w:bottom w:val="single" w:sz="8" w:color="231F20"/>
            </w:tcBorders>
            <w:shd w:val="clear" w:color="auto" w:fill="E6E7E8"/>
          </w:tcPr>
          <w:p>
            <w:pPr>
              <w:spacing w:after="0" w:line="214" w:lineRule="exact"/>
              <w:rPr>
                <w:sz w:val="20"/>
                <w:szCs w:val="20"/>
                <w:color w:val="auto"/>
              </w:rPr>
            </w:pPr>
            <w:r>
              <w:rPr>
                <w:rFonts w:ascii="Times New Roman" w:cs="Times New Roman" w:eastAsia="Times New Roman" w:hAnsi="Times New Roman"/>
                <w:sz w:val="19"/>
                <w:szCs w:val="19"/>
                <w:color w:val="231F20"/>
                <w:shd w:val="clear" w:color="auto" w:fill="E6E7E8"/>
              </w:rPr>
              <w:t>$</w:t>
            </w:r>
          </w:p>
        </w:tc>
        <w:tc>
          <w:tcPr>
            <w:tcW w:w="580" w:type="dxa"/>
            <w:vAlign w:val="bottom"/>
            <w:tcBorders>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shd w:val="clear" w:color="auto" w:fill="E6E7E8"/>
              </w:rPr>
              <w:t>83.</w:t>
            </w:r>
            <w:r>
              <w:rPr>
                <w:rFonts w:ascii="Times New Roman" w:cs="Times New Roman" w:eastAsia="Times New Roman" w:hAnsi="Times New Roman"/>
                <w:sz w:val="19"/>
                <w:szCs w:val="19"/>
                <w:u w:val="single" w:color="auto"/>
                <w:color w:val="231F20"/>
                <w:shd w:val="clear" w:color="auto" w:fill="E6E7E8"/>
              </w:rPr>
              <w:t>3</w:t>
            </w:r>
          </w:p>
        </w:tc>
        <w:tc>
          <w:tcPr>
            <w:tcW w:w="180" w:type="dxa"/>
            <w:vAlign w:val="bottom"/>
            <w:shd w:val="clear" w:color="auto" w:fill="E6E7E8"/>
          </w:tcPr>
          <w:p>
            <w:pPr>
              <w:spacing w:after="0"/>
              <w:rPr>
                <w:sz w:val="18"/>
                <w:szCs w:val="18"/>
                <w:color w:val="auto"/>
              </w:rPr>
            </w:pPr>
          </w:p>
        </w:tc>
        <w:tc>
          <w:tcPr>
            <w:tcW w:w="20" w:type="dxa"/>
            <w:vAlign w:val="bottom"/>
            <w:tcBorders>
              <w:bottom w:val="single" w:sz="8" w:color="231F20"/>
            </w:tcBorders>
            <w:shd w:val="clear" w:color="auto" w:fill="E6E7E8"/>
          </w:tcPr>
          <w:p>
            <w:pPr>
              <w:spacing w:after="0"/>
              <w:rPr>
                <w:sz w:val="18"/>
                <w:szCs w:val="18"/>
                <w:color w:val="auto"/>
              </w:rPr>
            </w:pPr>
          </w:p>
        </w:tc>
        <w:tc>
          <w:tcPr>
            <w:tcW w:w="20" w:type="dxa"/>
            <w:vAlign w:val="bottom"/>
            <w:tcBorders>
              <w:bottom w:val="single" w:sz="8" w:color="231F20"/>
            </w:tcBorders>
            <w:shd w:val="clear" w:color="auto" w:fill="E6E7E8"/>
          </w:tcPr>
          <w:p>
            <w:pPr>
              <w:spacing w:after="0"/>
              <w:rPr>
                <w:sz w:val="18"/>
                <w:szCs w:val="18"/>
                <w:color w:val="auto"/>
              </w:rPr>
            </w:pPr>
          </w:p>
        </w:tc>
        <w:tc>
          <w:tcPr>
            <w:tcW w:w="100" w:type="dxa"/>
            <w:vAlign w:val="bottom"/>
            <w:tcBorders>
              <w:bottom w:val="single" w:sz="8" w:color="231F20"/>
            </w:tcBorders>
            <w:shd w:val="clear" w:color="auto" w:fill="E6E7E8"/>
          </w:tcPr>
          <w:p>
            <w:pPr>
              <w:jc w:val="right"/>
              <w:ind w:right="34"/>
              <w:spacing w:after="0"/>
              <w:rPr>
                <w:sz w:val="20"/>
                <w:szCs w:val="20"/>
                <w:color w:val="auto"/>
              </w:rPr>
            </w:pPr>
            <w:r>
              <w:rPr>
                <w:rFonts w:ascii="Times New Roman" w:cs="Times New Roman" w:eastAsia="Times New Roman" w:hAnsi="Times New Roman"/>
                <w:sz w:val="5"/>
                <w:szCs w:val="5"/>
                <w:color w:val="231F20"/>
                <w:w w:val="78"/>
                <w:shd w:val="clear" w:color="auto" w:fill="E6E7E8"/>
              </w:rPr>
              <w:t>$</w:t>
            </w:r>
          </w:p>
        </w:tc>
        <w:tc>
          <w:tcPr>
            <w:tcW w:w="580" w:type="dxa"/>
            <w:vAlign w:val="bottom"/>
            <w:tcBorders>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shd w:val="clear" w:color="auto" w:fill="E6E7E8"/>
              </w:rPr>
              <w:t>77.</w:t>
            </w:r>
            <w:r>
              <w:rPr>
                <w:rFonts w:ascii="Times New Roman" w:cs="Times New Roman" w:eastAsia="Times New Roman" w:hAnsi="Times New Roman"/>
                <w:sz w:val="19"/>
                <w:szCs w:val="19"/>
                <w:u w:val="single" w:color="auto"/>
                <w:color w:val="231F20"/>
                <w:shd w:val="clear" w:color="auto" w:fill="E6E7E8"/>
              </w:rPr>
              <w:t>0</w:t>
            </w:r>
          </w:p>
        </w:tc>
        <w:tc>
          <w:tcPr>
            <w:tcW w:w="180" w:type="dxa"/>
            <w:vAlign w:val="bottom"/>
            <w:shd w:val="clear" w:color="auto" w:fill="E6E7E8"/>
          </w:tcPr>
          <w:p>
            <w:pPr>
              <w:spacing w:after="0"/>
              <w:rPr>
                <w:sz w:val="18"/>
                <w:szCs w:val="18"/>
                <w:color w:val="auto"/>
              </w:rPr>
            </w:pPr>
          </w:p>
        </w:tc>
        <w:tc>
          <w:tcPr>
            <w:tcW w:w="20" w:type="dxa"/>
            <w:vAlign w:val="bottom"/>
            <w:tcBorders>
              <w:bottom w:val="single" w:sz="8" w:color="231F20"/>
            </w:tcBorders>
            <w:shd w:val="clear" w:color="auto" w:fill="E6E7E8"/>
          </w:tcPr>
          <w:p>
            <w:pPr>
              <w:spacing w:after="0"/>
              <w:rPr>
                <w:sz w:val="18"/>
                <w:szCs w:val="18"/>
                <w:color w:val="auto"/>
              </w:rPr>
            </w:pPr>
          </w:p>
        </w:tc>
        <w:tc>
          <w:tcPr>
            <w:tcW w:w="14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6E7E8"/>
              </w:rPr>
              <w:t>$</w:t>
            </w:r>
          </w:p>
        </w:tc>
        <w:tc>
          <w:tcPr>
            <w:tcW w:w="580" w:type="dxa"/>
            <w:vAlign w:val="bottom"/>
            <w:tcBorders>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shd w:val="clear" w:color="auto" w:fill="E6E7E8"/>
              </w:rPr>
              <w:t>62.</w:t>
            </w:r>
            <w:r>
              <w:rPr>
                <w:rFonts w:ascii="Times New Roman" w:cs="Times New Roman" w:eastAsia="Times New Roman" w:hAnsi="Times New Roman"/>
                <w:sz w:val="19"/>
                <w:szCs w:val="19"/>
                <w:u w:val="single" w:color="auto"/>
                <w:color w:val="231F20"/>
                <w:shd w:val="clear" w:color="auto" w:fill="E6E7E8"/>
              </w:rPr>
              <w:t>5</w:t>
            </w:r>
          </w:p>
        </w:tc>
        <w:tc>
          <w:tcPr>
            <w:tcW w:w="180" w:type="dxa"/>
            <w:vAlign w:val="bottom"/>
            <w:shd w:val="clear" w:color="auto" w:fill="E6E7E8"/>
          </w:tcPr>
          <w:p>
            <w:pPr>
              <w:spacing w:after="0"/>
              <w:rPr>
                <w:sz w:val="18"/>
                <w:szCs w:val="18"/>
                <w:color w:val="auto"/>
              </w:rPr>
            </w:pPr>
          </w:p>
        </w:tc>
        <w:tc>
          <w:tcPr>
            <w:tcW w:w="20" w:type="dxa"/>
            <w:vAlign w:val="bottom"/>
            <w:tcBorders>
              <w:bottom w:val="single" w:sz="8" w:color="231F20"/>
            </w:tcBorders>
            <w:shd w:val="clear" w:color="auto" w:fill="E6E7E8"/>
          </w:tcPr>
          <w:p>
            <w:pPr>
              <w:spacing w:after="0"/>
              <w:rPr>
                <w:sz w:val="18"/>
                <w:szCs w:val="18"/>
                <w:color w:val="auto"/>
              </w:rPr>
            </w:pPr>
          </w:p>
        </w:tc>
        <w:tc>
          <w:tcPr>
            <w:tcW w:w="20" w:type="dxa"/>
            <w:vAlign w:val="bottom"/>
            <w:tcBorders>
              <w:bottom w:val="single" w:sz="8" w:color="231F20"/>
            </w:tcBorders>
            <w:shd w:val="clear" w:color="auto" w:fill="E6E7E8"/>
          </w:tcPr>
          <w:p>
            <w:pPr>
              <w:spacing w:after="0"/>
              <w:rPr>
                <w:sz w:val="18"/>
                <w:szCs w:val="18"/>
                <w:color w:val="auto"/>
              </w:rPr>
            </w:pPr>
          </w:p>
        </w:tc>
        <w:tc>
          <w:tcPr>
            <w:tcW w:w="6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5"/>
                <w:szCs w:val="5"/>
                <w:color w:val="231F20"/>
                <w:w w:val="78"/>
                <w:shd w:val="clear" w:color="auto" w:fill="E6E7E8"/>
              </w:rPr>
              <w:t>$</w:t>
            </w:r>
          </w:p>
        </w:tc>
        <w:tc>
          <w:tcPr>
            <w:tcW w:w="620" w:type="dxa"/>
            <w:vAlign w:val="bottom"/>
            <w:tcBorders>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shd w:val="clear" w:color="auto" w:fill="E6E7E8"/>
              </w:rPr>
              <w:t>542.0</w:t>
            </w:r>
          </w:p>
        </w:tc>
        <w:tc>
          <w:tcPr>
            <w:tcW w:w="60" w:type="dxa"/>
            <w:vAlign w:val="bottom"/>
            <w:shd w:val="clear" w:color="auto" w:fill="E6E7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-720725</wp:posOffset>
            </wp:positionV>
            <wp:extent cx="338899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51">
                      <a:extLst>
                        <a:ext uri="{28A0092B-C50C-407E-A947-70E740481C1C}"/>
                      </a:extLst>
                    </a:blip>
                    <a:srcRect/>
                    <a:stretch>
                      <a:fillRect/>
                    </a:stretch>
                  </pic:blipFill>
                  <pic:spPr bwMode="auto">
                    <a:xfrm>
                      <a:off x="0" y="0"/>
                      <a:ext cx="3388995" cy="38100"/>
                    </a:xfrm>
                    <a:prstGeom prst="rect">
                      <a:avLst/>
                    </a:prstGeom>
                    <a:noFill/>
                  </pic:spPr>
                </pic:pic>
              </a:graphicData>
            </a:graphic>
          </wp:anchor>
        </w:drawing>
      </w:r>
    </w:p>
    <w:p>
      <w:pPr>
        <w:spacing w:after="0" w:line="235" w:lineRule="exact"/>
        <w:rPr>
          <w:sz w:val="20"/>
          <w:szCs w:val="20"/>
          <w:color w:val="auto"/>
        </w:rPr>
      </w:pPr>
    </w:p>
    <w:p>
      <w:pPr>
        <w:ind w:firstLine="612"/>
        <w:spacing w:after="0" w:line="253" w:lineRule="auto"/>
        <w:rPr>
          <w:sz w:val="20"/>
          <w:szCs w:val="20"/>
          <w:color w:val="auto"/>
        </w:rPr>
      </w:pPr>
      <w:r>
        <w:rPr>
          <w:rFonts w:ascii="Times New Roman" w:cs="Times New Roman" w:eastAsia="Times New Roman" w:hAnsi="Times New Roman"/>
          <w:sz w:val="21"/>
          <w:szCs w:val="21"/>
          <w:color w:val="231F20"/>
        </w:rPr>
        <w:t>The Company and its subsidiaries have material energy supply commitments (see Note 6 Energy Supply). Cash outlays for the purchase of electricity and natural gas to serve customers are subject to reconciling recovery through periodic changes in rates, with carrying charges on deferred balances. From year to year, there are likely to be timing differences associated with the cash recovery of such costs, creating under- or over-recovery situations at any point in time. Rate recovery mechanisms are</w:t>
      </w:r>
    </w:p>
    <w:p>
      <w:pPr>
        <w:sectPr>
          <w:pgSz w:w="12240" w:h="15840" w:orient="portrait"/>
          <w:cols w:equalWidth="0" w:num="1">
            <w:col w:w="10780"/>
          </w:cols>
          <w:pgMar w:left="720" w:top="928" w:right="740" w:bottom="188"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81</w:t>
      </w:r>
    </w:p>
    <w:p>
      <w:pPr>
        <w:sectPr>
          <w:pgSz w:w="12240" w:h="15840" w:orient="portrait"/>
          <w:cols w:equalWidth="0" w:num="1">
            <w:col w:w="10780"/>
          </w:cols>
          <w:pgMar w:left="720" w:top="928" w:right="740" w:bottom="188" w:gutter="0" w:footer="0" w:header="0"/>
          <w:type w:val="continuous"/>
        </w:sectPr>
      </w:pPr>
    </w:p>
    <w:bookmarkStart w:id="101" w:name="page102"/>
    <w:bookmarkEnd w:id="101"/>
    <w:p>
      <w:pPr>
        <w:jc w:val="both"/>
        <w:ind w:right="200"/>
        <w:spacing w:after="0" w:line="279" w:lineRule="auto"/>
        <w:rPr>
          <w:sz w:val="20"/>
          <w:szCs w:val="20"/>
          <w:color w:val="auto"/>
        </w:rPr>
      </w:pPr>
      <w:r>
        <w:rPr>
          <w:rFonts w:ascii="Times New Roman" w:cs="Times New Roman" w:eastAsia="Times New Roman" w:hAnsi="Times New Roman"/>
          <w:sz w:val="21"/>
          <w:szCs w:val="21"/>
          <w:color w:val="231F20"/>
        </w:rPr>
        <w:t>typically designed to collect the under-recovered cash or refund the over-collected cash over subsequent periods of less than a year.</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Legal Proceedings</w:t>
      </w:r>
    </w:p>
    <w:p>
      <w:pPr>
        <w:spacing w:after="0" w:line="142" w:lineRule="exact"/>
        <w:rPr>
          <w:sz w:val="20"/>
          <w:szCs w:val="20"/>
          <w:color w:val="auto"/>
        </w:rPr>
      </w:pPr>
    </w:p>
    <w:p>
      <w:pPr>
        <w:jc w:val="both"/>
        <w:ind w:right="220" w:firstLine="619"/>
        <w:spacing w:after="0" w:line="278" w:lineRule="auto"/>
        <w:rPr>
          <w:sz w:val="20"/>
          <w:szCs w:val="20"/>
          <w:color w:val="auto"/>
        </w:rPr>
      </w:pPr>
      <w:r>
        <w:rPr>
          <w:rFonts w:ascii="Times New Roman" w:cs="Times New Roman" w:eastAsia="Times New Roman" w:hAnsi="Times New Roman"/>
          <w:sz w:val="20"/>
          <w:szCs w:val="20"/>
          <w:color w:val="231F20"/>
        </w:rPr>
        <w:t>The Company is involved in legal and administrative proceedings and claims of various types, including those which arise in the ordinary course of business. The Company believes, based upon information furnished by counsel and others, that the ultimate resolution of these claims will not have a material effect on its financial position, operating results or cash flows.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Environmental Matters</w:t>
      </w:r>
    </w:p>
    <w:p>
      <w:pPr>
        <w:spacing w:after="0" w:line="246"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21"/>
          <w:szCs w:val="21"/>
          <w:color w:val="231F20"/>
        </w:rPr>
        <w:t>The Company’s past and present operations include activities that are generally subject to extensive and complex federal and state environmental laws and regulations. The Company is in material compliance with applicable environmental and safety laws and regulations and, as of December 31, 2025, has not identified any material losses reasonably likely to be incurred in excess of recorded amounts. However, the Company cannot assure that significant costs and liabilities will not be incurred in the future. It is possible that other developments, such as increasingly stringent federal, state or local environmental laws and regulations could result in increased environmental compliance costs. Based on its current assessment of its environmental responsibilities, existing legal requirements and regulatory policies, the Company does not believe that these environmental costs will have a material adverse effect on the Company’s consolidated financial position or results of operations.</w:t>
      </w:r>
    </w:p>
    <w:p>
      <w:pPr>
        <w:spacing w:after="0" w:line="197" w:lineRule="exact"/>
        <w:rPr>
          <w:sz w:val="20"/>
          <w:szCs w:val="20"/>
          <w:color w:val="auto"/>
        </w:rPr>
      </w:pPr>
    </w:p>
    <w:p>
      <w:pPr>
        <w:ind w:right="20" w:firstLine="619"/>
        <w:spacing w:after="0" w:line="254" w:lineRule="auto"/>
        <w:rPr>
          <w:sz w:val="20"/>
          <w:szCs w:val="20"/>
          <w:color w:val="auto"/>
        </w:rPr>
      </w:pPr>
      <w:r>
        <w:rPr>
          <w:rFonts w:ascii="Times New Roman" w:cs="Times New Roman" w:eastAsia="Times New Roman" w:hAnsi="Times New Roman"/>
          <w:sz w:val="21"/>
          <w:szCs w:val="21"/>
          <w:b w:val="1"/>
          <w:bCs w:val="1"/>
          <w:color w:val="231F20"/>
        </w:rPr>
        <w:t xml:space="preserve">Northern Utilities Manufactured Gas Plant Sites </w:t>
      </w:r>
      <w:r>
        <w:rPr>
          <w:rFonts w:ascii="Times New Roman" w:cs="Times New Roman" w:eastAsia="Times New Roman" w:hAnsi="Times New Roman"/>
          <w:sz w:val="21"/>
          <w:szCs w:val="21"/>
          <w:color w:val="231F20"/>
        </w:rPr>
        <w:t>- Northern Utilities has an extensive program to identify, investigate</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and remediate former manufactured gas plant (MGP) sites, which were operated from the mid-1800s through the mid-1900s. In New Hampshire, MGP sites were identified in Dover, Exeter, Portsmouth, Rochester and Somersworth. In Maine, Northern Utilities has documented the presence of MGP sites in Lewiston and Portland, and a former MGP disposal site in Scarborough.</w:t>
      </w:r>
    </w:p>
    <w:p>
      <w:pPr>
        <w:spacing w:after="0" w:line="189" w:lineRule="exact"/>
        <w:rPr>
          <w:sz w:val="20"/>
          <w:szCs w:val="20"/>
          <w:color w:val="auto"/>
        </w:rPr>
      </w:pPr>
    </w:p>
    <w:p>
      <w:pPr>
        <w:jc w:val="both"/>
        <w:ind w:right="220" w:firstLine="619"/>
        <w:spacing w:after="0" w:line="253" w:lineRule="auto"/>
        <w:rPr>
          <w:sz w:val="20"/>
          <w:szCs w:val="20"/>
          <w:color w:val="auto"/>
        </w:rPr>
      </w:pPr>
      <w:r>
        <w:rPr>
          <w:rFonts w:ascii="Times New Roman" w:cs="Times New Roman" w:eastAsia="Times New Roman" w:hAnsi="Times New Roman"/>
          <w:sz w:val="21"/>
          <w:szCs w:val="21"/>
          <w:color w:val="231F20"/>
        </w:rPr>
        <w:t>Northern Utilities has worked with the New Hampshire Department of Environmental Services (NH DES) and Maine Department of Environmental Protection to address environmental concerns with these sites. Northern Utilities or others have completed remediation activities at all sites; however, on site monitoring continues at several sites which may result in future remedial actions as directed by the applicable regulatory agency.</w:t>
      </w:r>
    </w:p>
    <w:p>
      <w:pPr>
        <w:spacing w:after="0" w:line="189"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21"/>
          <w:szCs w:val="21"/>
          <w:color w:val="231F20"/>
        </w:rPr>
        <w:t>In May 2024, NH DES requested additional information in connection with the Company’s December 2022 remedial action plan (RAP), regarding groundwater contaminants at the Rochester site. In anticipation of the NH DES approval of one of the RAP alternatives and subsequent request for project design, the Company has accrued $5.8 million for estimated costs to complete the remediation at the Rochester site, which is included in Environmental Obligations on the Company’s Consolidated Balance Sheets. Due to extended regulatory review time periods, Northern Utilities anticipates the commencement of remediation activities in 2026.</w:t>
      </w:r>
    </w:p>
    <w:p>
      <w:pPr>
        <w:spacing w:after="0" w:line="199" w:lineRule="exact"/>
        <w:rPr>
          <w:sz w:val="20"/>
          <w:szCs w:val="20"/>
          <w:color w:val="auto"/>
        </w:rPr>
      </w:pPr>
    </w:p>
    <w:p>
      <w:pPr>
        <w:ind w:right="20" w:firstLine="619"/>
        <w:spacing w:after="0" w:line="253" w:lineRule="auto"/>
        <w:rPr>
          <w:sz w:val="20"/>
          <w:szCs w:val="20"/>
          <w:color w:val="auto"/>
        </w:rPr>
      </w:pPr>
      <w:r>
        <w:rPr>
          <w:rFonts w:ascii="Times New Roman" w:cs="Times New Roman" w:eastAsia="Times New Roman" w:hAnsi="Times New Roman"/>
          <w:sz w:val="21"/>
          <w:szCs w:val="21"/>
          <w:color w:val="231F20"/>
        </w:rPr>
        <w:t>The NHPUC and MPUC have approved regulatory mechanisms for the recovery of MGP environmental costs. For Northern Utilities’ New Hampshire division, the NHPUC has approved the recovery of MGP environmental costs over succeeding seven-year periods. For Northern Utilities’ Maine division, the MPUC has authorized the recovery of environmental remediation costs over succeeding five-year periods.</w:t>
      </w:r>
    </w:p>
    <w:p>
      <w:pPr>
        <w:spacing w:after="0" w:line="189" w:lineRule="exact"/>
        <w:rPr>
          <w:sz w:val="20"/>
          <w:szCs w:val="20"/>
          <w:color w:val="auto"/>
        </w:rPr>
      </w:pPr>
    </w:p>
    <w:p>
      <w:pPr>
        <w:ind w:right="20" w:firstLine="619"/>
        <w:spacing w:after="0" w:line="253" w:lineRule="auto"/>
        <w:rPr>
          <w:sz w:val="20"/>
          <w:szCs w:val="20"/>
          <w:color w:val="auto"/>
        </w:rPr>
      </w:pPr>
      <w:r>
        <w:rPr>
          <w:rFonts w:ascii="Times New Roman" w:cs="Times New Roman" w:eastAsia="Times New Roman" w:hAnsi="Times New Roman"/>
          <w:sz w:val="21"/>
          <w:szCs w:val="21"/>
          <w:color w:val="231F20"/>
        </w:rPr>
        <w:t>The Environmental Obligations table includes amounts accrued for Northern Utilities related to estimated future cleanup costs associated with Northern Utilities’ environmental remediation obligations for former MGP sites. Corresponding Regulatory Assets were recorded to reflect that the future recovery of these environmental remediation costs is expected based on regulatory precedent and established practices.</w:t>
      </w:r>
    </w:p>
    <w:p>
      <w:pPr>
        <w:spacing w:after="0" w:line="185"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1"/>
          <w:szCs w:val="21"/>
          <w:b w:val="1"/>
          <w:bCs w:val="1"/>
          <w:color w:val="231F20"/>
        </w:rPr>
        <w:t xml:space="preserve">Fitchburg’s Manufactured Gas Plant Site </w:t>
      </w:r>
      <w:r>
        <w:rPr>
          <w:rFonts w:ascii="Times New Roman" w:cs="Times New Roman" w:eastAsia="Times New Roman" w:hAnsi="Times New Roman"/>
          <w:sz w:val="21"/>
          <w:szCs w:val="21"/>
          <w:color w:val="231F20"/>
        </w:rPr>
        <w:t>- Fitchburg has worked with the Massachusetts Department of</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Environmental Protection (Mass DEP) to address environmental concerns with the former MGP site at Sawyer Passway, and has substantially completed remediation activities, though on site monitoring continues. Following submittal of the Immediate Response Action (IRA) plan in October 2023 and an update in November 2024, the Mass DEP, in May 2025 concurred with the proposed limited excavation and armoring of the riverbank at the identified seep area. Fitchburg has accrued $280,000 for estimated costs to complete the remediation at the Sawyer Passway site, which is included in Environmental Obligations on the Company’s Consolidated Balance Sheets. The Company has determined that the high end of the range of reasonably possible</w:t>
      </w:r>
    </w:p>
    <w:p>
      <w:pPr>
        <w:sectPr>
          <w:pgSz w:w="12240" w:h="15840" w:orient="portrait"/>
          <w:cols w:equalWidth="0" w:num="1">
            <w:col w:w="10780"/>
          </w:cols>
          <w:pgMar w:left="720" w:top="929" w:right="74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82</w:t>
      </w:r>
    </w:p>
    <w:p>
      <w:pPr>
        <w:sectPr>
          <w:pgSz w:w="12240" w:h="15840" w:orient="portrait"/>
          <w:cols w:equalWidth="0" w:num="1">
            <w:col w:w="10780"/>
          </w:cols>
          <w:pgMar w:left="720" w:top="929" w:right="740" w:bottom="188" w:gutter="0" w:footer="0" w:header="0"/>
          <w:type w:val="continuous"/>
        </w:sectPr>
      </w:pPr>
    </w:p>
    <w:bookmarkStart w:id="102" w:name="page103"/>
    <w:bookmarkEnd w:id="102"/>
    <w:p>
      <w:pPr>
        <w:spacing w:after="0" w:line="279" w:lineRule="auto"/>
        <w:rPr>
          <w:sz w:val="20"/>
          <w:szCs w:val="20"/>
          <w:color w:val="auto"/>
        </w:rPr>
      </w:pPr>
      <w:r>
        <w:rPr>
          <w:rFonts w:ascii="Times New Roman" w:cs="Times New Roman" w:eastAsia="Times New Roman" w:hAnsi="Times New Roman"/>
          <w:sz w:val="21"/>
          <w:szCs w:val="21"/>
          <w:color w:val="231F20"/>
        </w:rPr>
        <w:t>remediation costs for the Sawyer Passway site could be $3.7 million based on remediation alternatives. Fitchburg anticipates the commencement of the remediation activity in 2026.</w:t>
      </w:r>
    </w:p>
    <w:p>
      <w:pPr>
        <w:spacing w:after="0" w:line="163" w:lineRule="exact"/>
        <w:rPr>
          <w:sz w:val="20"/>
          <w:szCs w:val="20"/>
          <w:color w:val="auto"/>
        </w:rPr>
      </w:pPr>
    </w:p>
    <w:p>
      <w:pPr>
        <w:ind w:right="140" w:firstLine="619"/>
        <w:spacing w:after="0" w:line="259" w:lineRule="auto"/>
        <w:rPr>
          <w:sz w:val="20"/>
          <w:szCs w:val="20"/>
          <w:color w:val="auto"/>
        </w:rPr>
      </w:pPr>
      <w:r>
        <w:rPr>
          <w:rFonts w:ascii="Times New Roman" w:cs="Times New Roman" w:eastAsia="Times New Roman" w:hAnsi="Times New Roman"/>
          <w:sz w:val="21"/>
          <w:szCs w:val="21"/>
          <w:color w:val="231F20"/>
        </w:rPr>
        <w:t>Fitchburg recovers the environmental response costs incurred at this former MGP site in gas rates pursuant to the terms of a cost recovery agreement approved by the MDPU. Pursuant to this agreement, Fitchburg is authorized to amortize and recover environmental response costs from gas customers over succeeding seven-year periods.</w:t>
      </w:r>
    </w:p>
    <w:p>
      <w:pPr>
        <w:spacing w:after="0" w:line="180" w:lineRule="exact"/>
        <w:rPr>
          <w:sz w:val="20"/>
          <w:szCs w:val="20"/>
          <w:color w:val="auto"/>
        </w:rPr>
      </w:pPr>
    </w:p>
    <w:p>
      <w:pPr>
        <w:ind w:right="60" w:firstLine="619"/>
        <w:spacing w:after="0" w:line="247" w:lineRule="auto"/>
        <w:rPr>
          <w:sz w:val="20"/>
          <w:szCs w:val="20"/>
          <w:color w:val="auto"/>
        </w:rPr>
      </w:pPr>
      <w:r>
        <w:rPr>
          <w:rFonts w:ascii="Times New Roman" w:cs="Times New Roman" w:eastAsia="Times New Roman" w:hAnsi="Times New Roman"/>
          <w:sz w:val="21"/>
          <w:szCs w:val="21"/>
          <w:b w:val="1"/>
          <w:bCs w:val="1"/>
          <w:color w:val="231F20"/>
        </w:rPr>
        <w:t xml:space="preserve">Unitil Energy - Kensington Distribution Operations Center </w:t>
      </w:r>
      <w:r>
        <w:rPr>
          <w:rFonts w:ascii="Times New Roman" w:cs="Times New Roman" w:eastAsia="Times New Roman" w:hAnsi="Times New Roman"/>
          <w:sz w:val="21"/>
          <w:szCs w:val="21"/>
          <w:color w:val="231F20"/>
        </w:rPr>
        <w:t>- Unitil Energy conducted a Phase I and II supplement</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environmental site assessment (ESA) in the second quarter of 2021 at its former distribution operations center in Kensington, NH. In November 2025, the NH DES requested additional investigation to further refine the Supplemental Site Investigation (SSI) submitted in June 2023, as well as develop a remedial action plan (RAP) based upon reported observations. Unitil Energy anticipates the commencement of remediation activities in late 2026 or early 2027, following RAP approval by the NH DES. The Company does not believe this investigation will have a material adverse effect on its financial condition, results of operations or cash flows.</w:t>
      </w:r>
    </w:p>
    <w:p>
      <w:pPr>
        <w:spacing w:after="0" w:line="196" w:lineRule="exact"/>
        <w:rPr>
          <w:sz w:val="20"/>
          <w:szCs w:val="20"/>
          <w:color w:val="auto"/>
        </w:rPr>
      </w:pPr>
    </w:p>
    <w:p>
      <w:pPr>
        <w:ind w:right="240" w:firstLine="619"/>
        <w:spacing w:after="0" w:line="279" w:lineRule="auto"/>
        <w:rPr>
          <w:sz w:val="20"/>
          <w:szCs w:val="20"/>
          <w:color w:val="auto"/>
        </w:rPr>
      </w:pPr>
      <w:r>
        <w:rPr>
          <w:rFonts w:ascii="Times New Roman" w:cs="Times New Roman" w:eastAsia="Times New Roman" w:hAnsi="Times New Roman"/>
          <w:sz w:val="21"/>
          <w:szCs w:val="21"/>
          <w:color w:val="231F20"/>
        </w:rPr>
        <w:t>The following table sets forth a summary of changes in the Company’s liability for Environmental Obligations for the years-ended December 31, 2025 and 2024.</w:t>
      </w:r>
    </w:p>
    <w:p>
      <w:pPr>
        <w:spacing w:after="0" w:line="199"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5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w w:val="99"/>
              </w:rPr>
              <w:t>Environmental Obligations (millions)</w:t>
            </w:r>
          </w:p>
        </w:tc>
        <w:tc>
          <w:tcPr>
            <w:tcW w:w="4060" w:type="dxa"/>
            <w:vAlign w:val="bottom"/>
            <w:vMerge w:val="restart"/>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1780" w:type="dxa"/>
            <w:vAlign w:val="bottom"/>
            <w:tcBorders>
              <w:bottom w:val="single" w:sz="8" w:color="231F20"/>
            </w:tcBorders>
            <w:gridSpan w:val="4"/>
          </w:tcPr>
          <w:p>
            <w:pPr>
              <w:jc w:val="right"/>
              <w:ind w:right="5"/>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960" w:type="dxa"/>
            <w:vAlign w:val="bottom"/>
            <w:tcBorders>
              <w:bottom w:val="single" w:sz="8" w:color="231F20"/>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560" w:type="dxa"/>
            <w:vAlign w:val="bottom"/>
            <w:tcBorders>
              <w:bottom w:val="single" w:sz="8" w:color="231F20"/>
            </w:tcBorders>
            <w:vMerge w:val="continue"/>
          </w:tcPr>
          <w:p>
            <w:pPr>
              <w:spacing w:after="0"/>
              <w:rPr>
                <w:sz w:val="15"/>
                <w:szCs w:val="15"/>
                <w:color w:val="auto"/>
              </w:rPr>
            </w:pPr>
          </w:p>
        </w:tc>
        <w:tc>
          <w:tcPr>
            <w:tcW w:w="4060" w:type="dxa"/>
            <w:vAlign w:val="bottom"/>
            <w:tcBorders>
              <w:bottom w:val="single" w:sz="8" w:color="E6E7E8"/>
            </w:tcBorders>
            <w:vMerge w:val="continue"/>
          </w:tcPr>
          <w:p>
            <w:pPr>
              <w:spacing w:after="0"/>
              <w:rPr>
                <w:sz w:val="15"/>
                <w:szCs w:val="15"/>
                <w:color w:val="auto"/>
              </w:rPr>
            </w:pPr>
          </w:p>
        </w:tc>
        <w:tc>
          <w:tcPr>
            <w:tcW w:w="300" w:type="dxa"/>
            <w:vAlign w:val="bottom"/>
            <w:tcBorders>
              <w:bottom w:val="single" w:sz="8" w:color="231F20"/>
            </w:tcBorders>
          </w:tcPr>
          <w:p>
            <w:pPr>
              <w:spacing w:after="0"/>
              <w:rPr>
                <w:sz w:val="15"/>
                <w:szCs w:val="15"/>
                <w:color w:val="auto"/>
              </w:rPr>
            </w:pPr>
          </w:p>
        </w:tc>
        <w:tc>
          <w:tcPr>
            <w:tcW w:w="1100" w:type="dxa"/>
            <w:vAlign w:val="bottom"/>
            <w:tcBorders>
              <w:bottom w:val="single" w:sz="8" w:color="231F20"/>
            </w:tcBorders>
          </w:tcPr>
          <w:p>
            <w:pPr>
              <w:jc w:val="right"/>
              <w:ind w:right="449"/>
              <w:spacing w:after="0" w:line="169" w:lineRule="exact"/>
              <w:rPr>
                <w:sz w:val="20"/>
                <w:szCs w:val="20"/>
                <w:color w:val="auto"/>
              </w:rPr>
            </w:pPr>
            <w:r>
              <w:rPr>
                <w:rFonts w:ascii="Times New Roman" w:cs="Times New Roman" w:eastAsia="Times New Roman" w:hAnsi="Times New Roman"/>
                <w:sz w:val="16"/>
                <w:szCs w:val="16"/>
                <w:b w:val="1"/>
                <w:bCs w:val="1"/>
                <w:color w:val="231F20"/>
              </w:rPr>
              <w:t>2025</w:t>
            </w:r>
          </w:p>
        </w:tc>
        <w:tc>
          <w:tcPr>
            <w:tcW w:w="20" w:type="dxa"/>
            <w:vAlign w:val="bottom"/>
            <w:tcBorders>
              <w:bottom w:val="single" w:sz="8" w:color="E6E7E8"/>
            </w:tcBorders>
          </w:tcPr>
          <w:p>
            <w:pPr>
              <w:spacing w:after="0"/>
              <w:rPr>
                <w:sz w:val="15"/>
                <w:szCs w:val="15"/>
                <w:color w:val="auto"/>
              </w:rPr>
            </w:pPr>
          </w:p>
        </w:tc>
        <w:tc>
          <w:tcPr>
            <w:tcW w:w="220" w:type="dxa"/>
            <w:vAlign w:val="bottom"/>
            <w:tcBorders>
              <w:bottom w:val="single" w:sz="8" w:color="E6E7E8"/>
            </w:tcBorders>
          </w:tcPr>
          <w:p>
            <w:pPr>
              <w:spacing w:after="0"/>
              <w:rPr>
                <w:sz w:val="15"/>
                <w:szCs w:val="15"/>
                <w:color w:val="auto"/>
              </w:rPr>
            </w:pPr>
          </w:p>
        </w:tc>
        <w:tc>
          <w:tcPr>
            <w:tcW w:w="440" w:type="dxa"/>
            <w:vAlign w:val="bottom"/>
            <w:tcBorders>
              <w:bottom w:val="single" w:sz="8" w:color="231F20"/>
            </w:tcBorders>
          </w:tcPr>
          <w:p>
            <w:pPr>
              <w:spacing w:after="0"/>
              <w:rPr>
                <w:sz w:val="15"/>
                <w:szCs w:val="15"/>
                <w:color w:val="auto"/>
              </w:rPr>
            </w:pPr>
          </w:p>
        </w:tc>
        <w:tc>
          <w:tcPr>
            <w:tcW w:w="960" w:type="dxa"/>
            <w:vAlign w:val="bottom"/>
            <w:tcBorders>
              <w:bottom w:val="single" w:sz="8" w:color="231F20"/>
            </w:tcBorders>
          </w:tcPr>
          <w:p>
            <w:pPr>
              <w:jc w:val="right"/>
              <w:ind w:right="447"/>
              <w:spacing w:after="0" w:line="169" w:lineRule="exact"/>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Borders>
              <w:bottom w:val="single" w:sz="8" w:color="E6E7E8"/>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662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16"/>
                <w:szCs w:val="16"/>
                <w:b w:val="1"/>
                <w:bCs w:val="1"/>
                <w:color w:val="231F20"/>
              </w:rPr>
              <w:t>Total Balance at Beginning of Period</w:t>
            </w:r>
          </w:p>
        </w:tc>
        <w:tc>
          <w:tcPr>
            <w:tcW w:w="300" w:type="dxa"/>
            <w:vAlign w:val="bottom"/>
            <w:shd w:val="clear" w:color="auto" w:fill="E6E7E8"/>
          </w:tcPr>
          <w:p>
            <w:pPr>
              <w:jc w:val="right"/>
              <w:ind w:right="136"/>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11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7.8</w:t>
            </w:r>
          </w:p>
        </w:tc>
        <w:tc>
          <w:tcPr>
            <w:tcW w:w="20" w:type="dxa"/>
            <w:vAlign w:val="bottom"/>
            <w:shd w:val="clear" w:color="auto" w:fill="E6E7E8"/>
          </w:tcPr>
          <w:p>
            <w:pPr>
              <w:spacing w:after="0"/>
              <w:rPr>
                <w:sz w:val="19"/>
                <w:szCs w:val="19"/>
                <w:color w:val="auto"/>
              </w:rPr>
            </w:pPr>
          </w:p>
        </w:tc>
        <w:tc>
          <w:tcPr>
            <w:tcW w:w="220" w:type="dxa"/>
            <w:vAlign w:val="bottom"/>
            <w:shd w:val="clear" w:color="auto" w:fill="E6E7E8"/>
          </w:tcPr>
          <w:p>
            <w:pPr>
              <w:spacing w:after="0"/>
              <w:rPr>
                <w:sz w:val="19"/>
                <w:szCs w:val="19"/>
                <w:color w:val="auto"/>
              </w:rPr>
            </w:pPr>
          </w:p>
        </w:tc>
        <w:tc>
          <w:tcPr>
            <w:tcW w:w="440" w:type="dxa"/>
            <w:vAlign w:val="bottom"/>
            <w:shd w:val="clear" w:color="auto" w:fill="E6E7E8"/>
          </w:tcPr>
          <w:p>
            <w:pPr>
              <w:jc w:val="right"/>
              <w:ind w:right="245"/>
              <w:spacing w:after="0"/>
              <w:rPr>
                <w:sz w:val="20"/>
                <w:szCs w:val="20"/>
                <w:color w:val="auto"/>
              </w:rPr>
            </w:pPr>
            <w:r>
              <w:rPr>
                <w:rFonts w:ascii="Times New Roman" w:cs="Times New Roman" w:eastAsia="Times New Roman" w:hAnsi="Times New Roman"/>
                <w:sz w:val="19"/>
                <w:szCs w:val="19"/>
                <w:color w:val="231F20"/>
                <w:w w:val="83"/>
              </w:rPr>
              <w:t>$</w:t>
            </w:r>
          </w:p>
        </w:tc>
        <w:tc>
          <w:tcPr>
            <w:tcW w:w="9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4.6</w:t>
            </w:r>
          </w:p>
        </w:tc>
        <w:tc>
          <w:tcPr>
            <w:tcW w:w="60" w:type="dxa"/>
            <w:vAlign w:val="bottom"/>
            <w:shd w:val="clear" w:color="auto" w:fill="E6E7E8"/>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2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231F20"/>
              </w:rPr>
              <w:t>Additions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gridSpan w:val="2"/>
            <w:shd w:val="clear" w:color="auto" w:fill="E6E7E8"/>
          </w:tcPr>
          <w:p>
            <w:pPr>
              <w:ind w:left="100"/>
              <w:spacing w:after="0"/>
              <w:rPr>
                <w:sz w:val="20"/>
                <w:szCs w:val="20"/>
                <w:color w:val="auto"/>
              </w:rPr>
            </w:pPr>
            <w:r>
              <w:rPr>
                <w:rFonts w:ascii="Times New Roman" w:cs="Times New Roman" w:eastAsia="Times New Roman" w:hAnsi="Times New Roman"/>
                <w:sz w:val="19"/>
                <w:szCs w:val="19"/>
                <w:color w:val="231F20"/>
              </w:rPr>
              <w:t>Less: Payments / Reductions</w:t>
            </w:r>
          </w:p>
        </w:tc>
        <w:tc>
          <w:tcPr>
            <w:tcW w:w="300" w:type="dxa"/>
            <w:vAlign w:val="bottom"/>
            <w:shd w:val="clear" w:color="auto" w:fill="E6E7E8"/>
          </w:tcPr>
          <w:p>
            <w:pPr>
              <w:spacing w:after="0"/>
              <w:rPr>
                <w:sz w:val="19"/>
                <w:szCs w:val="19"/>
                <w:color w:val="auto"/>
              </w:rPr>
            </w:pPr>
          </w:p>
        </w:tc>
        <w:tc>
          <w:tcPr>
            <w:tcW w:w="112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19"/>
                <w:szCs w:val="19"/>
                <w:b w:val="1"/>
                <w:bCs w:val="1"/>
                <w:color w:val="231F20"/>
              </w:rPr>
              <w:t>0.7</w:t>
            </w:r>
          </w:p>
        </w:tc>
        <w:tc>
          <w:tcPr>
            <w:tcW w:w="220" w:type="dxa"/>
            <w:vAlign w:val="bottom"/>
            <w:shd w:val="clear" w:color="auto" w:fill="E6E7E8"/>
          </w:tcPr>
          <w:p>
            <w:pPr>
              <w:spacing w:after="0"/>
              <w:rPr>
                <w:sz w:val="19"/>
                <w:szCs w:val="19"/>
                <w:color w:val="auto"/>
              </w:rPr>
            </w:pPr>
          </w:p>
        </w:tc>
        <w:tc>
          <w:tcPr>
            <w:tcW w:w="440" w:type="dxa"/>
            <w:vAlign w:val="bottom"/>
            <w:shd w:val="clear" w:color="auto" w:fill="E6E7E8"/>
          </w:tcPr>
          <w:p>
            <w:pPr>
              <w:spacing w:after="0"/>
              <w:rPr>
                <w:sz w:val="19"/>
                <w:szCs w:val="19"/>
                <w:color w:val="auto"/>
              </w:rPr>
            </w:pPr>
          </w:p>
        </w:tc>
        <w:tc>
          <w:tcPr>
            <w:tcW w:w="9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0.4</w:t>
            </w:r>
          </w:p>
        </w:tc>
        <w:tc>
          <w:tcPr>
            <w:tcW w:w="60" w:type="dxa"/>
            <w:vAlign w:val="bottom"/>
            <w:shd w:val="clear" w:color="auto" w:fill="E6E7E8"/>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20" w:type="dxa"/>
            <w:vAlign w:val="bottom"/>
            <w:tcBorders>
              <w:bottom w:val="single" w:sz="8" w:color="E6E7E8"/>
            </w:tcBorders>
            <w:gridSpan w:val="2"/>
          </w:tcPr>
          <w:p>
            <w:pPr>
              <w:spacing w:after="0"/>
              <w:rPr>
                <w:sz w:val="20"/>
                <w:szCs w:val="20"/>
                <w:color w:val="auto"/>
              </w:rPr>
            </w:pPr>
            <w:r>
              <w:rPr>
                <w:rFonts w:ascii="Times New Roman" w:cs="Times New Roman" w:eastAsia="Times New Roman" w:hAnsi="Times New Roman"/>
                <w:sz w:val="16"/>
                <w:szCs w:val="16"/>
                <w:b w:val="1"/>
                <w:bCs w:val="1"/>
                <w:color w:val="231F20"/>
              </w:rPr>
              <w:t>Total Balance at End of Period</w:t>
            </w:r>
          </w:p>
        </w:tc>
        <w:tc>
          <w:tcPr>
            <w:tcW w:w="300" w:type="dxa"/>
            <w:vAlign w:val="bottom"/>
            <w:tcBorders>
              <w:top w:val="single" w:sz="8" w:color="231F20"/>
              <w:bottom w:val="single" w:sz="8" w:color="231F20"/>
            </w:tcBorders>
          </w:tcPr>
          <w:p>
            <w:pPr>
              <w:spacing w:after="0"/>
              <w:rPr>
                <w:sz w:val="18"/>
                <w:szCs w:val="18"/>
                <w:color w:val="auto"/>
              </w:rPr>
            </w:pPr>
          </w:p>
        </w:tc>
        <w:tc>
          <w:tcPr>
            <w:tcW w:w="1100" w:type="dxa"/>
            <w:vAlign w:val="bottom"/>
            <w:tcBorders>
              <w:top w:val="single" w:sz="8" w:color="231F20"/>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8.1</w:t>
            </w:r>
          </w:p>
        </w:tc>
        <w:tc>
          <w:tcPr>
            <w:tcW w:w="20" w:type="dxa"/>
            <w:vAlign w:val="bottom"/>
            <w:tcBorders>
              <w:bottom w:val="single" w:sz="8" w:color="E6E7E8"/>
            </w:tcBorders>
          </w:tcPr>
          <w:p>
            <w:pPr>
              <w:spacing w:after="0"/>
              <w:rPr>
                <w:sz w:val="18"/>
                <w:szCs w:val="18"/>
                <w:color w:val="auto"/>
              </w:rPr>
            </w:pPr>
          </w:p>
        </w:tc>
        <w:tc>
          <w:tcPr>
            <w:tcW w:w="220" w:type="dxa"/>
            <w:vAlign w:val="bottom"/>
            <w:tcBorders>
              <w:bottom w:val="single" w:sz="8" w:color="E6E7E8"/>
            </w:tcBorders>
          </w:tcPr>
          <w:p>
            <w:pPr>
              <w:spacing w:after="0"/>
              <w:rPr>
                <w:sz w:val="18"/>
                <w:szCs w:val="18"/>
                <w:color w:val="auto"/>
              </w:rPr>
            </w:pPr>
          </w:p>
        </w:tc>
        <w:tc>
          <w:tcPr>
            <w:tcW w:w="440" w:type="dxa"/>
            <w:vAlign w:val="bottom"/>
            <w:tcBorders>
              <w:top w:val="single" w:sz="8" w:color="231F20"/>
              <w:bottom w:val="single" w:sz="8" w:color="231F20"/>
            </w:tcBorders>
          </w:tcPr>
          <w:p>
            <w:pPr>
              <w:spacing w:after="0"/>
              <w:rPr>
                <w:sz w:val="18"/>
                <w:szCs w:val="18"/>
                <w:color w:val="auto"/>
              </w:rPr>
            </w:pPr>
          </w:p>
        </w:tc>
        <w:tc>
          <w:tcPr>
            <w:tcW w:w="960" w:type="dxa"/>
            <w:vAlign w:val="bottom"/>
            <w:tcBorders>
              <w:top w:val="single" w:sz="8" w:color="231F20"/>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7.8</w:t>
            </w:r>
          </w:p>
        </w:tc>
        <w:tc>
          <w:tcPr>
            <w:tcW w:w="60" w:type="dxa"/>
            <w:vAlign w:val="bottom"/>
            <w:tcBorders>
              <w:bottom w:val="single" w:sz="8" w:color="E6E7E8"/>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20" w:type="dxa"/>
            <w:vAlign w:val="bottom"/>
            <w:gridSpan w:val="2"/>
            <w:shd w:val="clear" w:color="auto" w:fill="E6E7E8"/>
          </w:tcPr>
          <w:p>
            <w:pPr>
              <w:spacing w:after="0" w:line="214" w:lineRule="exact"/>
              <w:rPr>
                <w:sz w:val="20"/>
                <w:szCs w:val="20"/>
                <w:color w:val="auto"/>
              </w:rPr>
            </w:pPr>
            <w:r>
              <w:rPr>
                <w:rFonts w:ascii="Times New Roman" w:cs="Times New Roman" w:eastAsia="Times New Roman" w:hAnsi="Times New Roman"/>
                <w:sz w:val="19"/>
                <w:szCs w:val="19"/>
                <w:color w:val="231F20"/>
              </w:rPr>
              <w:t>Less: Current Portion</w:t>
            </w:r>
          </w:p>
        </w:tc>
        <w:tc>
          <w:tcPr>
            <w:tcW w:w="300" w:type="dxa"/>
            <w:vAlign w:val="bottom"/>
            <w:tcBorders>
              <w:bottom w:val="single" w:sz="8" w:color="231F20"/>
            </w:tcBorders>
            <w:shd w:val="clear" w:color="auto" w:fill="E6E7E8"/>
          </w:tcPr>
          <w:p>
            <w:pPr>
              <w:spacing w:after="0"/>
              <w:rPr>
                <w:sz w:val="18"/>
                <w:szCs w:val="18"/>
                <w:color w:val="auto"/>
              </w:rPr>
            </w:pPr>
          </w:p>
        </w:tc>
        <w:tc>
          <w:tcPr>
            <w:tcW w:w="1100" w:type="dxa"/>
            <w:vAlign w:val="bottom"/>
            <w:tcBorders>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0.8</w:t>
            </w:r>
          </w:p>
        </w:tc>
        <w:tc>
          <w:tcPr>
            <w:tcW w:w="20" w:type="dxa"/>
            <w:vAlign w:val="bottom"/>
            <w:shd w:val="clear" w:color="auto" w:fill="E6E7E8"/>
          </w:tcPr>
          <w:p>
            <w:pPr>
              <w:spacing w:after="0"/>
              <w:rPr>
                <w:sz w:val="18"/>
                <w:szCs w:val="18"/>
                <w:color w:val="auto"/>
              </w:rPr>
            </w:pPr>
          </w:p>
        </w:tc>
        <w:tc>
          <w:tcPr>
            <w:tcW w:w="220" w:type="dxa"/>
            <w:vAlign w:val="bottom"/>
            <w:shd w:val="clear" w:color="auto" w:fill="E6E7E8"/>
          </w:tcPr>
          <w:p>
            <w:pPr>
              <w:spacing w:after="0"/>
              <w:rPr>
                <w:sz w:val="18"/>
                <w:szCs w:val="18"/>
                <w:color w:val="auto"/>
              </w:rPr>
            </w:pPr>
          </w:p>
        </w:tc>
        <w:tc>
          <w:tcPr>
            <w:tcW w:w="440" w:type="dxa"/>
            <w:vAlign w:val="bottom"/>
            <w:tcBorders>
              <w:bottom w:val="single" w:sz="8" w:color="231F20"/>
            </w:tcBorders>
            <w:shd w:val="clear" w:color="auto" w:fill="E6E7E8"/>
          </w:tcPr>
          <w:p>
            <w:pPr>
              <w:spacing w:after="0"/>
              <w:rPr>
                <w:sz w:val="18"/>
                <w:szCs w:val="18"/>
                <w:color w:val="auto"/>
              </w:rPr>
            </w:pPr>
          </w:p>
        </w:tc>
        <w:tc>
          <w:tcPr>
            <w:tcW w:w="960" w:type="dxa"/>
            <w:vAlign w:val="bottom"/>
            <w:tcBorders>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0.7</w:t>
            </w:r>
          </w:p>
        </w:tc>
        <w:tc>
          <w:tcPr>
            <w:tcW w:w="60" w:type="dxa"/>
            <w:vAlign w:val="bottom"/>
            <w:shd w:val="clear" w:color="auto" w:fill="E6E7E8"/>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Noncurrent Balance at End of Period</w:t>
            </w:r>
          </w:p>
        </w:tc>
        <w:tc>
          <w:tcPr>
            <w:tcW w:w="300" w:type="dxa"/>
            <w:vAlign w:val="bottom"/>
            <w:tcBorders>
              <w:bottom w:val="single" w:sz="8" w:color="231F20"/>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110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7.3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bottom w:val="single" w:sz="8" w:color="231F20"/>
            </w:tcBorders>
          </w:tcPr>
          <w:p>
            <w:pPr>
              <w:jc w:val="right"/>
              <w:ind w:right="245"/>
              <w:spacing w:after="0" w:line="214" w:lineRule="exact"/>
              <w:rPr>
                <w:sz w:val="20"/>
                <w:szCs w:val="20"/>
                <w:color w:val="auto"/>
              </w:rPr>
            </w:pPr>
            <w:r>
              <w:rPr>
                <w:rFonts w:ascii="Times New Roman" w:cs="Times New Roman" w:eastAsia="Times New Roman" w:hAnsi="Times New Roman"/>
                <w:sz w:val="19"/>
                <w:szCs w:val="19"/>
                <w:color w:val="231F20"/>
                <w:w w:val="83"/>
              </w:rPr>
              <w:t>$</w:t>
            </w:r>
          </w:p>
        </w:tc>
        <w:tc>
          <w:tcPr>
            <w:tcW w:w="96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Note 9: Income Taxes</w:t>
      </w:r>
    </w:p>
    <w:p>
      <w:pPr>
        <w:spacing w:after="0" w:line="124" w:lineRule="exact"/>
        <w:rPr>
          <w:sz w:val="20"/>
          <w:szCs w:val="20"/>
          <w:color w:val="auto"/>
        </w:rPr>
      </w:pPr>
    </w:p>
    <w:p>
      <w:pPr>
        <w:ind w:right="640" w:firstLine="612"/>
        <w:spacing w:after="0" w:line="279" w:lineRule="auto"/>
        <w:rPr>
          <w:sz w:val="20"/>
          <w:szCs w:val="20"/>
          <w:color w:val="auto"/>
        </w:rPr>
      </w:pPr>
      <w:r>
        <w:rPr>
          <w:rFonts w:ascii="Times New Roman" w:cs="Times New Roman" w:eastAsia="Times New Roman" w:hAnsi="Times New Roman"/>
          <w:sz w:val="21"/>
          <w:szCs w:val="21"/>
          <w:color w:val="231F20"/>
        </w:rPr>
        <w:t>Provisions for Federal and State Income Taxes reflected as operating expenses in the accompanying consolidated statements of earnings for the years ended December 31, 2025, 2024, and 2023 are shown in the following table:</w:t>
      </w:r>
    </w:p>
    <w:p>
      <w:pPr>
        <w:spacing w:after="0" w:line="199" w:lineRule="exact"/>
        <w:rPr>
          <w:sz w:val="20"/>
          <w:szCs w:val="20"/>
          <w:color w:val="auto"/>
        </w:rPr>
      </w:pPr>
    </w:p>
    <w:tbl>
      <w:tblPr>
        <w:tblLayout w:type="fixed"/>
        <w:tblInd w:w="540" w:type="dxa"/>
        <w:tblCellMar>
          <w:top w:w="0" w:type="dxa"/>
          <w:left w:w="0" w:type="dxa"/>
          <w:bottom w:w="0" w:type="dxa"/>
          <w:right w:w="0" w:type="dxa"/>
        </w:tblCellMar>
      </w:tblPr>
      <w:tr>
        <w:trPr>
          <w:trHeight w:val="199"/>
        </w:trPr>
        <w:tc>
          <w:tcPr>
            <w:tcW w:w="4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140" w:type="dxa"/>
            <w:vAlign w:val="bottom"/>
          </w:tcPr>
          <w:p>
            <w:pPr>
              <w:spacing w:after="0"/>
              <w:rPr>
                <w:sz w:val="17"/>
                <w:szCs w:val="17"/>
                <w:color w:val="auto"/>
              </w:rPr>
            </w:pP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48"/>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347"/>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Pr>
          <w:p>
            <w:pPr>
              <w:spacing w:after="0"/>
              <w:rPr>
                <w:sz w:val="17"/>
                <w:szCs w:val="17"/>
                <w:color w:val="auto"/>
              </w:rPr>
            </w:pPr>
          </w:p>
        </w:tc>
      </w:tr>
      <w:tr>
        <w:trPr>
          <w:trHeight w:val="213"/>
        </w:trPr>
        <w:tc>
          <w:tcPr>
            <w:tcW w:w="4140" w:type="dxa"/>
            <w:vAlign w:val="bottom"/>
            <w:tcBorders>
              <w:top w:val="single" w:sz="8" w:color="E6E7E8"/>
            </w:tcBorders>
            <w:shd w:val="clear" w:color="auto" w:fill="E6E7E8"/>
          </w:tcPr>
          <w:p>
            <w:pPr>
              <w:spacing w:after="0" w:line="214" w:lineRule="exact"/>
              <w:rPr>
                <w:sz w:val="20"/>
                <w:szCs w:val="20"/>
                <w:color w:val="auto"/>
              </w:rPr>
            </w:pPr>
            <w:r>
              <w:rPr>
                <w:rFonts w:ascii="Times New Roman" w:cs="Times New Roman" w:eastAsia="Times New Roman" w:hAnsi="Times New Roman"/>
                <w:sz w:val="19"/>
                <w:szCs w:val="19"/>
                <w:b w:val="1"/>
                <w:bCs w:val="1"/>
                <w:color w:val="231F20"/>
              </w:rPr>
              <w:t>Current Income Tax Provision</w:t>
            </w:r>
          </w:p>
        </w:tc>
        <w:tc>
          <w:tcPr>
            <w:tcW w:w="1480" w:type="dxa"/>
            <w:vAlign w:val="bottom"/>
            <w:tcBorders>
              <w:top w:val="single" w:sz="8" w:color="E6E7E8"/>
            </w:tcBorders>
            <w:shd w:val="clear" w:color="auto" w:fill="E6E7E8"/>
          </w:tcPr>
          <w:p>
            <w:pPr>
              <w:spacing w:after="0"/>
              <w:rPr>
                <w:sz w:val="18"/>
                <w:szCs w:val="18"/>
                <w:color w:val="auto"/>
              </w:rPr>
            </w:pPr>
          </w:p>
        </w:tc>
        <w:tc>
          <w:tcPr>
            <w:tcW w:w="820" w:type="dxa"/>
            <w:vAlign w:val="bottom"/>
            <w:tcBorders>
              <w:top w:val="single" w:sz="8" w:color="231F20"/>
            </w:tcBorders>
            <w:shd w:val="clear" w:color="auto" w:fill="E6E7E8"/>
          </w:tcPr>
          <w:p>
            <w:pPr>
              <w:spacing w:after="0"/>
              <w:rPr>
                <w:sz w:val="18"/>
                <w:szCs w:val="18"/>
                <w:color w:val="auto"/>
              </w:rPr>
            </w:pPr>
          </w:p>
        </w:tc>
        <w:tc>
          <w:tcPr>
            <w:tcW w:w="380" w:type="dxa"/>
            <w:vAlign w:val="bottom"/>
            <w:tcBorders>
              <w:top w:val="single" w:sz="8" w:color="231F20"/>
            </w:tcBorders>
            <w:shd w:val="clear" w:color="auto" w:fill="E6E7E8"/>
          </w:tcPr>
          <w:p>
            <w:pPr>
              <w:spacing w:after="0"/>
              <w:rPr>
                <w:sz w:val="18"/>
                <w:szCs w:val="18"/>
                <w:color w:val="auto"/>
              </w:rPr>
            </w:pPr>
          </w:p>
        </w:tc>
        <w:tc>
          <w:tcPr>
            <w:tcW w:w="220" w:type="dxa"/>
            <w:vAlign w:val="bottom"/>
            <w:tcBorders>
              <w:top w:val="single" w:sz="8" w:color="E6E7E8"/>
            </w:tcBorders>
            <w:shd w:val="clear" w:color="auto" w:fill="E6E7E8"/>
          </w:tcPr>
          <w:p>
            <w:pPr>
              <w:spacing w:after="0"/>
              <w:rPr>
                <w:sz w:val="18"/>
                <w:szCs w:val="18"/>
                <w:color w:val="auto"/>
              </w:rPr>
            </w:pPr>
          </w:p>
        </w:tc>
        <w:tc>
          <w:tcPr>
            <w:tcW w:w="140" w:type="dxa"/>
            <w:vAlign w:val="bottom"/>
            <w:tcBorders>
              <w:top w:val="single" w:sz="8" w:color="231F20"/>
            </w:tcBorders>
            <w:shd w:val="clear" w:color="auto" w:fill="E6E7E8"/>
          </w:tcPr>
          <w:p>
            <w:pPr>
              <w:spacing w:after="0"/>
              <w:rPr>
                <w:sz w:val="18"/>
                <w:szCs w:val="18"/>
                <w:color w:val="auto"/>
              </w:rPr>
            </w:pPr>
          </w:p>
        </w:tc>
        <w:tc>
          <w:tcPr>
            <w:tcW w:w="1060" w:type="dxa"/>
            <w:vAlign w:val="bottom"/>
            <w:tcBorders>
              <w:top w:val="single" w:sz="8" w:color="231F20"/>
            </w:tcBorders>
            <w:shd w:val="clear" w:color="auto" w:fill="E6E7E8"/>
          </w:tcPr>
          <w:p>
            <w:pPr>
              <w:spacing w:after="0"/>
              <w:rPr>
                <w:sz w:val="18"/>
                <w:szCs w:val="18"/>
                <w:color w:val="auto"/>
              </w:rPr>
            </w:pPr>
          </w:p>
        </w:tc>
        <w:tc>
          <w:tcPr>
            <w:tcW w:w="220" w:type="dxa"/>
            <w:vAlign w:val="bottom"/>
            <w:tcBorders>
              <w:top w:val="single" w:sz="8" w:color="E6E7E8"/>
            </w:tcBorders>
            <w:shd w:val="clear" w:color="auto" w:fill="E6E7E8"/>
          </w:tcPr>
          <w:p>
            <w:pPr>
              <w:spacing w:after="0"/>
              <w:rPr>
                <w:sz w:val="18"/>
                <w:szCs w:val="18"/>
                <w:color w:val="auto"/>
              </w:rPr>
            </w:pPr>
          </w:p>
        </w:tc>
        <w:tc>
          <w:tcPr>
            <w:tcW w:w="260" w:type="dxa"/>
            <w:vAlign w:val="bottom"/>
            <w:tcBorders>
              <w:top w:val="single" w:sz="8" w:color="231F20"/>
            </w:tcBorders>
            <w:shd w:val="clear" w:color="auto" w:fill="E6E7E8"/>
          </w:tcPr>
          <w:p>
            <w:pPr>
              <w:spacing w:after="0"/>
              <w:rPr>
                <w:sz w:val="18"/>
                <w:szCs w:val="18"/>
                <w:color w:val="auto"/>
              </w:rPr>
            </w:pPr>
          </w:p>
        </w:tc>
        <w:tc>
          <w:tcPr>
            <w:tcW w:w="940" w:type="dxa"/>
            <w:vAlign w:val="bottom"/>
            <w:tcBorders>
              <w:top w:val="single" w:sz="8" w:color="231F20"/>
            </w:tcBorders>
            <w:shd w:val="clear" w:color="auto" w:fill="E6E7E8"/>
          </w:tcPr>
          <w:p>
            <w:pPr>
              <w:spacing w:after="0"/>
              <w:rPr>
                <w:sz w:val="18"/>
                <w:szCs w:val="18"/>
                <w:color w:val="auto"/>
              </w:rPr>
            </w:pPr>
          </w:p>
        </w:tc>
        <w:tc>
          <w:tcPr>
            <w:tcW w:w="60" w:type="dxa"/>
            <w:vAlign w:val="bottom"/>
            <w:tcBorders>
              <w:top w:val="single" w:sz="8" w:color="E6E7E8"/>
            </w:tcBorders>
            <w:shd w:val="clear" w:color="auto" w:fill="E6E7E8"/>
          </w:tcPr>
          <w:p>
            <w:pPr>
              <w:spacing w:after="0"/>
              <w:rPr>
                <w:sz w:val="18"/>
                <w:szCs w:val="18"/>
                <w:color w:val="auto"/>
              </w:rPr>
            </w:pPr>
          </w:p>
        </w:tc>
      </w:tr>
      <w:tr>
        <w:trPr>
          <w:trHeight w:val="219"/>
        </w:trPr>
        <w:tc>
          <w:tcPr>
            <w:tcW w:w="414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Federal</w:t>
            </w:r>
          </w:p>
        </w:tc>
        <w:tc>
          <w:tcPr>
            <w:tcW w:w="1480" w:type="dxa"/>
            <w:vAlign w:val="bottom"/>
          </w:tcPr>
          <w:p>
            <w:pPr>
              <w:spacing w:after="0"/>
              <w:rPr>
                <w:sz w:val="19"/>
                <w:szCs w:val="19"/>
                <w:color w:val="auto"/>
              </w:rPr>
            </w:pPr>
          </w:p>
        </w:tc>
        <w:tc>
          <w:tcPr>
            <w:tcW w:w="820" w:type="dxa"/>
            <w:vAlign w:val="bottom"/>
          </w:tcPr>
          <w:p>
            <w:pPr>
              <w:jc w:val="right"/>
              <w:ind w:right="625"/>
              <w:spacing w:after="0"/>
              <w:rPr>
                <w:sz w:val="20"/>
                <w:szCs w:val="20"/>
                <w:color w:val="auto"/>
              </w:rPr>
            </w:pPr>
            <w:r>
              <w:rPr>
                <w:rFonts w:ascii="Times New Roman" w:cs="Times New Roman" w:eastAsia="Times New Roman" w:hAnsi="Times New Roman"/>
                <w:sz w:val="19"/>
                <w:szCs w:val="19"/>
                <w:b w:val="1"/>
                <w:bCs w:val="1"/>
                <w:color w:val="231F20"/>
                <w:w w:val="83"/>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4.5</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0.4</w:t>
            </w:r>
          </w:p>
        </w:tc>
        <w:tc>
          <w:tcPr>
            <w:tcW w:w="220" w:type="dxa"/>
            <w:vAlign w:val="bottom"/>
          </w:tcPr>
          <w:p>
            <w:pPr>
              <w:spacing w:after="0"/>
              <w:rPr>
                <w:sz w:val="19"/>
                <w:szCs w:val="19"/>
                <w:color w:val="auto"/>
              </w:rPr>
            </w:pPr>
          </w:p>
        </w:tc>
        <w:tc>
          <w:tcPr>
            <w:tcW w:w="26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231F20"/>
                <w:w w:val="8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4.3</w:t>
            </w:r>
          </w:p>
        </w:tc>
        <w:tc>
          <w:tcPr>
            <w:tcW w:w="60" w:type="dxa"/>
            <w:vAlign w:val="bottom"/>
          </w:tcPr>
          <w:p>
            <w:pPr>
              <w:spacing w:after="0"/>
              <w:rPr>
                <w:sz w:val="19"/>
                <w:szCs w:val="19"/>
                <w:color w:val="auto"/>
              </w:rPr>
            </w:pPr>
          </w:p>
        </w:tc>
      </w:tr>
      <w:tr>
        <w:trPr>
          <w:trHeight w:val="218"/>
        </w:trPr>
        <w:tc>
          <w:tcPr>
            <w:tcW w:w="414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State</w:t>
            </w:r>
          </w:p>
        </w:tc>
        <w:tc>
          <w:tcPr>
            <w:tcW w:w="1480" w:type="dxa"/>
            <w:vAlign w:val="bottom"/>
            <w:shd w:val="clear" w:color="auto" w:fill="E6E7E8"/>
          </w:tcPr>
          <w:p>
            <w:pPr>
              <w:spacing w:after="0"/>
              <w:rPr>
                <w:sz w:val="19"/>
                <w:szCs w:val="19"/>
                <w:color w:val="auto"/>
              </w:rPr>
            </w:pPr>
          </w:p>
        </w:tc>
        <w:tc>
          <w:tcPr>
            <w:tcW w:w="820" w:type="dxa"/>
            <w:vAlign w:val="bottom"/>
            <w:tcBorders>
              <w:bottom w:val="single" w:sz="8" w:color="231F20"/>
            </w:tcBorders>
            <w:shd w:val="clear" w:color="auto" w:fill="E6E7E8"/>
          </w:tcPr>
          <w:p>
            <w:pPr>
              <w:spacing w:after="0"/>
              <w:rPr>
                <w:sz w:val="19"/>
                <w:szCs w:val="19"/>
                <w:color w:val="auto"/>
              </w:rPr>
            </w:pPr>
          </w:p>
        </w:tc>
        <w:tc>
          <w:tcPr>
            <w:tcW w:w="38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1.2</w:t>
            </w:r>
          </w:p>
        </w:tc>
        <w:tc>
          <w:tcPr>
            <w:tcW w:w="220" w:type="dxa"/>
            <w:vAlign w:val="bottom"/>
            <w:shd w:val="clear" w:color="auto" w:fill="E6E7E8"/>
          </w:tcPr>
          <w:p>
            <w:pPr>
              <w:spacing w:after="0"/>
              <w:rPr>
                <w:sz w:val="19"/>
                <w:szCs w:val="19"/>
                <w:color w:val="auto"/>
              </w:rPr>
            </w:pPr>
          </w:p>
        </w:tc>
        <w:tc>
          <w:tcPr>
            <w:tcW w:w="140" w:type="dxa"/>
            <w:vAlign w:val="bottom"/>
            <w:tcBorders>
              <w:bottom w:val="single" w:sz="8" w:color="231F20"/>
            </w:tcBorders>
            <w:shd w:val="clear" w:color="auto" w:fill="E6E7E8"/>
          </w:tcPr>
          <w:p>
            <w:pPr>
              <w:spacing w:after="0"/>
              <w:rPr>
                <w:sz w:val="19"/>
                <w:szCs w:val="19"/>
                <w:color w:val="auto"/>
              </w:rPr>
            </w:pPr>
          </w:p>
        </w:tc>
        <w:tc>
          <w:tcPr>
            <w:tcW w:w="106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0.4</w:t>
            </w:r>
          </w:p>
        </w:tc>
        <w:tc>
          <w:tcPr>
            <w:tcW w:w="220" w:type="dxa"/>
            <w:vAlign w:val="bottom"/>
            <w:shd w:val="clear" w:color="auto" w:fill="E6E7E8"/>
          </w:tcPr>
          <w:p>
            <w:pPr>
              <w:spacing w:after="0"/>
              <w:rPr>
                <w:sz w:val="19"/>
                <w:szCs w:val="19"/>
                <w:color w:val="auto"/>
              </w:rPr>
            </w:pPr>
          </w:p>
        </w:tc>
        <w:tc>
          <w:tcPr>
            <w:tcW w:w="260" w:type="dxa"/>
            <w:vAlign w:val="bottom"/>
            <w:tcBorders>
              <w:bottom w:val="single" w:sz="8" w:color="231F20"/>
            </w:tcBorders>
            <w:shd w:val="clear" w:color="auto" w:fill="E6E7E8"/>
          </w:tcPr>
          <w:p>
            <w:pPr>
              <w:spacing w:after="0"/>
              <w:rPr>
                <w:sz w:val="19"/>
                <w:szCs w:val="19"/>
                <w:color w:val="auto"/>
              </w:rPr>
            </w:pPr>
          </w:p>
        </w:tc>
        <w:tc>
          <w:tcPr>
            <w:tcW w:w="94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1.5</w:t>
            </w:r>
          </w:p>
        </w:tc>
        <w:tc>
          <w:tcPr>
            <w:tcW w:w="60" w:type="dxa"/>
            <w:vAlign w:val="bottom"/>
            <w:shd w:val="clear" w:color="auto" w:fill="E6E7E8"/>
          </w:tcPr>
          <w:p>
            <w:pPr>
              <w:spacing w:after="0"/>
              <w:rPr>
                <w:sz w:val="19"/>
                <w:szCs w:val="19"/>
                <w:color w:val="auto"/>
              </w:rPr>
            </w:pPr>
          </w:p>
        </w:tc>
      </w:tr>
      <w:tr>
        <w:trPr>
          <w:trHeight w:val="213"/>
        </w:trPr>
        <w:tc>
          <w:tcPr>
            <w:tcW w:w="4140" w:type="dxa"/>
            <w:vAlign w:val="bottom"/>
            <w:tcBorders>
              <w:bottom w:val="single" w:sz="8" w:color="E6E7E8"/>
            </w:tcBorders>
          </w:tcPr>
          <w:p>
            <w:pPr>
              <w:ind w:left="400"/>
              <w:spacing w:after="0" w:line="214" w:lineRule="exact"/>
              <w:rPr>
                <w:sz w:val="20"/>
                <w:szCs w:val="20"/>
                <w:color w:val="auto"/>
              </w:rPr>
            </w:pPr>
            <w:r>
              <w:rPr>
                <w:rFonts w:ascii="Times New Roman" w:cs="Times New Roman" w:eastAsia="Times New Roman" w:hAnsi="Times New Roman"/>
                <w:sz w:val="19"/>
                <w:szCs w:val="19"/>
                <w:color w:val="231F20"/>
              </w:rPr>
              <w:t>Total Current Income Taxes</w:t>
            </w:r>
          </w:p>
        </w:tc>
        <w:tc>
          <w:tcPr>
            <w:tcW w:w="1480" w:type="dxa"/>
            <w:vAlign w:val="bottom"/>
            <w:tcBorders>
              <w:bottom w:val="single" w:sz="8" w:color="E6E7E8"/>
            </w:tcBorders>
          </w:tcPr>
          <w:p>
            <w:pPr>
              <w:spacing w:after="0"/>
              <w:rPr>
                <w:sz w:val="18"/>
                <w:szCs w:val="18"/>
                <w:color w:val="auto"/>
              </w:rPr>
            </w:pPr>
          </w:p>
        </w:tc>
        <w:tc>
          <w:tcPr>
            <w:tcW w:w="820" w:type="dxa"/>
            <w:vAlign w:val="bottom"/>
            <w:tcBorders>
              <w:bottom w:val="single" w:sz="8" w:color="231F20"/>
            </w:tcBorders>
          </w:tcPr>
          <w:p>
            <w:pPr>
              <w:spacing w:after="0"/>
              <w:rPr>
                <w:sz w:val="18"/>
                <w:szCs w:val="18"/>
                <w:color w:val="auto"/>
              </w:rPr>
            </w:pPr>
          </w:p>
        </w:tc>
        <w:tc>
          <w:tcPr>
            <w:tcW w:w="38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5.7</w:t>
            </w:r>
          </w:p>
        </w:tc>
        <w:tc>
          <w:tcPr>
            <w:tcW w:w="220" w:type="dxa"/>
            <w:vAlign w:val="bottom"/>
            <w:tcBorders>
              <w:bottom w:val="single" w:sz="8" w:color="E6E7E8"/>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106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0.8</w:t>
            </w:r>
          </w:p>
        </w:tc>
        <w:tc>
          <w:tcPr>
            <w:tcW w:w="220" w:type="dxa"/>
            <w:vAlign w:val="bottom"/>
            <w:tcBorders>
              <w:bottom w:val="single" w:sz="8" w:color="E6E7E8"/>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5.8</w:t>
            </w:r>
          </w:p>
        </w:tc>
        <w:tc>
          <w:tcPr>
            <w:tcW w:w="60" w:type="dxa"/>
            <w:vAlign w:val="bottom"/>
            <w:tcBorders>
              <w:bottom w:val="single" w:sz="8" w:color="E6E7E8"/>
            </w:tcBorders>
          </w:tcPr>
          <w:p>
            <w:pPr>
              <w:spacing w:after="0"/>
              <w:rPr>
                <w:sz w:val="18"/>
                <w:szCs w:val="18"/>
                <w:color w:val="auto"/>
              </w:rPr>
            </w:pPr>
          </w:p>
        </w:tc>
      </w:tr>
      <w:tr>
        <w:trPr>
          <w:trHeight w:val="214"/>
        </w:trPr>
        <w:tc>
          <w:tcPr>
            <w:tcW w:w="4140" w:type="dxa"/>
            <w:vAlign w:val="bottom"/>
            <w:shd w:val="clear" w:color="auto" w:fill="E6E7E8"/>
          </w:tcPr>
          <w:p>
            <w:pPr>
              <w:spacing w:after="0" w:line="214" w:lineRule="exact"/>
              <w:rPr>
                <w:sz w:val="20"/>
                <w:szCs w:val="20"/>
                <w:color w:val="auto"/>
              </w:rPr>
            </w:pPr>
            <w:r>
              <w:rPr>
                <w:rFonts w:ascii="Times New Roman" w:cs="Times New Roman" w:eastAsia="Times New Roman" w:hAnsi="Times New Roman"/>
                <w:sz w:val="19"/>
                <w:szCs w:val="19"/>
                <w:b w:val="1"/>
                <w:bCs w:val="1"/>
                <w:color w:val="231F20"/>
              </w:rPr>
              <w:t>Deferred Income Tax Provision</w:t>
            </w:r>
          </w:p>
        </w:tc>
        <w:tc>
          <w:tcPr>
            <w:tcW w:w="1480" w:type="dxa"/>
            <w:vAlign w:val="bottom"/>
            <w:shd w:val="clear" w:color="auto" w:fill="E6E7E8"/>
          </w:tcPr>
          <w:p>
            <w:pPr>
              <w:spacing w:after="0"/>
              <w:rPr>
                <w:sz w:val="18"/>
                <w:szCs w:val="18"/>
                <w:color w:val="auto"/>
              </w:rPr>
            </w:pPr>
          </w:p>
        </w:tc>
        <w:tc>
          <w:tcPr>
            <w:tcW w:w="820" w:type="dxa"/>
            <w:vAlign w:val="bottom"/>
            <w:shd w:val="clear" w:color="auto" w:fill="E6E7E8"/>
          </w:tcPr>
          <w:p>
            <w:pPr>
              <w:spacing w:after="0"/>
              <w:rPr>
                <w:sz w:val="18"/>
                <w:szCs w:val="18"/>
                <w:color w:val="auto"/>
              </w:rPr>
            </w:pPr>
          </w:p>
        </w:tc>
        <w:tc>
          <w:tcPr>
            <w:tcW w:w="380" w:type="dxa"/>
            <w:vAlign w:val="bottom"/>
            <w:shd w:val="clear" w:color="auto" w:fill="E6E7E8"/>
          </w:tcPr>
          <w:p>
            <w:pPr>
              <w:spacing w:after="0"/>
              <w:rPr>
                <w:sz w:val="18"/>
                <w:szCs w:val="18"/>
                <w:color w:val="auto"/>
              </w:rPr>
            </w:pPr>
          </w:p>
        </w:tc>
        <w:tc>
          <w:tcPr>
            <w:tcW w:w="220" w:type="dxa"/>
            <w:vAlign w:val="bottom"/>
            <w:shd w:val="clear" w:color="auto" w:fill="E6E7E8"/>
          </w:tcPr>
          <w:p>
            <w:pPr>
              <w:spacing w:after="0"/>
              <w:rPr>
                <w:sz w:val="18"/>
                <w:szCs w:val="18"/>
                <w:color w:val="auto"/>
              </w:rPr>
            </w:pPr>
          </w:p>
        </w:tc>
        <w:tc>
          <w:tcPr>
            <w:tcW w:w="140" w:type="dxa"/>
            <w:vAlign w:val="bottom"/>
            <w:shd w:val="clear" w:color="auto" w:fill="E6E7E8"/>
          </w:tcPr>
          <w:p>
            <w:pPr>
              <w:spacing w:after="0"/>
              <w:rPr>
                <w:sz w:val="18"/>
                <w:szCs w:val="18"/>
                <w:color w:val="auto"/>
              </w:rPr>
            </w:pPr>
          </w:p>
        </w:tc>
        <w:tc>
          <w:tcPr>
            <w:tcW w:w="1060" w:type="dxa"/>
            <w:vAlign w:val="bottom"/>
            <w:shd w:val="clear" w:color="auto" w:fill="E6E7E8"/>
          </w:tcPr>
          <w:p>
            <w:pPr>
              <w:spacing w:after="0"/>
              <w:rPr>
                <w:sz w:val="18"/>
                <w:szCs w:val="18"/>
                <w:color w:val="auto"/>
              </w:rPr>
            </w:pPr>
          </w:p>
        </w:tc>
        <w:tc>
          <w:tcPr>
            <w:tcW w:w="220" w:type="dxa"/>
            <w:vAlign w:val="bottom"/>
            <w:shd w:val="clear" w:color="auto" w:fill="E6E7E8"/>
          </w:tcPr>
          <w:p>
            <w:pPr>
              <w:spacing w:after="0"/>
              <w:rPr>
                <w:sz w:val="18"/>
                <w:szCs w:val="18"/>
                <w:color w:val="auto"/>
              </w:rPr>
            </w:pPr>
          </w:p>
        </w:tc>
        <w:tc>
          <w:tcPr>
            <w:tcW w:w="260" w:type="dxa"/>
            <w:vAlign w:val="bottom"/>
            <w:shd w:val="clear" w:color="auto" w:fill="E6E7E8"/>
          </w:tcPr>
          <w:p>
            <w:pPr>
              <w:spacing w:after="0"/>
              <w:rPr>
                <w:sz w:val="18"/>
                <w:szCs w:val="18"/>
                <w:color w:val="auto"/>
              </w:rPr>
            </w:pPr>
          </w:p>
        </w:tc>
        <w:tc>
          <w:tcPr>
            <w:tcW w:w="940" w:type="dxa"/>
            <w:vAlign w:val="bottom"/>
            <w:shd w:val="clear" w:color="auto" w:fill="E6E7E8"/>
          </w:tcPr>
          <w:p>
            <w:pPr>
              <w:spacing w:after="0"/>
              <w:rPr>
                <w:sz w:val="18"/>
                <w:szCs w:val="18"/>
                <w:color w:val="auto"/>
              </w:rPr>
            </w:pPr>
          </w:p>
        </w:tc>
        <w:tc>
          <w:tcPr>
            <w:tcW w:w="60" w:type="dxa"/>
            <w:vAlign w:val="bottom"/>
            <w:shd w:val="clear" w:color="auto" w:fill="E6E7E8"/>
          </w:tcPr>
          <w:p>
            <w:pPr>
              <w:spacing w:after="0"/>
              <w:rPr>
                <w:sz w:val="18"/>
                <w:szCs w:val="18"/>
                <w:color w:val="auto"/>
              </w:rPr>
            </w:pPr>
          </w:p>
        </w:tc>
      </w:tr>
      <w:tr>
        <w:trPr>
          <w:trHeight w:val="218"/>
        </w:trPr>
        <w:tc>
          <w:tcPr>
            <w:tcW w:w="414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Federal</w:t>
            </w:r>
          </w:p>
        </w:tc>
        <w:tc>
          <w:tcPr>
            <w:tcW w:w="1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5.3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4.8</w:t>
            </w:r>
          </w:p>
        </w:tc>
        <w:tc>
          <w:tcPr>
            <w:tcW w:w="60" w:type="dxa"/>
            <w:vAlign w:val="bottom"/>
          </w:tcPr>
          <w:p>
            <w:pPr>
              <w:spacing w:after="0"/>
              <w:rPr>
                <w:sz w:val="19"/>
                <w:szCs w:val="19"/>
                <w:color w:val="auto"/>
              </w:rPr>
            </w:pPr>
          </w:p>
        </w:tc>
      </w:tr>
      <w:tr>
        <w:trPr>
          <w:trHeight w:val="219"/>
        </w:trPr>
        <w:tc>
          <w:tcPr>
            <w:tcW w:w="414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State</w:t>
            </w:r>
          </w:p>
        </w:tc>
        <w:tc>
          <w:tcPr>
            <w:tcW w:w="1480" w:type="dxa"/>
            <w:vAlign w:val="bottom"/>
            <w:shd w:val="clear" w:color="auto" w:fill="E6E7E8"/>
          </w:tcPr>
          <w:p>
            <w:pPr>
              <w:spacing w:after="0"/>
              <w:rPr>
                <w:sz w:val="19"/>
                <w:szCs w:val="19"/>
                <w:color w:val="auto"/>
              </w:rPr>
            </w:pPr>
          </w:p>
        </w:tc>
        <w:tc>
          <w:tcPr>
            <w:tcW w:w="820" w:type="dxa"/>
            <w:vAlign w:val="bottom"/>
            <w:tcBorders>
              <w:bottom w:val="single" w:sz="8" w:color="231F20"/>
            </w:tcBorders>
            <w:shd w:val="clear" w:color="auto" w:fill="E6E7E8"/>
          </w:tcPr>
          <w:p>
            <w:pPr>
              <w:spacing w:after="0"/>
              <w:rPr>
                <w:sz w:val="19"/>
                <w:szCs w:val="19"/>
                <w:color w:val="auto"/>
              </w:rPr>
            </w:pPr>
          </w:p>
        </w:tc>
        <w:tc>
          <w:tcPr>
            <w:tcW w:w="38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4.3</w:t>
            </w:r>
          </w:p>
        </w:tc>
        <w:tc>
          <w:tcPr>
            <w:tcW w:w="220" w:type="dxa"/>
            <w:vAlign w:val="bottom"/>
            <w:shd w:val="clear" w:color="auto" w:fill="E6E7E8"/>
          </w:tcPr>
          <w:p>
            <w:pPr>
              <w:spacing w:after="0"/>
              <w:rPr>
                <w:sz w:val="19"/>
                <w:szCs w:val="19"/>
                <w:color w:val="auto"/>
              </w:rPr>
            </w:pPr>
          </w:p>
        </w:tc>
        <w:tc>
          <w:tcPr>
            <w:tcW w:w="140" w:type="dxa"/>
            <w:vAlign w:val="bottom"/>
            <w:tcBorders>
              <w:bottom w:val="single" w:sz="8" w:color="231F20"/>
            </w:tcBorders>
            <w:shd w:val="clear" w:color="auto" w:fill="E6E7E8"/>
          </w:tcPr>
          <w:p>
            <w:pPr>
              <w:spacing w:after="0"/>
              <w:rPr>
                <w:sz w:val="19"/>
                <w:szCs w:val="19"/>
                <w:color w:val="auto"/>
              </w:rPr>
            </w:pPr>
          </w:p>
        </w:tc>
        <w:tc>
          <w:tcPr>
            <w:tcW w:w="106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4.6</w:t>
            </w:r>
          </w:p>
        </w:tc>
        <w:tc>
          <w:tcPr>
            <w:tcW w:w="220" w:type="dxa"/>
            <w:vAlign w:val="bottom"/>
            <w:shd w:val="clear" w:color="auto" w:fill="E6E7E8"/>
          </w:tcPr>
          <w:p>
            <w:pPr>
              <w:spacing w:after="0"/>
              <w:rPr>
                <w:sz w:val="19"/>
                <w:szCs w:val="19"/>
                <w:color w:val="auto"/>
              </w:rPr>
            </w:pPr>
          </w:p>
        </w:tc>
        <w:tc>
          <w:tcPr>
            <w:tcW w:w="260" w:type="dxa"/>
            <w:vAlign w:val="bottom"/>
            <w:tcBorders>
              <w:bottom w:val="single" w:sz="8" w:color="231F20"/>
            </w:tcBorders>
            <w:shd w:val="clear" w:color="auto" w:fill="E6E7E8"/>
          </w:tcPr>
          <w:p>
            <w:pPr>
              <w:spacing w:after="0"/>
              <w:rPr>
                <w:sz w:val="19"/>
                <w:szCs w:val="19"/>
                <w:color w:val="auto"/>
              </w:rPr>
            </w:pPr>
          </w:p>
        </w:tc>
        <w:tc>
          <w:tcPr>
            <w:tcW w:w="94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2.6</w:t>
            </w:r>
          </w:p>
        </w:tc>
        <w:tc>
          <w:tcPr>
            <w:tcW w:w="60" w:type="dxa"/>
            <w:vAlign w:val="bottom"/>
            <w:shd w:val="clear" w:color="auto" w:fill="E6E7E8"/>
          </w:tcPr>
          <w:p>
            <w:pPr>
              <w:spacing w:after="0"/>
              <w:rPr>
                <w:sz w:val="19"/>
                <w:szCs w:val="19"/>
                <w:color w:val="auto"/>
              </w:rPr>
            </w:pPr>
          </w:p>
        </w:tc>
      </w:tr>
      <w:tr>
        <w:trPr>
          <w:trHeight w:val="214"/>
        </w:trPr>
        <w:tc>
          <w:tcPr>
            <w:tcW w:w="4140" w:type="dxa"/>
            <w:vAlign w:val="bottom"/>
            <w:tcBorders>
              <w:bottom w:val="single" w:sz="8" w:color="E6E7E8"/>
            </w:tcBorders>
          </w:tcPr>
          <w:p>
            <w:pPr>
              <w:ind w:left="400"/>
              <w:spacing w:after="0" w:line="214" w:lineRule="exact"/>
              <w:rPr>
                <w:sz w:val="20"/>
                <w:szCs w:val="20"/>
                <w:color w:val="auto"/>
              </w:rPr>
            </w:pPr>
            <w:r>
              <w:rPr>
                <w:rFonts w:ascii="Times New Roman" w:cs="Times New Roman" w:eastAsia="Times New Roman" w:hAnsi="Times New Roman"/>
                <w:sz w:val="19"/>
                <w:szCs w:val="19"/>
                <w:color w:val="231F20"/>
              </w:rPr>
              <w:t>Total Deferred Income Taxes</w:t>
            </w:r>
          </w:p>
        </w:tc>
        <w:tc>
          <w:tcPr>
            <w:tcW w:w="1480" w:type="dxa"/>
            <w:vAlign w:val="bottom"/>
            <w:tcBorders>
              <w:bottom w:val="single" w:sz="8" w:color="E6E7E8"/>
            </w:tcBorders>
          </w:tcPr>
          <w:p>
            <w:pPr>
              <w:spacing w:after="0"/>
              <w:rPr>
                <w:sz w:val="18"/>
                <w:szCs w:val="18"/>
                <w:color w:val="auto"/>
              </w:rPr>
            </w:pPr>
          </w:p>
        </w:tc>
        <w:tc>
          <w:tcPr>
            <w:tcW w:w="820" w:type="dxa"/>
            <w:vAlign w:val="bottom"/>
            <w:tcBorders>
              <w:bottom w:val="single" w:sz="8" w:color="231F20"/>
            </w:tcBorders>
          </w:tcPr>
          <w:p>
            <w:pPr>
              <w:spacing w:after="0"/>
              <w:rPr>
                <w:sz w:val="18"/>
                <w:szCs w:val="18"/>
                <w:color w:val="auto"/>
              </w:rPr>
            </w:pPr>
          </w:p>
        </w:tc>
        <w:tc>
          <w:tcPr>
            <w:tcW w:w="38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9.6</w:t>
            </w:r>
          </w:p>
        </w:tc>
        <w:tc>
          <w:tcPr>
            <w:tcW w:w="220" w:type="dxa"/>
            <w:vAlign w:val="bottom"/>
            <w:tcBorders>
              <w:bottom w:val="single" w:sz="8" w:color="E6E7E8"/>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106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13.2</w:t>
            </w:r>
          </w:p>
        </w:tc>
        <w:tc>
          <w:tcPr>
            <w:tcW w:w="220" w:type="dxa"/>
            <w:vAlign w:val="bottom"/>
            <w:tcBorders>
              <w:bottom w:val="single" w:sz="8" w:color="E6E7E8"/>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7.4</w:t>
            </w:r>
          </w:p>
        </w:tc>
        <w:tc>
          <w:tcPr>
            <w:tcW w:w="60" w:type="dxa"/>
            <w:vAlign w:val="bottom"/>
            <w:tcBorders>
              <w:bottom w:val="single" w:sz="8" w:color="E6E7E8"/>
            </w:tcBorders>
          </w:tcPr>
          <w:p>
            <w:pPr>
              <w:spacing w:after="0"/>
              <w:rPr>
                <w:sz w:val="18"/>
                <w:szCs w:val="18"/>
                <w:color w:val="auto"/>
              </w:rPr>
            </w:pPr>
          </w:p>
        </w:tc>
      </w:tr>
      <w:tr>
        <w:trPr>
          <w:trHeight w:val="214"/>
        </w:trPr>
        <w:tc>
          <w:tcPr>
            <w:tcW w:w="4140" w:type="dxa"/>
            <w:vAlign w:val="bottom"/>
            <w:shd w:val="clear" w:color="auto" w:fill="E6E7E8"/>
          </w:tcPr>
          <w:p>
            <w:pPr>
              <w:ind w:left="400"/>
              <w:spacing w:after="0" w:line="214" w:lineRule="exact"/>
              <w:rPr>
                <w:sz w:val="20"/>
                <w:szCs w:val="20"/>
                <w:color w:val="auto"/>
              </w:rPr>
            </w:pPr>
            <w:r>
              <w:rPr>
                <w:rFonts w:ascii="Times New Roman" w:cs="Times New Roman" w:eastAsia="Times New Roman" w:hAnsi="Times New Roman"/>
                <w:sz w:val="19"/>
                <w:szCs w:val="19"/>
                <w:b w:val="1"/>
                <w:bCs w:val="1"/>
                <w:color w:val="231F20"/>
              </w:rPr>
              <w:t>Total Income Tax Expense</w:t>
            </w:r>
          </w:p>
        </w:tc>
        <w:tc>
          <w:tcPr>
            <w:tcW w:w="1480" w:type="dxa"/>
            <w:vAlign w:val="bottom"/>
            <w:shd w:val="clear" w:color="auto" w:fill="E6E7E8"/>
          </w:tcPr>
          <w:p>
            <w:pPr>
              <w:spacing w:after="0"/>
              <w:rPr>
                <w:sz w:val="18"/>
                <w:szCs w:val="18"/>
                <w:color w:val="auto"/>
              </w:rPr>
            </w:pPr>
          </w:p>
        </w:tc>
        <w:tc>
          <w:tcPr>
            <w:tcW w:w="820" w:type="dxa"/>
            <w:vAlign w:val="bottom"/>
            <w:tcBorders>
              <w:bottom w:val="single" w:sz="8" w:color="231F20"/>
            </w:tcBorders>
            <w:shd w:val="clear" w:color="auto" w:fill="E6E7E8"/>
          </w:tcPr>
          <w:p>
            <w:pPr>
              <w:jc w:val="right"/>
              <w:ind w:right="625"/>
              <w:spacing w:after="0" w:line="214" w:lineRule="exact"/>
              <w:rPr>
                <w:sz w:val="20"/>
                <w:szCs w:val="20"/>
                <w:color w:val="auto"/>
              </w:rPr>
            </w:pPr>
            <w:r>
              <w:rPr>
                <w:rFonts w:ascii="Times New Roman" w:cs="Times New Roman" w:eastAsia="Times New Roman" w:hAnsi="Times New Roman"/>
                <w:sz w:val="19"/>
                <w:szCs w:val="19"/>
                <w:b w:val="1"/>
                <w:bCs w:val="1"/>
                <w:color w:val="231F20"/>
                <w:w w:val="83"/>
              </w:rPr>
              <w:t>$</w:t>
            </w:r>
          </w:p>
        </w:tc>
        <w:tc>
          <w:tcPr>
            <w:tcW w:w="380" w:type="dxa"/>
            <w:vAlign w:val="bottom"/>
            <w:tcBorders>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15.3</w:t>
            </w:r>
          </w:p>
        </w:tc>
        <w:tc>
          <w:tcPr>
            <w:tcW w:w="220" w:type="dxa"/>
            <w:vAlign w:val="bottom"/>
            <w:shd w:val="clear" w:color="auto" w:fill="E6E7E8"/>
          </w:tcPr>
          <w:p>
            <w:pPr>
              <w:spacing w:after="0"/>
              <w:rPr>
                <w:sz w:val="18"/>
                <w:szCs w:val="18"/>
                <w:color w:val="auto"/>
              </w:rPr>
            </w:pPr>
          </w:p>
        </w:tc>
        <w:tc>
          <w:tcPr>
            <w:tcW w:w="140" w:type="dxa"/>
            <w:vAlign w:val="bottom"/>
            <w:tcBorders>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w w:val="83"/>
              </w:rPr>
              <w:t>$</w:t>
            </w:r>
          </w:p>
        </w:tc>
        <w:tc>
          <w:tcPr>
            <w:tcW w:w="1060" w:type="dxa"/>
            <w:vAlign w:val="bottom"/>
            <w:tcBorders>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14.0</w:t>
            </w:r>
          </w:p>
        </w:tc>
        <w:tc>
          <w:tcPr>
            <w:tcW w:w="220" w:type="dxa"/>
            <w:vAlign w:val="bottom"/>
            <w:shd w:val="clear" w:color="auto" w:fill="E6E7E8"/>
          </w:tcPr>
          <w:p>
            <w:pPr>
              <w:spacing w:after="0"/>
              <w:rPr>
                <w:sz w:val="18"/>
                <w:szCs w:val="18"/>
                <w:color w:val="auto"/>
              </w:rPr>
            </w:pPr>
          </w:p>
        </w:tc>
        <w:tc>
          <w:tcPr>
            <w:tcW w:w="260" w:type="dxa"/>
            <w:vAlign w:val="bottom"/>
            <w:tcBorders>
              <w:bottom w:val="single" w:sz="8" w:color="231F20"/>
            </w:tcBorders>
            <w:shd w:val="clear" w:color="auto" w:fill="E6E7E8"/>
          </w:tcPr>
          <w:p>
            <w:pPr>
              <w:jc w:val="right"/>
              <w:ind w:right="65"/>
              <w:spacing w:after="0" w:line="214" w:lineRule="exact"/>
              <w:rPr>
                <w:sz w:val="20"/>
                <w:szCs w:val="20"/>
                <w:color w:val="auto"/>
              </w:rPr>
            </w:pPr>
            <w:r>
              <w:rPr>
                <w:rFonts w:ascii="Times New Roman" w:cs="Times New Roman" w:eastAsia="Times New Roman" w:hAnsi="Times New Roman"/>
                <w:sz w:val="19"/>
                <w:szCs w:val="19"/>
                <w:color w:val="231F20"/>
                <w:w w:val="83"/>
              </w:rPr>
              <w:t>$</w:t>
            </w:r>
          </w:p>
        </w:tc>
        <w:tc>
          <w:tcPr>
            <w:tcW w:w="940" w:type="dxa"/>
            <w:vAlign w:val="bottom"/>
            <w:tcBorders>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13.2</w:t>
            </w:r>
          </w:p>
        </w:tc>
        <w:tc>
          <w:tcPr>
            <w:tcW w:w="60" w:type="dxa"/>
            <w:vAlign w:val="bottom"/>
            <w:shd w:val="clear" w:color="auto" w:fill="E6E7E8"/>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3894455</wp:posOffset>
            </wp:positionH>
            <wp:positionV relativeFrom="paragraph">
              <wp:posOffset>-1464945</wp:posOffset>
            </wp:positionV>
            <wp:extent cx="259651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2">
                      <a:extLst>
                        <a:ext uri="{28A0092B-C50C-407E-A947-70E740481C1C}"/>
                      </a:extLst>
                    </a:blip>
                    <a:srcRect/>
                    <a:stretch>
                      <a:fillRect/>
                    </a:stretch>
                  </pic:blipFill>
                  <pic:spPr bwMode="auto">
                    <a:xfrm>
                      <a:off x="0" y="0"/>
                      <a:ext cx="2596515" cy="38100"/>
                    </a:xfrm>
                    <a:prstGeom prst="rect">
                      <a:avLst/>
                    </a:prstGeom>
                    <a:noFill/>
                  </pic:spPr>
                </pic:pic>
              </a:graphicData>
            </a:graphic>
          </wp:anchor>
        </w:drawing>
      </w:r>
    </w:p>
    <w:p>
      <w:pPr>
        <w:spacing w:after="0" w:line="199" w:lineRule="exact"/>
        <w:rPr>
          <w:sz w:val="20"/>
          <w:szCs w:val="20"/>
          <w:color w:val="auto"/>
        </w:rPr>
      </w:pPr>
    </w:p>
    <w:p>
      <w:pPr>
        <w:ind w:right="340" w:firstLine="619"/>
        <w:spacing w:after="0" w:line="305" w:lineRule="auto"/>
        <w:rPr>
          <w:sz w:val="20"/>
          <w:szCs w:val="20"/>
          <w:color w:val="auto"/>
        </w:rPr>
      </w:pPr>
      <w:r>
        <w:rPr>
          <w:rFonts w:ascii="Times New Roman" w:cs="Times New Roman" w:eastAsia="Times New Roman" w:hAnsi="Times New Roman"/>
          <w:sz w:val="20"/>
          <w:szCs w:val="20"/>
          <w:color w:val="231F20"/>
        </w:rPr>
        <w:t>In December 2023, the FASB issued ASU 2023-09 – Income taxes: Improvements to Income Tax Disclosures which includes amendments that further enhance income tax disclosures and income taxes paid by jurisdiction. The Company has</w:t>
      </w:r>
    </w:p>
    <w:p>
      <w:pPr>
        <w:sectPr>
          <w:pgSz w:w="12240" w:h="15840" w:orient="portrait"/>
          <w:cols w:equalWidth="0" w:num="1">
            <w:col w:w="10780"/>
          </w:cols>
          <w:pgMar w:left="720" w:top="928" w:right="74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83</w:t>
      </w:r>
    </w:p>
    <w:p>
      <w:pPr>
        <w:sectPr>
          <w:pgSz w:w="12240" w:h="15840" w:orient="portrait"/>
          <w:cols w:equalWidth="0" w:num="1">
            <w:col w:w="10780"/>
          </w:cols>
          <w:pgMar w:left="720" w:top="928" w:right="740" w:bottom="188" w:gutter="0" w:footer="0" w:header="0"/>
          <w:type w:val="continuous"/>
        </w:sectPr>
      </w:pPr>
    </w:p>
    <w:bookmarkStart w:id="103" w:name="page104"/>
    <w:bookmarkEnd w:id="103"/>
    <w:p>
      <w:pPr>
        <w:spacing w:after="0" w:line="279" w:lineRule="auto"/>
        <w:rPr>
          <w:sz w:val="20"/>
          <w:szCs w:val="20"/>
          <w:color w:val="auto"/>
        </w:rPr>
      </w:pPr>
      <w:r>
        <w:rPr>
          <w:rFonts w:ascii="Times New Roman" w:cs="Times New Roman" w:eastAsia="Times New Roman" w:hAnsi="Times New Roman"/>
          <w:sz w:val="21"/>
          <w:szCs w:val="21"/>
          <w:color w:val="231F20"/>
        </w:rPr>
        <w:t>elected to adopt ASU 2023-09 on a prospective basis. The following table presents the Company’s provisions for Income Taxes and the provisions calculated at the statutory federal tax rate for the year ended December 31, 2025:</w:t>
      </w:r>
    </w:p>
    <w:p>
      <w:pPr>
        <w:spacing w:after="0" w:line="213"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64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(Dollars in thousands)</w:t>
            </w:r>
          </w:p>
        </w:tc>
        <w:tc>
          <w:tcPr>
            <w:tcW w:w="140" w:type="dxa"/>
            <w:vAlign w:val="bottom"/>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1380" w:type="dxa"/>
            <w:vAlign w:val="bottom"/>
            <w:tcBorders>
              <w:bottom w:val="single" w:sz="8" w:color="231F20"/>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240" w:type="dxa"/>
            <w:vAlign w:val="bottom"/>
            <w:tcBorders>
              <w:bottom w:val="single" w:sz="8" w:color="231F20"/>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420" w:type="dxa"/>
            <w:vAlign w:val="bottom"/>
            <w:tcBorders>
              <w:bottom w:val="single" w:sz="8" w:color="231F20"/>
            </w:tcBorders>
            <w:vMerge w:val="continue"/>
          </w:tcPr>
          <w:p>
            <w:pPr>
              <w:spacing w:after="0"/>
              <w:rPr>
                <w:sz w:val="16"/>
                <w:szCs w:val="16"/>
                <w:color w:val="auto"/>
              </w:rPr>
            </w:pPr>
          </w:p>
        </w:tc>
        <w:tc>
          <w:tcPr>
            <w:tcW w:w="140" w:type="dxa"/>
            <w:vAlign w:val="bottom"/>
            <w:tcBorders>
              <w:bottom w:val="single" w:sz="8" w:color="E6E7E8"/>
            </w:tcBorders>
          </w:tcPr>
          <w:p>
            <w:pPr>
              <w:spacing w:after="0"/>
              <w:rPr>
                <w:sz w:val="16"/>
                <w:szCs w:val="16"/>
                <w:color w:val="auto"/>
              </w:rPr>
            </w:pPr>
          </w:p>
        </w:tc>
        <w:tc>
          <w:tcPr>
            <w:tcW w:w="260" w:type="dxa"/>
            <w:vAlign w:val="bottom"/>
            <w:tcBorders>
              <w:bottom w:val="single" w:sz="8" w:color="231F20"/>
            </w:tcBorders>
          </w:tcPr>
          <w:p>
            <w:pPr>
              <w:spacing w:after="0"/>
              <w:rPr>
                <w:sz w:val="16"/>
                <w:szCs w:val="16"/>
                <w:color w:val="auto"/>
              </w:rPr>
            </w:pPr>
          </w:p>
        </w:tc>
        <w:tc>
          <w:tcPr>
            <w:tcW w:w="1120" w:type="dxa"/>
            <w:vAlign w:val="bottom"/>
            <w:tcBorders>
              <w:bottom w:val="single" w:sz="8" w:color="231F20"/>
            </w:tcBorders>
          </w:tcPr>
          <w:p>
            <w:pPr>
              <w:jc w:val="right"/>
              <w:ind w:right="329"/>
              <w:spacing w:after="0"/>
              <w:rPr>
                <w:sz w:val="20"/>
                <w:szCs w:val="20"/>
                <w:color w:val="auto"/>
              </w:rPr>
            </w:pPr>
            <w:r>
              <w:rPr>
                <w:rFonts w:ascii="Times New Roman" w:cs="Times New Roman" w:eastAsia="Times New Roman" w:hAnsi="Times New Roman"/>
                <w:sz w:val="16"/>
                <w:szCs w:val="16"/>
                <w:b w:val="1"/>
                <w:bCs w:val="1"/>
                <w:color w:val="231F20"/>
              </w:rPr>
              <w:t>Amount</w:t>
            </w:r>
          </w:p>
        </w:tc>
        <w:tc>
          <w:tcPr>
            <w:tcW w:w="260" w:type="dxa"/>
            <w:vAlign w:val="bottom"/>
            <w:tcBorders>
              <w:bottom w:val="single" w:sz="8" w:color="E6E7E8"/>
            </w:tcBorders>
          </w:tcPr>
          <w:p>
            <w:pPr>
              <w:spacing w:after="0"/>
              <w:rPr>
                <w:sz w:val="16"/>
                <w:szCs w:val="16"/>
                <w:color w:val="auto"/>
              </w:rPr>
            </w:pPr>
          </w:p>
        </w:tc>
        <w:tc>
          <w:tcPr>
            <w:tcW w:w="1240" w:type="dxa"/>
            <w:vAlign w:val="bottom"/>
            <w:tcBorders>
              <w:bottom w:val="single" w:sz="8" w:color="231F20"/>
            </w:tcBorders>
          </w:tcPr>
          <w:p>
            <w:pPr>
              <w:ind w:left="440"/>
              <w:spacing w:after="0"/>
              <w:rPr>
                <w:sz w:val="20"/>
                <w:szCs w:val="20"/>
                <w:color w:val="auto"/>
              </w:rPr>
            </w:pPr>
            <w:r>
              <w:rPr>
                <w:rFonts w:ascii="Times New Roman" w:cs="Times New Roman" w:eastAsia="Times New Roman" w:hAnsi="Times New Roman"/>
                <w:sz w:val="16"/>
                <w:szCs w:val="16"/>
                <w:b w:val="1"/>
                <w:bCs w:val="1"/>
                <w:color w:val="231F20"/>
              </w:rPr>
              <w:t>Rate</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420" w:type="dxa"/>
            <w:vAlign w:val="bottom"/>
            <w:shd w:val="clear" w:color="auto" w:fill="E6E7E8"/>
          </w:tcPr>
          <w:p>
            <w:pPr>
              <w:spacing w:after="0"/>
              <w:rPr>
                <w:sz w:val="20"/>
                <w:szCs w:val="20"/>
                <w:color w:val="auto"/>
              </w:rPr>
            </w:pPr>
            <w:r>
              <w:rPr>
                <w:rFonts w:ascii="Times New Roman" w:cs="Times New Roman" w:eastAsia="Times New Roman" w:hAnsi="Times New Roman"/>
                <w:sz w:val="19"/>
                <w:szCs w:val="19"/>
                <w:color w:val="231F20"/>
              </w:rPr>
              <w:t>U.S. Federal Statutory Tax Rate</w:t>
            </w:r>
          </w:p>
        </w:tc>
        <w:tc>
          <w:tcPr>
            <w:tcW w:w="140" w:type="dxa"/>
            <w:vAlign w:val="bottom"/>
            <w:shd w:val="clear" w:color="auto" w:fill="E6E7E8"/>
          </w:tcPr>
          <w:p>
            <w:pPr>
              <w:spacing w:after="0"/>
              <w:rPr>
                <w:sz w:val="19"/>
                <w:szCs w:val="19"/>
                <w:color w:val="auto"/>
              </w:rPr>
            </w:pPr>
          </w:p>
        </w:tc>
        <w:tc>
          <w:tcPr>
            <w:tcW w:w="260" w:type="dxa"/>
            <w:vAlign w:val="bottom"/>
            <w:shd w:val="clear" w:color="auto" w:fill="E6E7E8"/>
          </w:tcPr>
          <w:p>
            <w:pPr>
              <w:jc w:val="right"/>
              <w:ind w:right="65"/>
              <w:spacing w:after="0"/>
              <w:rPr>
                <w:sz w:val="20"/>
                <w:szCs w:val="20"/>
                <w:color w:val="auto"/>
              </w:rPr>
            </w:pPr>
            <w:r>
              <w:rPr>
                <w:rFonts w:ascii="Times New Roman" w:cs="Times New Roman" w:eastAsia="Times New Roman" w:hAnsi="Times New Roman"/>
                <w:sz w:val="19"/>
                <w:szCs w:val="19"/>
                <w:b w:val="1"/>
                <w:bCs w:val="1"/>
                <w:color w:val="231F20"/>
                <w:w w:val="83"/>
              </w:rPr>
              <w:t>$</w:t>
            </w:r>
          </w:p>
        </w:tc>
        <w:tc>
          <w:tcPr>
            <w:tcW w:w="11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13,754</w:t>
            </w:r>
          </w:p>
        </w:tc>
        <w:tc>
          <w:tcPr>
            <w:tcW w:w="260" w:type="dxa"/>
            <w:vAlign w:val="bottom"/>
            <w:shd w:val="clear" w:color="auto" w:fill="E6E7E8"/>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b w:val="1"/>
                <w:bCs w:val="1"/>
                <w:color w:val="231F20"/>
              </w:rPr>
              <w:t>21.0%</w:t>
            </w:r>
          </w:p>
        </w:tc>
        <w:tc>
          <w:tcPr>
            <w:tcW w:w="0" w:type="dxa"/>
            <w:vAlign w:val="bottom"/>
          </w:tcPr>
          <w:p>
            <w:pPr>
              <w:spacing w:after="0"/>
              <w:rPr>
                <w:sz w:val="1"/>
                <w:szCs w:val="1"/>
                <w:color w:val="auto"/>
              </w:rPr>
            </w:pPr>
          </w:p>
        </w:tc>
      </w:tr>
      <w:tr>
        <w:trPr>
          <w:trHeight w:val="233"/>
        </w:trPr>
        <w:tc>
          <w:tcPr>
            <w:tcW w:w="6420" w:type="dxa"/>
            <w:vAlign w:val="bottom"/>
          </w:tcPr>
          <w:p>
            <w:pPr>
              <w:spacing w:after="0"/>
              <w:rPr>
                <w:sz w:val="20"/>
                <w:szCs w:val="20"/>
                <w:color w:val="auto"/>
              </w:rPr>
            </w:pPr>
            <w:r>
              <w:rPr>
                <w:rFonts w:ascii="Times New Roman" w:cs="Times New Roman" w:eastAsia="Times New Roman" w:hAnsi="Times New Roman"/>
                <w:sz w:val="19"/>
                <w:szCs w:val="19"/>
                <w:color w:val="231F20"/>
              </w:rPr>
              <w:t>State Income Taxes, net of Federal Income Tax</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4,251</w:t>
            </w:r>
          </w:p>
        </w:tc>
        <w:tc>
          <w:tcPr>
            <w:tcW w:w="26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b w:val="1"/>
                <w:bCs w:val="1"/>
                <w:color w:val="231F20"/>
              </w:rPr>
              <w:t>6.5%</w:t>
            </w:r>
          </w:p>
        </w:tc>
        <w:tc>
          <w:tcPr>
            <w:tcW w:w="0" w:type="dxa"/>
            <w:vAlign w:val="bottom"/>
          </w:tcPr>
          <w:p>
            <w:pPr>
              <w:spacing w:after="0"/>
              <w:rPr>
                <w:sz w:val="1"/>
                <w:szCs w:val="1"/>
                <w:color w:val="auto"/>
              </w:rPr>
            </w:pPr>
          </w:p>
        </w:tc>
      </w:tr>
      <w:tr>
        <w:trPr>
          <w:trHeight w:val="233"/>
        </w:trPr>
        <w:tc>
          <w:tcPr>
            <w:tcW w:w="6420" w:type="dxa"/>
            <w:vAlign w:val="bottom"/>
            <w:shd w:val="clear" w:color="auto" w:fill="E6E7E8"/>
          </w:tcPr>
          <w:p>
            <w:pPr>
              <w:spacing w:after="0"/>
              <w:rPr>
                <w:sz w:val="20"/>
                <w:szCs w:val="20"/>
                <w:color w:val="auto"/>
              </w:rPr>
            </w:pPr>
            <w:r>
              <w:rPr>
                <w:rFonts w:ascii="Times New Roman" w:cs="Times New Roman" w:eastAsia="Times New Roman" w:hAnsi="Times New Roman"/>
                <w:sz w:val="19"/>
                <w:szCs w:val="19"/>
                <w:color w:val="231F20"/>
              </w:rPr>
              <w:t>Production Tax Credit</w:t>
            </w:r>
          </w:p>
        </w:tc>
        <w:tc>
          <w:tcPr>
            <w:tcW w:w="140" w:type="dxa"/>
            <w:vAlign w:val="bottom"/>
            <w:shd w:val="clear" w:color="auto" w:fill="E6E7E8"/>
          </w:tcPr>
          <w:p>
            <w:pPr>
              <w:spacing w:after="0"/>
              <w:rPr>
                <w:sz w:val="20"/>
                <w:szCs w:val="20"/>
                <w:color w:val="auto"/>
              </w:rPr>
            </w:pPr>
          </w:p>
        </w:tc>
        <w:tc>
          <w:tcPr>
            <w:tcW w:w="260" w:type="dxa"/>
            <w:vAlign w:val="bottom"/>
            <w:shd w:val="clear" w:color="auto" w:fill="E6E7E8"/>
          </w:tcPr>
          <w:p>
            <w:pPr>
              <w:spacing w:after="0"/>
              <w:rPr>
                <w:sz w:val="20"/>
                <w:szCs w:val="20"/>
                <w:color w:val="auto"/>
              </w:rPr>
            </w:pPr>
          </w:p>
        </w:tc>
        <w:tc>
          <w:tcPr>
            <w:tcW w:w="1380" w:type="dxa"/>
            <w:vAlign w:val="bottom"/>
            <w:gridSpan w:val="2"/>
            <w:shd w:val="clear" w:color="auto" w:fill="E6E7E8"/>
          </w:tcPr>
          <w:p>
            <w:pPr>
              <w:jc w:val="right"/>
              <w:ind w:right="200"/>
              <w:spacing w:after="0"/>
              <w:rPr>
                <w:sz w:val="20"/>
                <w:szCs w:val="20"/>
                <w:color w:val="auto"/>
              </w:rPr>
            </w:pPr>
            <w:r>
              <w:rPr>
                <w:rFonts w:ascii="Times New Roman" w:cs="Times New Roman" w:eastAsia="Times New Roman" w:hAnsi="Times New Roman"/>
                <w:sz w:val="19"/>
                <w:szCs w:val="19"/>
                <w:b w:val="1"/>
                <w:bCs w:val="1"/>
                <w:color w:val="231F20"/>
              </w:rPr>
              <w:t>(212)</w:t>
            </w:r>
          </w:p>
        </w:tc>
        <w:tc>
          <w:tcPr>
            <w:tcW w:w="1520" w:type="dxa"/>
            <w:vAlign w:val="bottom"/>
            <w:gridSpan w:val="2"/>
            <w:shd w:val="clear" w:color="auto" w:fill="E6E7E8"/>
          </w:tcPr>
          <w:p>
            <w:pPr>
              <w:jc w:val="right"/>
              <w:ind w:right="40"/>
              <w:spacing w:after="0"/>
              <w:rPr>
                <w:sz w:val="20"/>
                <w:szCs w:val="20"/>
                <w:color w:val="auto"/>
              </w:rPr>
            </w:pPr>
            <w:r>
              <w:rPr>
                <w:rFonts w:ascii="Times New Roman" w:cs="Times New Roman" w:eastAsia="Times New Roman" w:hAnsi="Times New Roman"/>
                <w:sz w:val="19"/>
                <w:szCs w:val="19"/>
                <w:b w:val="1"/>
                <w:bCs w:val="1"/>
                <w:color w:val="231F20"/>
              </w:rPr>
              <w:t>(0.3)%</w:t>
            </w:r>
          </w:p>
        </w:tc>
        <w:tc>
          <w:tcPr>
            <w:tcW w:w="0" w:type="dxa"/>
            <w:vAlign w:val="bottom"/>
          </w:tcPr>
          <w:p>
            <w:pPr>
              <w:spacing w:after="0"/>
              <w:rPr>
                <w:sz w:val="1"/>
                <w:szCs w:val="1"/>
                <w:color w:val="auto"/>
              </w:rPr>
            </w:pPr>
          </w:p>
        </w:tc>
      </w:tr>
      <w:tr>
        <w:trPr>
          <w:trHeight w:val="233"/>
        </w:trPr>
        <w:tc>
          <w:tcPr>
            <w:tcW w:w="6420" w:type="dxa"/>
            <w:vAlign w:val="bottom"/>
          </w:tcPr>
          <w:p>
            <w:pPr>
              <w:spacing w:after="0"/>
              <w:rPr>
                <w:sz w:val="20"/>
                <w:szCs w:val="20"/>
                <w:color w:val="auto"/>
              </w:rPr>
            </w:pPr>
            <w:r>
              <w:rPr>
                <w:rFonts w:ascii="Times New Roman" w:cs="Times New Roman" w:eastAsia="Times New Roman" w:hAnsi="Times New Roman"/>
                <w:sz w:val="19"/>
                <w:szCs w:val="19"/>
                <w:color w:val="231F20"/>
              </w:rPr>
              <w:t>Nontaxable and Nondeductible Items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420" w:type="dxa"/>
            <w:vAlign w:val="bottom"/>
            <w:shd w:val="clear" w:color="auto" w:fill="E6E7E8"/>
          </w:tcPr>
          <w:p>
            <w:pPr>
              <w:ind w:left="100"/>
              <w:spacing w:after="0"/>
              <w:rPr>
                <w:sz w:val="20"/>
                <w:szCs w:val="20"/>
                <w:color w:val="auto"/>
              </w:rPr>
            </w:pPr>
            <w:r>
              <w:rPr>
                <w:rFonts w:ascii="Times New Roman" w:cs="Times New Roman" w:eastAsia="Times New Roman" w:hAnsi="Times New Roman"/>
                <w:sz w:val="19"/>
                <w:szCs w:val="19"/>
                <w:color w:val="231F20"/>
              </w:rPr>
              <w:t>Regulatory Amortization of Excess ADIT</w:t>
            </w:r>
          </w:p>
        </w:tc>
        <w:tc>
          <w:tcPr>
            <w:tcW w:w="140" w:type="dxa"/>
            <w:vAlign w:val="bottom"/>
            <w:shd w:val="clear" w:color="auto" w:fill="E6E7E8"/>
          </w:tcPr>
          <w:p>
            <w:pPr>
              <w:spacing w:after="0"/>
              <w:rPr>
                <w:sz w:val="20"/>
                <w:szCs w:val="20"/>
                <w:color w:val="auto"/>
              </w:rPr>
            </w:pPr>
          </w:p>
        </w:tc>
        <w:tc>
          <w:tcPr>
            <w:tcW w:w="260" w:type="dxa"/>
            <w:vAlign w:val="bottom"/>
            <w:shd w:val="clear" w:color="auto" w:fill="E6E7E8"/>
          </w:tcPr>
          <w:p>
            <w:pPr>
              <w:spacing w:after="0"/>
              <w:rPr>
                <w:sz w:val="20"/>
                <w:szCs w:val="20"/>
                <w:color w:val="auto"/>
              </w:rPr>
            </w:pPr>
          </w:p>
        </w:tc>
        <w:tc>
          <w:tcPr>
            <w:tcW w:w="1380" w:type="dxa"/>
            <w:vAlign w:val="bottom"/>
            <w:gridSpan w:val="2"/>
            <w:shd w:val="clear" w:color="auto" w:fill="E6E7E8"/>
          </w:tcPr>
          <w:p>
            <w:pPr>
              <w:jc w:val="right"/>
              <w:ind w:right="200"/>
              <w:spacing w:after="0"/>
              <w:rPr>
                <w:sz w:val="20"/>
                <w:szCs w:val="20"/>
                <w:color w:val="auto"/>
              </w:rPr>
            </w:pPr>
            <w:r>
              <w:rPr>
                <w:rFonts w:ascii="Times New Roman" w:cs="Times New Roman" w:eastAsia="Times New Roman" w:hAnsi="Times New Roman"/>
                <w:sz w:val="19"/>
                <w:szCs w:val="19"/>
                <w:b w:val="1"/>
                <w:bCs w:val="1"/>
                <w:color w:val="231F20"/>
              </w:rPr>
              <w:t>(2,668)</w:t>
            </w:r>
          </w:p>
        </w:tc>
        <w:tc>
          <w:tcPr>
            <w:tcW w:w="1520" w:type="dxa"/>
            <w:vAlign w:val="bottom"/>
            <w:gridSpan w:val="2"/>
            <w:shd w:val="clear" w:color="auto" w:fill="E6E7E8"/>
          </w:tcPr>
          <w:p>
            <w:pPr>
              <w:jc w:val="right"/>
              <w:ind w:right="40"/>
              <w:spacing w:after="0"/>
              <w:rPr>
                <w:sz w:val="20"/>
                <w:szCs w:val="20"/>
                <w:color w:val="auto"/>
              </w:rPr>
            </w:pPr>
            <w:r>
              <w:rPr>
                <w:rFonts w:ascii="Times New Roman" w:cs="Times New Roman" w:eastAsia="Times New Roman" w:hAnsi="Times New Roman"/>
                <w:sz w:val="19"/>
                <w:szCs w:val="19"/>
                <w:b w:val="1"/>
                <w:bCs w:val="1"/>
                <w:color w:val="231F20"/>
              </w:rPr>
              <w:t>(4.1)%</w:t>
            </w:r>
          </w:p>
        </w:tc>
        <w:tc>
          <w:tcPr>
            <w:tcW w:w="0" w:type="dxa"/>
            <w:vAlign w:val="bottom"/>
          </w:tcPr>
          <w:p>
            <w:pPr>
              <w:spacing w:after="0"/>
              <w:rPr>
                <w:sz w:val="1"/>
                <w:szCs w:val="1"/>
                <w:color w:val="auto"/>
              </w:rPr>
            </w:pPr>
          </w:p>
        </w:tc>
      </w:tr>
      <w:tr>
        <w:trPr>
          <w:trHeight w:val="233"/>
        </w:trPr>
        <w:tc>
          <w:tcPr>
            <w:tcW w:w="642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Other</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187</w:t>
            </w:r>
          </w:p>
        </w:tc>
        <w:tc>
          <w:tcPr>
            <w:tcW w:w="26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b w:val="1"/>
                <w:bCs w:val="1"/>
                <w:color w:val="231F20"/>
              </w:rPr>
              <w:t>0.3%</w:t>
            </w:r>
          </w:p>
        </w:tc>
        <w:tc>
          <w:tcPr>
            <w:tcW w:w="0" w:type="dxa"/>
            <w:vAlign w:val="bottom"/>
          </w:tcPr>
          <w:p>
            <w:pPr>
              <w:spacing w:after="0"/>
              <w:rPr>
                <w:sz w:val="1"/>
                <w:szCs w:val="1"/>
                <w:color w:val="auto"/>
              </w:rPr>
            </w:pPr>
          </w:p>
        </w:tc>
      </w:tr>
      <w:tr>
        <w:trPr>
          <w:trHeight w:val="20"/>
        </w:trPr>
        <w:tc>
          <w:tcPr>
            <w:tcW w:w="6420" w:type="dxa"/>
            <w:vAlign w:val="bottom"/>
            <w:vMerge w:val="restart"/>
            <w:shd w:val="clear" w:color="auto" w:fill="E6E7E8"/>
          </w:tcPr>
          <w:p>
            <w:pPr>
              <w:ind w:left="400"/>
              <w:spacing w:after="0"/>
              <w:rPr>
                <w:sz w:val="20"/>
                <w:szCs w:val="20"/>
                <w:color w:val="auto"/>
              </w:rPr>
            </w:pPr>
            <w:r>
              <w:rPr>
                <w:rFonts w:ascii="Times New Roman" w:cs="Times New Roman" w:eastAsia="Times New Roman" w:hAnsi="Times New Roman"/>
                <w:sz w:val="19"/>
                <w:szCs w:val="19"/>
                <w:b w:val="1"/>
                <w:bCs w:val="1"/>
                <w:color w:val="231F20"/>
              </w:rPr>
              <w:t>Income Tax Expense and Effective Income Tax Rate</w:t>
            </w:r>
          </w:p>
        </w:tc>
        <w:tc>
          <w:tcPr>
            <w:tcW w:w="140" w:type="dxa"/>
            <w:vAlign w:val="bottom"/>
            <w:shd w:val="clear" w:color="auto" w:fill="E6E7E8"/>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1120" w:type="dxa"/>
            <w:vAlign w:val="bottom"/>
            <w:shd w:val="clear" w:color="auto" w:fill="231F20"/>
          </w:tcPr>
          <w:p>
            <w:pPr>
              <w:spacing w:after="0" w:line="20" w:lineRule="exact"/>
              <w:rPr>
                <w:sz w:val="1"/>
                <w:szCs w:val="1"/>
                <w:color w:val="auto"/>
              </w:rPr>
            </w:pPr>
          </w:p>
        </w:tc>
        <w:tc>
          <w:tcPr>
            <w:tcW w:w="260" w:type="dxa"/>
            <w:vAlign w:val="bottom"/>
            <w:shd w:val="clear" w:color="auto" w:fill="E6E7E8"/>
          </w:tcPr>
          <w:p>
            <w:pPr>
              <w:spacing w:after="0" w:line="20" w:lineRule="exact"/>
              <w:rPr>
                <w:sz w:val="1"/>
                <w:szCs w:val="1"/>
                <w:color w:val="auto"/>
              </w:rPr>
            </w:pPr>
          </w:p>
        </w:tc>
        <w:tc>
          <w:tcPr>
            <w:tcW w:w="1240" w:type="dxa"/>
            <w:vAlign w:val="bottom"/>
            <w:shd w:val="clear" w:color="auto" w:fill="231F2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420" w:type="dxa"/>
            <w:vAlign w:val="bottom"/>
            <w:vMerge w:val="continue"/>
            <w:shd w:val="clear" w:color="auto" w:fill="E6E7E8"/>
          </w:tcPr>
          <w:p>
            <w:pPr>
              <w:spacing w:after="0"/>
              <w:rPr>
                <w:sz w:val="21"/>
                <w:szCs w:val="21"/>
                <w:color w:val="auto"/>
              </w:rPr>
            </w:pPr>
          </w:p>
        </w:tc>
        <w:tc>
          <w:tcPr>
            <w:tcW w:w="140" w:type="dxa"/>
            <w:vAlign w:val="bottom"/>
            <w:shd w:val="clear" w:color="auto" w:fill="E6E7E8"/>
          </w:tcPr>
          <w:p>
            <w:pPr>
              <w:spacing w:after="0"/>
              <w:rPr>
                <w:sz w:val="21"/>
                <w:szCs w:val="21"/>
                <w:color w:val="auto"/>
              </w:rPr>
            </w:pPr>
          </w:p>
        </w:tc>
        <w:tc>
          <w:tcPr>
            <w:tcW w:w="260" w:type="dxa"/>
            <w:vAlign w:val="bottom"/>
            <w:shd w:val="clear" w:color="auto" w:fill="E6E7E8"/>
          </w:tcPr>
          <w:p>
            <w:pPr>
              <w:jc w:val="right"/>
              <w:ind w:right="65"/>
              <w:spacing w:after="0"/>
              <w:rPr>
                <w:sz w:val="20"/>
                <w:szCs w:val="20"/>
                <w:color w:val="auto"/>
              </w:rPr>
            </w:pPr>
            <w:r>
              <w:rPr>
                <w:rFonts w:ascii="Times New Roman" w:cs="Times New Roman" w:eastAsia="Times New Roman" w:hAnsi="Times New Roman"/>
                <w:sz w:val="19"/>
                <w:szCs w:val="19"/>
                <w:b w:val="1"/>
                <w:bCs w:val="1"/>
                <w:color w:val="231F20"/>
                <w:w w:val="83"/>
              </w:rPr>
              <w:t>$</w:t>
            </w:r>
          </w:p>
        </w:tc>
        <w:tc>
          <w:tcPr>
            <w:tcW w:w="11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15,312</w:t>
            </w:r>
          </w:p>
        </w:tc>
        <w:tc>
          <w:tcPr>
            <w:tcW w:w="260" w:type="dxa"/>
            <w:vAlign w:val="bottom"/>
            <w:shd w:val="clear" w:color="auto" w:fill="E6E7E8"/>
          </w:tcPr>
          <w:p>
            <w:pPr>
              <w:spacing w:after="0"/>
              <w:rPr>
                <w:sz w:val="21"/>
                <w:szCs w:val="21"/>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b w:val="1"/>
                <w:bCs w:val="1"/>
                <w:color w:val="231F20"/>
              </w:rPr>
              <w:t>23.4%</w:t>
            </w:r>
          </w:p>
        </w:tc>
        <w:tc>
          <w:tcPr>
            <w:tcW w:w="0" w:type="dxa"/>
            <w:vAlign w:val="bottom"/>
          </w:tcPr>
          <w:p>
            <w:pPr>
              <w:spacing w:after="0"/>
              <w:rPr>
                <w:sz w:val="1"/>
                <w:szCs w:val="1"/>
                <w:color w:val="auto"/>
              </w:rPr>
            </w:pPr>
          </w:p>
        </w:tc>
      </w:tr>
      <w:tr>
        <w:trPr>
          <w:trHeight w:val="20"/>
        </w:trPr>
        <w:tc>
          <w:tcPr>
            <w:tcW w:w="6420" w:type="dxa"/>
            <w:vAlign w:val="bottom"/>
            <w:tcBorders>
              <w:top w:val="single" w:sz="8" w:color="E6E7E8"/>
            </w:tcBorders>
          </w:tcPr>
          <w:p>
            <w:pPr>
              <w:spacing w:after="0" w:line="20" w:lineRule="exact"/>
              <w:rPr>
                <w:sz w:val="1"/>
                <w:szCs w:val="1"/>
                <w:color w:val="auto"/>
              </w:rPr>
            </w:pPr>
          </w:p>
        </w:tc>
        <w:tc>
          <w:tcPr>
            <w:tcW w:w="140" w:type="dxa"/>
            <w:vAlign w:val="bottom"/>
            <w:tcBorders>
              <w:top w:val="single" w:sz="8" w:color="E6E7E8"/>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112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Borders>
              <w:top w:val="single" w:sz="8" w:color="E6E7E8"/>
            </w:tcBorders>
          </w:tcPr>
          <w:p>
            <w:pPr>
              <w:spacing w:after="0" w:line="20" w:lineRule="exact"/>
              <w:rPr>
                <w:sz w:val="1"/>
                <w:szCs w:val="1"/>
                <w:color w:val="auto"/>
              </w:rPr>
            </w:pPr>
          </w:p>
        </w:tc>
        <w:tc>
          <w:tcPr>
            <w:tcW w:w="1240" w:type="dxa"/>
            <w:vAlign w:val="bottom"/>
            <w:tcBorders>
              <w:top w:val="single" w:sz="8" w:color="231F20"/>
              <w:bottom w:val="single" w:sz="8" w:color="231F2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5547360</wp:posOffset>
                </wp:positionH>
                <wp:positionV relativeFrom="paragraph">
                  <wp:posOffset>-1071245</wp:posOffset>
                </wp:positionV>
                <wp:extent cx="787400" cy="147955"/>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7400" cy="147955"/>
                        </a:xfrm>
                        <a:prstGeom prst="rect">
                          <a:avLst/>
                        </a:prstGeom>
                        <a:solidFill>
                          <a:srgbClr val="E6E7E8"/>
                        </a:solidFill>
                      </wps:spPr>
                      <wps:bodyPr/>
                    </wps:wsp>
                  </a:graphicData>
                </a:graphic>
              </wp:anchor>
            </w:drawing>
          </mc:Choice>
          <mc:Fallback>
            <w:pict>
              <v:rect id="Shape 100" o:spid="_x0000_s1125" style="position:absolute;margin-left:436.8pt;margin-top:-84.3499pt;width:62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6334760</wp:posOffset>
                </wp:positionH>
                <wp:positionV relativeFrom="paragraph">
                  <wp:posOffset>-1080135</wp:posOffset>
                </wp:positionV>
                <wp:extent cx="180340" cy="156845"/>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340" cy="156845"/>
                        </a:xfrm>
                        <a:prstGeom prst="rect">
                          <a:avLst/>
                        </a:prstGeom>
                        <a:solidFill>
                          <a:srgbClr val="E6E7E8"/>
                        </a:solidFill>
                      </wps:spPr>
                      <wps:bodyPr/>
                    </wps:wsp>
                  </a:graphicData>
                </a:graphic>
              </wp:anchor>
            </w:drawing>
          </mc:Choice>
          <mc:Fallback>
            <w:pict>
              <v:rect id="Shape 101" o:spid="_x0000_s1126" style="position:absolute;margin-left:498.8pt;margin-top:-85.0499pt;width:14.2pt;height:1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5547360</wp:posOffset>
                </wp:positionH>
                <wp:positionV relativeFrom="paragraph">
                  <wp:posOffset>-175895</wp:posOffset>
                </wp:positionV>
                <wp:extent cx="787400" cy="147955"/>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7400" cy="147955"/>
                        </a:xfrm>
                        <a:prstGeom prst="rect">
                          <a:avLst/>
                        </a:prstGeom>
                        <a:solidFill>
                          <a:srgbClr val="E6E7E8"/>
                        </a:solidFill>
                      </wps:spPr>
                      <wps:bodyPr/>
                    </wps:wsp>
                  </a:graphicData>
                </a:graphic>
              </wp:anchor>
            </w:drawing>
          </mc:Choice>
          <mc:Fallback>
            <w:pict>
              <v:rect id="Shape 102" o:spid="_x0000_s1127" style="position:absolute;margin-left:436.8pt;margin-top:-13.8499pt;width:62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6334760</wp:posOffset>
                </wp:positionH>
                <wp:positionV relativeFrom="paragraph">
                  <wp:posOffset>-184785</wp:posOffset>
                </wp:positionV>
                <wp:extent cx="180340" cy="156845"/>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340" cy="156845"/>
                        </a:xfrm>
                        <a:prstGeom prst="rect">
                          <a:avLst/>
                        </a:prstGeom>
                        <a:solidFill>
                          <a:srgbClr val="E6E7E8"/>
                        </a:solidFill>
                      </wps:spPr>
                      <wps:bodyPr/>
                    </wps:wsp>
                  </a:graphicData>
                </a:graphic>
              </wp:anchor>
            </w:drawing>
          </mc:Choice>
          <mc:Fallback>
            <w:pict>
              <v:rect id="Shape 103" o:spid="_x0000_s1128" style="position:absolute;margin-left:498.8pt;margin-top:-14.5499pt;width:14.2pt;height:1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w:r>
    </w:p>
    <w:p>
      <w:pPr>
        <w:spacing w:after="0" w:line="199" w:lineRule="exact"/>
        <w:rPr>
          <w:sz w:val="20"/>
          <w:szCs w:val="20"/>
          <w:color w:val="auto"/>
        </w:rPr>
      </w:pPr>
    </w:p>
    <w:p>
      <w:pPr>
        <w:ind w:right="100" w:firstLine="619"/>
        <w:spacing w:after="0" w:line="279" w:lineRule="auto"/>
        <w:rPr>
          <w:sz w:val="20"/>
          <w:szCs w:val="20"/>
          <w:color w:val="auto"/>
        </w:rPr>
      </w:pPr>
      <w:r>
        <w:rPr>
          <w:rFonts w:ascii="Times New Roman" w:cs="Times New Roman" w:eastAsia="Times New Roman" w:hAnsi="Times New Roman"/>
          <w:sz w:val="21"/>
          <w:szCs w:val="21"/>
          <w:color w:val="231F20"/>
        </w:rPr>
        <w:t>The differences between the Company’s provision for Income Tax and the provisions calculated at the statutory federal tax rate, expressed in percentages for the years ended December 31, 2024 and 2023, are shown in the following table:</w:t>
      </w:r>
    </w:p>
    <w:p>
      <w:pPr>
        <w:spacing w:after="0" w:line="179"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7420" w:type="dxa"/>
            <w:vAlign w:val="bottom"/>
            <w:gridSpan w:val="2"/>
          </w:tcPr>
          <w:p>
            <w:pPr>
              <w:ind w:left="7080"/>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820" w:type="dxa"/>
            <w:vAlign w:val="bottom"/>
          </w:tcPr>
          <w:p>
            <w:pPr>
              <w:spacing w:after="0"/>
              <w:rPr>
                <w:sz w:val="17"/>
                <w:szCs w:val="17"/>
                <w:color w:val="auto"/>
              </w:rPr>
            </w:pPr>
          </w:p>
        </w:tc>
        <w:tc>
          <w:tcPr>
            <w:tcW w:w="1480" w:type="dxa"/>
            <w:vAlign w:val="bottom"/>
            <w:gridSpan w:val="2"/>
          </w:tcPr>
          <w:p>
            <w:pPr>
              <w:jc w:val="right"/>
              <w:ind w:right="745"/>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28"/>
        </w:trPr>
        <w:tc>
          <w:tcPr>
            <w:tcW w:w="6840" w:type="dxa"/>
            <w:vAlign w:val="bottom"/>
            <w:tcBorders>
              <w:top w:val="single" w:sz="8" w:color="E6E7E8"/>
            </w:tcBorders>
            <w:shd w:val="clear" w:color="auto" w:fill="E6E7E8"/>
          </w:tcPr>
          <w:p>
            <w:pPr>
              <w:spacing w:after="0"/>
              <w:rPr>
                <w:sz w:val="20"/>
                <w:szCs w:val="20"/>
                <w:color w:val="auto"/>
              </w:rPr>
            </w:pPr>
            <w:r>
              <w:rPr>
                <w:rFonts w:ascii="Times New Roman" w:cs="Times New Roman" w:eastAsia="Times New Roman" w:hAnsi="Times New Roman"/>
                <w:sz w:val="19"/>
                <w:szCs w:val="19"/>
                <w:b w:val="1"/>
                <w:bCs w:val="1"/>
                <w:color w:val="231F20"/>
              </w:rPr>
              <w:t>Statutory Federal Income Tax Rate</w:t>
            </w:r>
          </w:p>
        </w:tc>
        <w:tc>
          <w:tcPr>
            <w:tcW w:w="580" w:type="dxa"/>
            <w:vAlign w:val="bottom"/>
            <w:tcBorders>
              <w:top w:val="single" w:sz="8" w:color="231F20"/>
            </w:tcBorders>
            <w:shd w:val="clear" w:color="auto" w:fill="E6E7E8"/>
          </w:tcPr>
          <w:p>
            <w:pPr>
              <w:spacing w:after="0"/>
              <w:rPr>
                <w:sz w:val="19"/>
                <w:szCs w:val="19"/>
                <w:color w:val="auto"/>
              </w:rPr>
            </w:pPr>
          </w:p>
        </w:tc>
        <w:tc>
          <w:tcPr>
            <w:tcW w:w="820" w:type="dxa"/>
            <w:vAlign w:val="bottom"/>
            <w:tcBorders>
              <w:top w:val="single" w:sz="8" w:color="231F20"/>
            </w:tcBorders>
            <w:shd w:val="clear" w:color="auto" w:fill="E6E7E8"/>
          </w:tcPr>
          <w:p>
            <w:pPr>
              <w:jc w:val="right"/>
              <w:ind w:right="345"/>
              <w:spacing w:after="0"/>
              <w:rPr>
                <w:sz w:val="20"/>
                <w:szCs w:val="20"/>
                <w:color w:val="auto"/>
              </w:rPr>
            </w:pPr>
            <w:r>
              <w:rPr>
                <w:rFonts w:ascii="Times New Roman" w:cs="Times New Roman" w:eastAsia="Times New Roman" w:hAnsi="Times New Roman"/>
                <w:sz w:val="19"/>
                <w:szCs w:val="19"/>
                <w:color w:val="231F20"/>
              </w:rPr>
              <w:t>21%</w:t>
            </w:r>
          </w:p>
        </w:tc>
        <w:tc>
          <w:tcPr>
            <w:tcW w:w="100" w:type="dxa"/>
            <w:vAlign w:val="bottom"/>
            <w:tcBorders>
              <w:top w:val="single" w:sz="8" w:color="E6E7E8"/>
            </w:tcBorders>
            <w:shd w:val="clear" w:color="auto" w:fill="E6E7E8"/>
          </w:tcPr>
          <w:p>
            <w:pPr>
              <w:spacing w:after="0"/>
              <w:rPr>
                <w:sz w:val="19"/>
                <w:szCs w:val="19"/>
                <w:color w:val="auto"/>
              </w:rPr>
            </w:pPr>
          </w:p>
        </w:tc>
        <w:tc>
          <w:tcPr>
            <w:tcW w:w="1380" w:type="dxa"/>
            <w:vAlign w:val="bottom"/>
            <w:tcBorders>
              <w:top w:val="single" w:sz="8" w:color="231F20"/>
            </w:tcBorders>
            <w:shd w:val="clear" w:color="auto" w:fill="E6E7E8"/>
          </w:tcPr>
          <w:p>
            <w:pPr>
              <w:jc w:val="right"/>
              <w:ind w:right="345"/>
              <w:spacing w:after="0"/>
              <w:rPr>
                <w:sz w:val="20"/>
                <w:szCs w:val="20"/>
                <w:color w:val="auto"/>
              </w:rPr>
            </w:pPr>
            <w:r>
              <w:rPr>
                <w:rFonts w:ascii="Times New Roman" w:cs="Times New Roman" w:eastAsia="Times New Roman" w:hAnsi="Times New Roman"/>
                <w:sz w:val="19"/>
                <w:szCs w:val="19"/>
                <w:color w:val="231F20"/>
              </w:rPr>
              <w:t>21%</w:t>
            </w:r>
          </w:p>
        </w:tc>
      </w:tr>
      <w:tr>
        <w:trPr>
          <w:trHeight w:val="233"/>
        </w:trPr>
        <w:tc>
          <w:tcPr>
            <w:tcW w:w="6840" w:type="dxa"/>
            <w:vAlign w:val="bottom"/>
          </w:tcPr>
          <w:p>
            <w:pPr>
              <w:spacing w:after="0"/>
              <w:rPr>
                <w:sz w:val="20"/>
                <w:szCs w:val="20"/>
                <w:color w:val="auto"/>
              </w:rPr>
            </w:pPr>
            <w:r>
              <w:rPr>
                <w:rFonts w:ascii="Times New Roman" w:cs="Times New Roman" w:eastAsia="Times New Roman" w:hAnsi="Times New Roman"/>
                <w:sz w:val="19"/>
                <w:szCs w:val="19"/>
                <w:b w:val="1"/>
                <w:bCs w:val="1"/>
                <w:color w:val="231F20"/>
              </w:rPr>
              <w:t>Income Tax Effects of:</w:t>
            </w: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3"/>
        </w:trPr>
        <w:tc>
          <w:tcPr>
            <w:tcW w:w="742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State Income Taxes, net</w:t>
            </w:r>
          </w:p>
        </w:tc>
        <w:tc>
          <w:tcPr>
            <w:tcW w:w="820" w:type="dxa"/>
            <w:vAlign w:val="bottom"/>
            <w:shd w:val="clear" w:color="auto" w:fill="E6E7E8"/>
          </w:tcPr>
          <w:p>
            <w:pPr>
              <w:jc w:val="right"/>
              <w:ind w:right="345"/>
              <w:spacing w:after="0"/>
              <w:rPr>
                <w:sz w:val="20"/>
                <w:szCs w:val="20"/>
                <w:color w:val="auto"/>
              </w:rPr>
            </w:pPr>
            <w:r>
              <w:rPr>
                <w:rFonts w:ascii="Times New Roman" w:cs="Times New Roman" w:eastAsia="Times New Roman" w:hAnsi="Times New Roman"/>
                <w:sz w:val="19"/>
                <w:szCs w:val="19"/>
                <w:color w:val="231F20"/>
              </w:rPr>
              <w:t>6%</w:t>
            </w:r>
          </w:p>
        </w:tc>
        <w:tc>
          <w:tcPr>
            <w:tcW w:w="1480" w:type="dxa"/>
            <w:vAlign w:val="bottom"/>
            <w:gridSpan w:val="2"/>
            <w:shd w:val="clear" w:color="auto" w:fill="E6E7E8"/>
          </w:tcPr>
          <w:p>
            <w:pPr>
              <w:jc w:val="right"/>
              <w:ind w:right="345"/>
              <w:spacing w:after="0"/>
              <w:rPr>
                <w:sz w:val="20"/>
                <w:szCs w:val="20"/>
                <w:color w:val="auto"/>
              </w:rPr>
            </w:pPr>
            <w:r>
              <w:rPr>
                <w:rFonts w:ascii="Times New Roman" w:cs="Times New Roman" w:eastAsia="Times New Roman" w:hAnsi="Times New Roman"/>
                <w:sz w:val="19"/>
                <w:szCs w:val="19"/>
                <w:color w:val="231F20"/>
              </w:rPr>
              <w:t>6%</w:t>
            </w:r>
          </w:p>
        </w:tc>
      </w:tr>
      <w:tr>
        <w:trPr>
          <w:trHeight w:val="233"/>
        </w:trPr>
        <w:tc>
          <w:tcPr>
            <w:tcW w:w="742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Utility Plant Differences</w:t>
            </w:r>
          </w:p>
        </w:tc>
        <w:tc>
          <w:tcPr>
            <w:tcW w:w="820" w:type="dxa"/>
            <w:vAlign w:val="bottom"/>
          </w:tcPr>
          <w:p>
            <w:pPr>
              <w:jc w:val="right"/>
              <w:ind w:right="285"/>
              <w:spacing w:after="0"/>
              <w:rPr>
                <w:sz w:val="20"/>
                <w:szCs w:val="20"/>
                <w:color w:val="auto"/>
              </w:rPr>
            </w:pPr>
            <w:r>
              <w:rPr>
                <w:rFonts w:ascii="Times New Roman" w:cs="Times New Roman" w:eastAsia="Times New Roman" w:hAnsi="Times New Roman"/>
                <w:sz w:val="19"/>
                <w:szCs w:val="19"/>
                <w:color w:val="231F20"/>
              </w:rPr>
              <w:t>(5)%</w:t>
            </w:r>
          </w:p>
        </w:tc>
        <w:tc>
          <w:tcPr>
            <w:tcW w:w="1480" w:type="dxa"/>
            <w:vAlign w:val="bottom"/>
            <w:gridSpan w:val="2"/>
          </w:tcPr>
          <w:p>
            <w:pPr>
              <w:jc w:val="right"/>
              <w:ind w:right="285"/>
              <w:spacing w:after="0"/>
              <w:rPr>
                <w:sz w:val="20"/>
                <w:szCs w:val="20"/>
                <w:color w:val="auto"/>
              </w:rPr>
            </w:pPr>
            <w:r>
              <w:rPr>
                <w:rFonts w:ascii="Times New Roman" w:cs="Times New Roman" w:eastAsia="Times New Roman" w:hAnsi="Times New Roman"/>
                <w:sz w:val="19"/>
                <w:szCs w:val="19"/>
                <w:color w:val="231F20"/>
              </w:rPr>
              <w:t>(5)%</w:t>
            </w:r>
          </w:p>
        </w:tc>
      </w:tr>
      <w:tr>
        <w:trPr>
          <w:trHeight w:val="252"/>
        </w:trPr>
        <w:tc>
          <w:tcPr>
            <w:tcW w:w="742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Other, net</w:t>
            </w:r>
          </w:p>
        </w:tc>
        <w:tc>
          <w:tcPr>
            <w:tcW w:w="820" w:type="dxa"/>
            <w:vAlign w:val="bottom"/>
            <w:shd w:val="clear" w:color="auto" w:fill="E6E7E8"/>
          </w:tcPr>
          <w:p>
            <w:pPr>
              <w:jc w:val="right"/>
              <w:ind w:right="345"/>
              <w:spacing w:after="0"/>
              <w:rPr>
                <w:sz w:val="20"/>
                <w:szCs w:val="20"/>
                <w:color w:val="auto"/>
              </w:rPr>
            </w:pPr>
            <w:r>
              <w:rPr>
                <w:rFonts w:ascii="Times New Roman" w:cs="Times New Roman" w:eastAsia="Times New Roman" w:hAnsi="Times New Roman"/>
                <w:sz w:val="19"/>
                <w:szCs w:val="19"/>
                <w:color w:val="231F20"/>
              </w:rPr>
              <w:t>1%</w:t>
            </w:r>
          </w:p>
        </w:tc>
        <w:tc>
          <w:tcPr>
            <w:tcW w:w="1480" w:type="dxa"/>
            <w:vAlign w:val="bottom"/>
            <w:gridSpan w:val="2"/>
            <w:shd w:val="clear" w:color="auto" w:fill="E6E7E8"/>
          </w:tcPr>
          <w:p>
            <w:pPr>
              <w:jc w:val="right"/>
              <w:ind w:right="345"/>
              <w:spacing w:after="0"/>
              <w:rPr>
                <w:sz w:val="20"/>
                <w:szCs w:val="20"/>
                <w:color w:val="auto"/>
              </w:rPr>
            </w:pPr>
            <w:r>
              <w:rPr>
                <w:rFonts w:ascii="Times New Roman" w:cs="Times New Roman" w:eastAsia="Times New Roman" w:hAnsi="Times New Roman"/>
                <w:sz w:val="19"/>
                <w:szCs w:val="19"/>
                <w:color w:val="231F20"/>
              </w:rPr>
              <w:t>1%</w:t>
            </w:r>
          </w:p>
        </w:tc>
      </w:tr>
      <w:tr>
        <w:trPr>
          <w:trHeight w:val="207"/>
        </w:trPr>
        <w:tc>
          <w:tcPr>
            <w:tcW w:w="6840" w:type="dxa"/>
            <w:vAlign w:val="bottom"/>
            <w:tcBorders>
              <w:top w:val="single" w:sz="8" w:color="E6E7E8"/>
            </w:tcBorders>
          </w:tcPr>
          <w:p>
            <w:pPr>
              <w:ind w:left="400"/>
              <w:spacing w:after="0" w:line="207" w:lineRule="exact"/>
              <w:rPr>
                <w:sz w:val="20"/>
                <w:szCs w:val="20"/>
                <w:color w:val="auto"/>
              </w:rPr>
            </w:pPr>
            <w:r>
              <w:rPr>
                <w:rFonts w:ascii="Times New Roman" w:cs="Times New Roman" w:eastAsia="Times New Roman" w:hAnsi="Times New Roman"/>
                <w:sz w:val="19"/>
                <w:szCs w:val="19"/>
                <w:b w:val="1"/>
                <w:bCs w:val="1"/>
                <w:color w:val="231F20"/>
              </w:rPr>
              <w:t>Effective Income Tax Rate</w:t>
            </w:r>
          </w:p>
        </w:tc>
        <w:tc>
          <w:tcPr>
            <w:tcW w:w="580" w:type="dxa"/>
            <w:vAlign w:val="bottom"/>
            <w:tcBorders>
              <w:top w:val="single" w:sz="8" w:color="231F20"/>
              <w:bottom w:val="single" w:sz="8" w:color="231F20"/>
            </w:tcBorders>
          </w:tcPr>
          <w:p>
            <w:pPr>
              <w:spacing w:after="0"/>
              <w:rPr>
                <w:sz w:val="18"/>
                <w:szCs w:val="18"/>
                <w:color w:val="auto"/>
              </w:rPr>
            </w:pPr>
          </w:p>
        </w:tc>
        <w:tc>
          <w:tcPr>
            <w:tcW w:w="820" w:type="dxa"/>
            <w:vAlign w:val="bottom"/>
            <w:tcBorders>
              <w:top w:val="single" w:sz="8" w:color="231F20"/>
              <w:bottom w:val="single" w:sz="8" w:color="231F20"/>
            </w:tcBorders>
          </w:tcPr>
          <w:p>
            <w:pPr>
              <w:jc w:val="right"/>
              <w:ind w:right="345"/>
              <w:spacing w:after="0" w:line="207" w:lineRule="exact"/>
              <w:rPr>
                <w:sz w:val="20"/>
                <w:szCs w:val="20"/>
                <w:color w:val="auto"/>
              </w:rPr>
            </w:pPr>
            <w:r>
              <w:rPr>
                <w:rFonts w:ascii="Times New Roman" w:cs="Times New Roman" w:eastAsia="Times New Roman" w:hAnsi="Times New Roman"/>
                <w:sz w:val="19"/>
                <w:szCs w:val="19"/>
                <w:color w:val="231F20"/>
              </w:rPr>
              <w:t>23%</w:t>
            </w:r>
          </w:p>
        </w:tc>
        <w:tc>
          <w:tcPr>
            <w:tcW w:w="100" w:type="dxa"/>
            <w:vAlign w:val="bottom"/>
            <w:tcBorders>
              <w:top w:val="single" w:sz="8" w:color="E6E7E8"/>
            </w:tcBorders>
          </w:tcPr>
          <w:p>
            <w:pPr>
              <w:spacing w:after="0"/>
              <w:rPr>
                <w:sz w:val="18"/>
                <w:szCs w:val="18"/>
                <w:color w:val="auto"/>
              </w:rPr>
            </w:pPr>
          </w:p>
        </w:tc>
        <w:tc>
          <w:tcPr>
            <w:tcW w:w="1380" w:type="dxa"/>
            <w:vAlign w:val="bottom"/>
            <w:tcBorders>
              <w:top w:val="single" w:sz="8" w:color="231F20"/>
              <w:bottom w:val="single" w:sz="8" w:color="231F20"/>
            </w:tcBorders>
          </w:tcPr>
          <w:p>
            <w:pPr>
              <w:jc w:val="right"/>
              <w:ind w:right="345"/>
              <w:spacing w:after="0" w:line="207" w:lineRule="exact"/>
              <w:rPr>
                <w:sz w:val="20"/>
                <w:szCs w:val="20"/>
                <w:color w:val="auto"/>
              </w:rPr>
            </w:pPr>
            <w:r>
              <w:rPr>
                <w:rFonts w:ascii="Times New Roman" w:cs="Times New Roman" w:eastAsia="Times New Roman" w:hAnsi="Times New Roman"/>
                <w:sz w:val="19"/>
                <w:szCs w:val="19"/>
                <w:color w:val="231F20"/>
              </w:rPr>
              <w:t>23%</w:t>
            </w:r>
          </w:p>
        </w:tc>
      </w:tr>
      <w:tr>
        <w:trPr>
          <w:trHeight w:val="20"/>
        </w:trPr>
        <w:tc>
          <w:tcPr>
            <w:tcW w:w="6840" w:type="dxa"/>
            <w:vAlign w:val="bottom"/>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231F20"/>
            </w:tcBorders>
          </w:tcPr>
          <w:p>
            <w:pPr>
              <w:spacing w:after="0" w:line="20" w:lineRule="exact"/>
              <w:rPr>
                <w:sz w:val="1"/>
                <w:szCs w:val="1"/>
                <w:color w:val="auto"/>
              </w:rPr>
            </w:pPr>
          </w:p>
        </w:tc>
      </w:tr>
    </w:tbl>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231F20"/>
        </w:rPr>
        <w:t>Income taxes paid, net of refunds are shown in the following table:</w:t>
      </w:r>
    </w:p>
    <w:p>
      <w:pPr>
        <w:spacing w:after="0" w:line="214"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778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80" w:type="dxa"/>
            <w:vAlign w:val="bottom"/>
            <w:tcBorders>
              <w:bottom w:val="single" w:sz="8" w:color="E6E7E8"/>
            </w:tcBorders>
          </w:tcPr>
          <w:p>
            <w:pPr>
              <w:spacing w:after="0"/>
              <w:rPr>
                <w:sz w:val="17"/>
                <w:szCs w:val="17"/>
                <w:color w:val="auto"/>
              </w:rPr>
            </w:pPr>
          </w:p>
        </w:tc>
        <w:tc>
          <w:tcPr>
            <w:tcW w:w="400" w:type="dxa"/>
            <w:vAlign w:val="bottom"/>
            <w:tcBorders>
              <w:bottom w:val="single" w:sz="8" w:color="231F20"/>
            </w:tcBorders>
          </w:tcPr>
          <w:p>
            <w:pPr>
              <w:spacing w:after="0"/>
              <w:rPr>
                <w:sz w:val="17"/>
                <w:szCs w:val="17"/>
                <w:color w:val="auto"/>
              </w:rPr>
            </w:pPr>
          </w:p>
        </w:tc>
        <w:tc>
          <w:tcPr>
            <w:tcW w:w="1360" w:type="dxa"/>
            <w:vAlign w:val="bottom"/>
            <w:tcBorders>
              <w:bottom w:val="single" w:sz="8" w:color="231F20"/>
            </w:tcBorders>
          </w:tcPr>
          <w:p>
            <w:pPr>
              <w:jc w:val="right"/>
              <w:ind w:right="667"/>
              <w:spacing w:after="0"/>
              <w:rPr>
                <w:sz w:val="20"/>
                <w:szCs w:val="20"/>
                <w:color w:val="auto"/>
              </w:rPr>
            </w:pPr>
            <w:r>
              <w:rPr>
                <w:rFonts w:ascii="Times New Roman" w:cs="Times New Roman" w:eastAsia="Times New Roman" w:hAnsi="Times New Roman"/>
                <w:sz w:val="16"/>
                <w:szCs w:val="16"/>
                <w:b w:val="1"/>
                <w:bCs w:val="1"/>
                <w:color w:val="231F20"/>
              </w:rPr>
              <w:t>2025</w:t>
            </w:r>
          </w:p>
        </w:tc>
      </w:tr>
      <w:tr>
        <w:trPr>
          <w:trHeight w:val="228"/>
        </w:trPr>
        <w:tc>
          <w:tcPr>
            <w:tcW w:w="7780" w:type="dxa"/>
            <w:vAlign w:val="bottom"/>
            <w:shd w:val="clear" w:color="auto" w:fill="E6E7E8"/>
          </w:tcPr>
          <w:p>
            <w:pPr>
              <w:spacing w:after="0"/>
              <w:rPr>
                <w:sz w:val="20"/>
                <w:szCs w:val="20"/>
                <w:color w:val="auto"/>
              </w:rPr>
            </w:pPr>
            <w:r>
              <w:rPr>
                <w:rFonts w:ascii="Times New Roman" w:cs="Times New Roman" w:eastAsia="Times New Roman" w:hAnsi="Times New Roman"/>
                <w:sz w:val="19"/>
                <w:szCs w:val="19"/>
                <w:b w:val="1"/>
                <w:bCs w:val="1"/>
                <w:color w:val="231F20"/>
              </w:rPr>
              <w:t>Cash Paid for Income Taxes, net of Refunds</w:t>
            </w:r>
          </w:p>
        </w:tc>
        <w:tc>
          <w:tcPr>
            <w:tcW w:w="180" w:type="dxa"/>
            <w:vAlign w:val="bottom"/>
            <w:shd w:val="clear" w:color="auto" w:fill="E6E7E8"/>
          </w:tcPr>
          <w:p>
            <w:pPr>
              <w:spacing w:after="0"/>
              <w:rPr>
                <w:sz w:val="19"/>
                <w:szCs w:val="19"/>
                <w:color w:val="auto"/>
              </w:rPr>
            </w:pPr>
          </w:p>
        </w:tc>
        <w:tc>
          <w:tcPr>
            <w:tcW w:w="400" w:type="dxa"/>
            <w:vAlign w:val="bottom"/>
            <w:shd w:val="clear" w:color="auto" w:fill="E6E7E8"/>
          </w:tcPr>
          <w:p>
            <w:pPr>
              <w:spacing w:after="0"/>
              <w:rPr>
                <w:sz w:val="19"/>
                <w:szCs w:val="19"/>
                <w:color w:val="auto"/>
              </w:rPr>
            </w:pPr>
          </w:p>
        </w:tc>
        <w:tc>
          <w:tcPr>
            <w:tcW w:w="1360" w:type="dxa"/>
            <w:vAlign w:val="bottom"/>
            <w:shd w:val="clear" w:color="auto" w:fill="E6E7E8"/>
          </w:tcPr>
          <w:p>
            <w:pPr>
              <w:spacing w:after="0"/>
              <w:rPr>
                <w:sz w:val="19"/>
                <w:szCs w:val="19"/>
                <w:color w:val="auto"/>
              </w:rPr>
            </w:pPr>
          </w:p>
        </w:tc>
      </w:tr>
      <w:tr>
        <w:trPr>
          <w:trHeight w:val="232"/>
        </w:trPr>
        <w:tc>
          <w:tcPr>
            <w:tcW w:w="7780" w:type="dxa"/>
            <w:vAlign w:val="bottom"/>
            <w:tcBorders>
              <w:bottom w:val="single" w:sz="8" w:color="E6E7E8"/>
            </w:tcBorders>
          </w:tcPr>
          <w:p>
            <w:pPr>
              <w:ind w:left="200"/>
              <w:spacing w:after="0"/>
              <w:rPr>
                <w:sz w:val="20"/>
                <w:szCs w:val="20"/>
                <w:color w:val="auto"/>
              </w:rPr>
            </w:pPr>
            <w:r>
              <w:rPr>
                <w:rFonts w:ascii="Times New Roman" w:cs="Times New Roman" w:eastAsia="Times New Roman" w:hAnsi="Times New Roman"/>
                <w:sz w:val="19"/>
                <w:szCs w:val="19"/>
                <w:color w:val="231F20"/>
              </w:rPr>
              <w:t>Federal Income Taxes</w:t>
            </w:r>
          </w:p>
        </w:tc>
        <w:tc>
          <w:tcPr>
            <w:tcW w:w="180" w:type="dxa"/>
            <w:vAlign w:val="bottom"/>
            <w:tcBorders>
              <w:bottom w:val="single" w:sz="8" w:color="E6E7E8"/>
            </w:tcBorders>
          </w:tcPr>
          <w:p>
            <w:pPr>
              <w:spacing w:after="0"/>
              <w:rPr>
                <w:sz w:val="20"/>
                <w:szCs w:val="20"/>
                <w:color w:val="auto"/>
              </w:rPr>
            </w:pPr>
          </w:p>
        </w:tc>
        <w:tc>
          <w:tcPr>
            <w:tcW w:w="400" w:type="dxa"/>
            <w:vAlign w:val="bottom"/>
            <w:tcBorders>
              <w:bottom w:val="single" w:sz="8" w:color="231F20"/>
            </w:tcBorders>
          </w:tcPr>
          <w:p>
            <w:pPr>
              <w:jc w:val="right"/>
              <w:ind w:right="205"/>
              <w:spacing w:after="0"/>
              <w:rPr>
                <w:sz w:val="20"/>
                <w:szCs w:val="20"/>
                <w:color w:val="auto"/>
              </w:rPr>
            </w:pPr>
            <w:r>
              <w:rPr>
                <w:rFonts w:ascii="Times New Roman" w:cs="Times New Roman" w:eastAsia="Times New Roman" w:hAnsi="Times New Roman"/>
                <w:sz w:val="19"/>
                <w:szCs w:val="19"/>
                <w:b w:val="1"/>
                <w:bCs w:val="1"/>
                <w:color w:val="231F20"/>
                <w:w w:val="83"/>
              </w:rPr>
              <w:t>$</w:t>
            </w:r>
          </w:p>
        </w:tc>
        <w:tc>
          <w:tcPr>
            <w:tcW w:w="1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4,218</w:t>
            </w:r>
          </w:p>
        </w:tc>
      </w:tr>
      <w:tr>
        <w:trPr>
          <w:trHeight w:val="228"/>
        </w:trPr>
        <w:tc>
          <w:tcPr>
            <w:tcW w:w="778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State Income Taxes</w:t>
            </w:r>
          </w:p>
        </w:tc>
        <w:tc>
          <w:tcPr>
            <w:tcW w:w="180" w:type="dxa"/>
            <w:vAlign w:val="bottom"/>
            <w:shd w:val="clear" w:color="auto" w:fill="E6E7E8"/>
          </w:tcPr>
          <w:p>
            <w:pPr>
              <w:spacing w:after="0"/>
              <w:rPr>
                <w:sz w:val="19"/>
                <w:szCs w:val="19"/>
                <w:color w:val="auto"/>
              </w:rPr>
            </w:pPr>
          </w:p>
        </w:tc>
        <w:tc>
          <w:tcPr>
            <w:tcW w:w="400" w:type="dxa"/>
            <w:vAlign w:val="bottom"/>
            <w:shd w:val="clear" w:color="auto" w:fill="E6E7E8"/>
          </w:tcPr>
          <w:p>
            <w:pPr>
              <w:spacing w:after="0"/>
              <w:rPr>
                <w:sz w:val="19"/>
                <w:szCs w:val="19"/>
                <w:color w:val="auto"/>
              </w:rPr>
            </w:pPr>
          </w:p>
        </w:tc>
        <w:tc>
          <w:tcPr>
            <w:tcW w:w="1360" w:type="dxa"/>
            <w:vAlign w:val="bottom"/>
            <w:shd w:val="clear" w:color="auto" w:fill="E6E7E8"/>
          </w:tcPr>
          <w:p>
            <w:pPr>
              <w:spacing w:after="0"/>
              <w:rPr>
                <w:sz w:val="19"/>
                <w:szCs w:val="19"/>
                <w:color w:val="auto"/>
              </w:rPr>
            </w:pPr>
          </w:p>
        </w:tc>
      </w:tr>
      <w:tr>
        <w:trPr>
          <w:trHeight w:val="233"/>
        </w:trPr>
        <w:tc>
          <w:tcPr>
            <w:tcW w:w="778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Florida</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r>
      <w:tr>
        <w:trPr>
          <w:trHeight w:val="233"/>
        </w:trPr>
        <w:tc>
          <w:tcPr>
            <w:tcW w:w="7780" w:type="dxa"/>
            <w:vAlign w:val="bottom"/>
            <w:shd w:val="clear" w:color="auto" w:fill="E6E7E8"/>
          </w:tcPr>
          <w:p>
            <w:pPr>
              <w:ind w:left="400"/>
              <w:spacing w:after="0"/>
              <w:rPr>
                <w:sz w:val="20"/>
                <w:szCs w:val="20"/>
                <w:color w:val="auto"/>
              </w:rPr>
            </w:pPr>
            <w:r>
              <w:rPr>
                <w:rFonts w:ascii="Times New Roman" w:cs="Times New Roman" w:eastAsia="Times New Roman" w:hAnsi="Times New Roman"/>
                <w:sz w:val="19"/>
                <w:szCs w:val="19"/>
                <w:color w:val="231F20"/>
              </w:rPr>
              <w:t>Maine</w:t>
            </w:r>
          </w:p>
        </w:tc>
        <w:tc>
          <w:tcPr>
            <w:tcW w:w="180" w:type="dxa"/>
            <w:vAlign w:val="bottom"/>
            <w:shd w:val="clear" w:color="auto" w:fill="E6E7E8"/>
          </w:tcPr>
          <w:p>
            <w:pPr>
              <w:spacing w:after="0"/>
              <w:rPr>
                <w:sz w:val="20"/>
                <w:szCs w:val="20"/>
                <w:color w:val="auto"/>
              </w:rPr>
            </w:pPr>
          </w:p>
        </w:tc>
        <w:tc>
          <w:tcPr>
            <w:tcW w:w="400" w:type="dxa"/>
            <w:vAlign w:val="bottom"/>
            <w:shd w:val="clear" w:color="auto" w:fill="E6E7E8"/>
          </w:tcPr>
          <w:p>
            <w:pPr>
              <w:spacing w:after="0"/>
              <w:rPr>
                <w:sz w:val="20"/>
                <w:szCs w:val="20"/>
                <w:color w:val="auto"/>
              </w:rPr>
            </w:pPr>
          </w:p>
        </w:tc>
        <w:tc>
          <w:tcPr>
            <w:tcW w:w="13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r>
      <w:tr>
        <w:trPr>
          <w:trHeight w:val="233"/>
        </w:trPr>
        <w:tc>
          <w:tcPr>
            <w:tcW w:w="778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Massachusetts</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154</w:t>
            </w:r>
          </w:p>
        </w:tc>
      </w:tr>
      <w:tr>
        <w:trPr>
          <w:trHeight w:val="252"/>
        </w:trPr>
        <w:tc>
          <w:tcPr>
            <w:tcW w:w="7780" w:type="dxa"/>
            <w:vAlign w:val="bottom"/>
            <w:tcBorders>
              <w:bottom w:val="single" w:sz="8" w:color="E6E7E8"/>
            </w:tcBorders>
            <w:shd w:val="clear" w:color="auto" w:fill="E6E7E8"/>
          </w:tcPr>
          <w:p>
            <w:pPr>
              <w:ind w:left="400"/>
              <w:spacing w:after="0"/>
              <w:rPr>
                <w:sz w:val="20"/>
                <w:szCs w:val="20"/>
                <w:color w:val="auto"/>
              </w:rPr>
            </w:pPr>
            <w:r>
              <w:rPr>
                <w:rFonts w:ascii="Times New Roman" w:cs="Times New Roman" w:eastAsia="Times New Roman" w:hAnsi="Times New Roman"/>
                <w:sz w:val="19"/>
                <w:szCs w:val="19"/>
                <w:color w:val="231F20"/>
              </w:rPr>
              <w:t>New Hampshire</w:t>
            </w:r>
          </w:p>
        </w:tc>
        <w:tc>
          <w:tcPr>
            <w:tcW w:w="180" w:type="dxa"/>
            <w:vAlign w:val="bottom"/>
            <w:tcBorders>
              <w:bottom w:val="single" w:sz="8" w:color="E6E7E8"/>
            </w:tcBorders>
            <w:shd w:val="clear" w:color="auto" w:fill="E6E7E8"/>
          </w:tcPr>
          <w:p>
            <w:pPr>
              <w:spacing w:after="0"/>
              <w:rPr>
                <w:sz w:val="21"/>
                <w:szCs w:val="21"/>
                <w:color w:val="auto"/>
              </w:rPr>
            </w:pPr>
          </w:p>
        </w:tc>
        <w:tc>
          <w:tcPr>
            <w:tcW w:w="400" w:type="dxa"/>
            <w:vAlign w:val="bottom"/>
            <w:tcBorders>
              <w:bottom w:val="single" w:sz="8" w:color="231F20"/>
            </w:tcBorders>
            <w:shd w:val="clear" w:color="auto" w:fill="E6E7E8"/>
          </w:tcPr>
          <w:p>
            <w:pPr>
              <w:spacing w:after="0"/>
              <w:rPr>
                <w:sz w:val="21"/>
                <w:szCs w:val="21"/>
                <w:color w:val="auto"/>
              </w:rPr>
            </w:pPr>
          </w:p>
        </w:tc>
        <w:tc>
          <w:tcPr>
            <w:tcW w:w="136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555</w:t>
            </w:r>
          </w:p>
        </w:tc>
      </w:tr>
      <w:tr>
        <w:trPr>
          <w:trHeight w:val="208"/>
        </w:trPr>
        <w:tc>
          <w:tcPr>
            <w:tcW w:w="7780" w:type="dxa"/>
            <w:vAlign w:val="bottom"/>
            <w:tcBorders>
              <w:bottom w:val="single" w:sz="8" w:color="E6E7E8"/>
            </w:tcBorders>
          </w:tcPr>
          <w:p>
            <w:pPr>
              <w:ind w:left="600"/>
              <w:spacing w:after="0" w:line="207" w:lineRule="exact"/>
              <w:rPr>
                <w:sz w:val="20"/>
                <w:szCs w:val="20"/>
                <w:color w:val="auto"/>
              </w:rPr>
            </w:pPr>
            <w:r>
              <w:rPr>
                <w:rFonts w:ascii="Times New Roman" w:cs="Times New Roman" w:eastAsia="Times New Roman" w:hAnsi="Times New Roman"/>
                <w:sz w:val="19"/>
                <w:szCs w:val="19"/>
                <w:color w:val="231F20"/>
              </w:rPr>
              <w:t>Total State Income Taxes</w:t>
            </w:r>
          </w:p>
        </w:tc>
        <w:tc>
          <w:tcPr>
            <w:tcW w:w="180" w:type="dxa"/>
            <w:vAlign w:val="bottom"/>
            <w:tcBorders>
              <w:bottom w:val="single" w:sz="8" w:color="E6E7E8"/>
            </w:tcBorders>
          </w:tcPr>
          <w:p>
            <w:pPr>
              <w:spacing w:after="0"/>
              <w:rPr>
                <w:sz w:val="18"/>
                <w:szCs w:val="18"/>
                <w:color w:val="auto"/>
              </w:rPr>
            </w:pPr>
          </w:p>
        </w:tc>
        <w:tc>
          <w:tcPr>
            <w:tcW w:w="400" w:type="dxa"/>
            <w:vAlign w:val="bottom"/>
            <w:tcBorders>
              <w:bottom w:val="single" w:sz="8" w:color="231F20"/>
            </w:tcBorders>
          </w:tcPr>
          <w:p>
            <w:pPr>
              <w:spacing w:after="0"/>
              <w:rPr>
                <w:sz w:val="18"/>
                <w:szCs w:val="18"/>
                <w:color w:val="auto"/>
              </w:rPr>
            </w:pPr>
          </w:p>
        </w:tc>
        <w:tc>
          <w:tcPr>
            <w:tcW w:w="1360" w:type="dxa"/>
            <w:vAlign w:val="bottom"/>
            <w:tcBorders>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b w:val="1"/>
                <w:bCs w:val="1"/>
                <w:color w:val="231F20"/>
              </w:rPr>
              <w:t>709</w:t>
            </w:r>
          </w:p>
        </w:tc>
      </w:tr>
      <w:tr>
        <w:trPr>
          <w:trHeight w:val="247"/>
        </w:trPr>
        <w:tc>
          <w:tcPr>
            <w:tcW w:w="7780" w:type="dxa"/>
            <w:vAlign w:val="bottom"/>
            <w:tcBorders>
              <w:bottom w:val="single" w:sz="8" w:color="E6E7E8"/>
            </w:tcBorders>
            <w:shd w:val="clear" w:color="auto" w:fill="E6E7E8"/>
          </w:tcPr>
          <w:p>
            <w:pPr>
              <w:spacing w:after="0"/>
              <w:rPr>
                <w:sz w:val="20"/>
                <w:szCs w:val="20"/>
                <w:color w:val="auto"/>
              </w:rPr>
            </w:pPr>
            <w:r>
              <w:rPr>
                <w:rFonts w:ascii="Times New Roman" w:cs="Times New Roman" w:eastAsia="Times New Roman" w:hAnsi="Times New Roman"/>
                <w:sz w:val="19"/>
                <w:szCs w:val="19"/>
                <w:b w:val="1"/>
                <w:bCs w:val="1"/>
                <w:color w:val="231F20"/>
              </w:rPr>
              <w:t>Total Cash Paid for Income Taxes, net of Refunds</w:t>
            </w:r>
          </w:p>
        </w:tc>
        <w:tc>
          <w:tcPr>
            <w:tcW w:w="180" w:type="dxa"/>
            <w:vAlign w:val="bottom"/>
            <w:tcBorders>
              <w:bottom w:val="single" w:sz="8" w:color="E6E7E8"/>
            </w:tcBorders>
            <w:shd w:val="clear" w:color="auto" w:fill="E6E7E8"/>
          </w:tcPr>
          <w:p>
            <w:pPr>
              <w:spacing w:after="0"/>
              <w:rPr>
                <w:sz w:val="21"/>
                <w:szCs w:val="21"/>
                <w:color w:val="auto"/>
              </w:rPr>
            </w:pPr>
          </w:p>
        </w:tc>
        <w:tc>
          <w:tcPr>
            <w:tcW w:w="400" w:type="dxa"/>
            <w:vAlign w:val="bottom"/>
            <w:tcBorders>
              <w:bottom w:val="single" w:sz="8" w:color="231F20"/>
            </w:tcBorders>
            <w:shd w:val="clear" w:color="auto" w:fill="E6E7E8"/>
          </w:tcPr>
          <w:p>
            <w:pPr>
              <w:jc w:val="right"/>
              <w:ind w:right="205"/>
              <w:spacing w:after="0"/>
              <w:rPr>
                <w:sz w:val="20"/>
                <w:szCs w:val="20"/>
                <w:color w:val="auto"/>
              </w:rPr>
            </w:pPr>
            <w:r>
              <w:rPr>
                <w:rFonts w:ascii="Times New Roman" w:cs="Times New Roman" w:eastAsia="Times New Roman" w:hAnsi="Times New Roman"/>
                <w:sz w:val="19"/>
                <w:szCs w:val="19"/>
                <w:b w:val="1"/>
                <w:bCs w:val="1"/>
                <w:color w:val="231F20"/>
                <w:w w:val="83"/>
              </w:rPr>
              <w:t>$</w:t>
            </w:r>
          </w:p>
        </w:tc>
        <w:tc>
          <w:tcPr>
            <w:tcW w:w="136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4,927</w:t>
            </w:r>
          </w:p>
        </w:tc>
      </w:tr>
      <w:tr>
        <w:trPr>
          <w:trHeight w:val="20"/>
        </w:trPr>
        <w:tc>
          <w:tcPr>
            <w:tcW w:w="7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1360" w:type="dxa"/>
            <w:vAlign w:val="bottom"/>
            <w:tcBorders>
              <w:bottom w:val="single" w:sz="8" w:color="231F20"/>
            </w:tcBorders>
          </w:tcPr>
          <w:p>
            <w:pPr>
              <w:spacing w:after="0" w:line="20" w:lineRule="exact"/>
              <w:rPr>
                <w:sz w:val="1"/>
                <w:szCs w:val="1"/>
                <w:color w:val="auto"/>
              </w:rPr>
            </w:pPr>
          </w:p>
        </w:tc>
      </w:tr>
    </w:tbl>
    <w:p>
      <w:pPr>
        <w:spacing w:after="0" w:line="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231F20"/>
        </w:rPr>
        <w:t>* Did not meet the 5% threshold required for separate disclosure</w:t>
      </w:r>
    </w:p>
    <w:p>
      <w:pPr>
        <w:spacing w:after="0" w:line="2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231F20"/>
        </w:rPr>
        <w:t>Temporary differences which gave rise to deferred tax assets and liabilities in 2025 and 2024 are shown in the following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231F20"/>
        </w:rPr>
        <w:t>table:</w:t>
      </w:r>
    </w:p>
    <w:p>
      <w:pPr>
        <w:spacing w:after="0" w:line="262"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646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rPr>
              <w:t>Temporary Differences (in millions)</w:t>
            </w:r>
          </w:p>
        </w:tc>
        <w:tc>
          <w:tcPr>
            <w:tcW w:w="160" w:type="dxa"/>
            <w:vAlign w:val="bottom"/>
            <w:tcBorders>
              <w:bottom w:val="single" w:sz="8" w:color="E6E7E8"/>
            </w:tcBorders>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1080" w:type="dxa"/>
            <w:vAlign w:val="bottom"/>
            <w:tcBorders>
              <w:bottom w:val="single" w:sz="8" w:color="231F20"/>
            </w:tcBorders>
          </w:tcPr>
          <w:p>
            <w:pPr>
              <w:jc w:val="right"/>
              <w:ind w:right="446"/>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60" w:type="dxa"/>
            <w:vAlign w:val="bottom"/>
            <w:tcBorders>
              <w:bottom w:val="single" w:sz="8" w:color="E6E7E8"/>
            </w:tcBorders>
          </w:tcPr>
          <w:p>
            <w:pPr>
              <w:spacing w:after="0"/>
              <w:rPr>
                <w:sz w:val="17"/>
                <w:szCs w:val="17"/>
                <w:color w:val="auto"/>
              </w:rPr>
            </w:pPr>
          </w:p>
        </w:tc>
        <w:tc>
          <w:tcPr>
            <w:tcW w:w="320" w:type="dxa"/>
            <w:vAlign w:val="bottom"/>
            <w:tcBorders>
              <w:bottom w:val="single" w:sz="8" w:color="231F20"/>
            </w:tcBorders>
          </w:tcPr>
          <w:p>
            <w:pPr>
              <w:spacing w:after="0"/>
              <w:rPr>
                <w:sz w:val="17"/>
                <w:szCs w:val="17"/>
                <w:color w:val="auto"/>
              </w:rPr>
            </w:pPr>
          </w:p>
        </w:tc>
        <w:tc>
          <w:tcPr>
            <w:tcW w:w="1080" w:type="dxa"/>
            <w:vAlign w:val="bottom"/>
            <w:tcBorders>
              <w:bottom w:val="single" w:sz="8" w:color="231F20"/>
            </w:tcBorders>
          </w:tcPr>
          <w:p>
            <w:pPr>
              <w:jc w:val="right"/>
              <w:ind w:right="446"/>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Borders>
              <w:bottom w:val="single" w:sz="8" w:color="E6E7E8"/>
            </w:tcBorders>
          </w:tcPr>
          <w:p>
            <w:pPr>
              <w:spacing w:after="0"/>
              <w:rPr>
                <w:sz w:val="17"/>
                <w:szCs w:val="17"/>
                <w:color w:val="auto"/>
              </w:rPr>
            </w:pPr>
          </w:p>
        </w:tc>
      </w:tr>
      <w:tr>
        <w:trPr>
          <w:trHeight w:val="228"/>
        </w:trPr>
        <w:tc>
          <w:tcPr>
            <w:tcW w:w="6460" w:type="dxa"/>
            <w:vAlign w:val="bottom"/>
            <w:shd w:val="clear" w:color="auto" w:fill="E6E7E8"/>
          </w:tcPr>
          <w:p>
            <w:pPr>
              <w:spacing w:after="0"/>
              <w:rPr>
                <w:sz w:val="20"/>
                <w:szCs w:val="20"/>
                <w:color w:val="auto"/>
              </w:rPr>
            </w:pPr>
            <w:r>
              <w:rPr>
                <w:rFonts w:ascii="Times New Roman" w:cs="Times New Roman" w:eastAsia="Times New Roman" w:hAnsi="Times New Roman"/>
                <w:sz w:val="19"/>
                <w:szCs w:val="19"/>
                <w:b w:val="1"/>
                <w:bCs w:val="1"/>
                <w:color w:val="231F20"/>
              </w:rPr>
              <w:t>Deferred Tax Assets</w:t>
            </w:r>
          </w:p>
        </w:tc>
        <w:tc>
          <w:tcPr>
            <w:tcW w:w="160" w:type="dxa"/>
            <w:vAlign w:val="bottom"/>
            <w:shd w:val="clear" w:color="auto" w:fill="E6E7E8"/>
          </w:tcPr>
          <w:p>
            <w:pPr>
              <w:spacing w:after="0"/>
              <w:rPr>
                <w:sz w:val="19"/>
                <w:szCs w:val="19"/>
                <w:color w:val="auto"/>
              </w:rPr>
            </w:pPr>
          </w:p>
        </w:tc>
        <w:tc>
          <w:tcPr>
            <w:tcW w:w="300" w:type="dxa"/>
            <w:vAlign w:val="bottom"/>
            <w:shd w:val="clear" w:color="auto" w:fill="E6E7E8"/>
          </w:tcPr>
          <w:p>
            <w:pPr>
              <w:spacing w:after="0"/>
              <w:rPr>
                <w:sz w:val="19"/>
                <w:szCs w:val="19"/>
                <w:color w:val="auto"/>
              </w:rPr>
            </w:pPr>
          </w:p>
        </w:tc>
        <w:tc>
          <w:tcPr>
            <w:tcW w:w="1080" w:type="dxa"/>
            <w:vAlign w:val="bottom"/>
            <w:shd w:val="clear" w:color="auto" w:fill="E6E7E8"/>
          </w:tcPr>
          <w:p>
            <w:pPr>
              <w:spacing w:after="0"/>
              <w:rPr>
                <w:sz w:val="19"/>
                <w:szCs w:val="19"/>
                <w:color w:val="auto"/>
              </w:rPr>
            </w:pPr>
          </w:p>
        </w:tc>
        <w:tc>
          <w:tcPr>
            <w:tcW w:w="260" w:type="dxa"/>
            <w:vAlign w:val="bottom"/>
            <w:shd w:val="clear" w:color="auto" w:fill="E6E7E8"/>
          </w:tcPr>
          <w:p>
            <w:pPr>
              <w:spacing w:after="0"/>
              <w:rPr>
                <w:sz w:val="19"/>
                <w:szCs w:val="19"/>
                <w:color w:val="auto"/>
              </w:rPr>
            </w:pPr>
          </w:p>
        </w:tc>
        <w:tc>
          <w:tcPr>
            <w:tcW w:w="320" w:type="dxa"/>
            <w:vAlign w:val="bottom"/>
            <w:shd w:val="clear" w:color="auto" w:fill="E6E7E8"/>
          </w:tcPr>
          <w:p>
            <w:pPr>
              <w:spacing w:after="0"/>
              <w:rPr>
                <w:sz w:val="19"/>
                <w:szCs w:val="19"/>
                <w:color w:val="auto"/>
              </w:rPr>
            </w:pPr>
          </w:p>
        </w:tc>
        <w:tc>
          <w:tcPr>
            <w:tcW w:w="1080" w:type="dxa"/>
            <w:vAlign w:val="bottom"/>
            <w:shd w:val="clear" w:color="auto" w:fill="E6E7E8"/>
          </w:tcPr>
          <w:p>
            <w:pPr>
              <w:spacing w:after="0"/>
              <w:rPr>
                <w:sz w:val="19"/>
                <w:szCs w:val="19"/>
                <w:color w:val="auto"/>
              </w:rPr>
            </w:pPr>
          </w:p>
        </w:tc>
        <w:tc>
          <w:tcPr>
            <w:tcW w:w="60" w:type="dxa"/>
            <w:vAlign w:val="bottom"/>
            <w:shd w:val="clear" w:color="auto" w:fill="E6E7E8"/>
          </w:tcPr>
          <w:p>
            <w:pPr>
              <w:spacing w:after="0"/>
              <w:rPr>
                <w:sz w:val="19"/>
                <w:szCs w:val="19"/>
                <w:color w:val="auto"/>
              </w:rPr>
            </w:pPr>
          </w:p>
        </w:tc>
      </w:tr>
      <w:tr>
        <w:trPr>
          <w:trHeight w:val="233"/>
        </w:trPr>
        <w:tc>
          <w:tcPr>
            <w:tcW w:w="646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Retirement Benefit Obligations</w:t>
            </w:r>
          </w:p>
        </w:tc>
        <w:tc>
          <w:tcPr>
            <w:tcW w:w="160" w:type="dxa"/>
            <w:vAlign w:val="bottom"/>
          </w:tcPr>
          <w:p>
            <w:pPr>
              <w:spacing w:after="0"/>
              <w:rPr>
                <w:sz w:val="20"/>
                <w:szCs w:val="20"/>
                <w:color w:val="auto"/>
              </w:rPr>
            </w:pPr>
          </w:p>
        </w:tc>
        <w:tc>
          <w:tcPr>
            <w:tcW w:w="300" w:type="dxa"/>
            <w:vAlign w:val="bottom"/>
          </w:tcPr>
          <w:p>
            <w:pPr>
              <w:jc w:val="right"/>
              <w:ind w:right="105"/>
              <w:spacing w:after="0"/>
              <w:rPr>
                <w:sz w:val="20"/>
                <w:szCs w:val="20"/>
                <w:color w:val="auto"/>
              </w:rPr>
            </w:pPr>
            <w:r>
              <w:rPr>
                <w:rFonts w:ascii="Times New Roman" w:cs="Times New Roman" w:eastAsia="Times New Roman" w:hAnsi="Times New Roman"/>
                <w:sz w:val="19"/>
                <w:szCs w:val="19"/>
                <w:b w:val="1"/>
                <w:bCs w:val="1"/>
                <w:color w:val="231F20"/>
                <w:w w:val="8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5.6</w:t>
            </w:r>
          </w:p>
        </w:tc>
        <w:tc>
          <w:tcPr>
            <w:tcW w:w="260" w:type="dxa"/>
            <w:vAlign w:val="bottom"/>
          </w:tcPr>
          <w:p>
            <w:pPr>
              <w:spacing w:after="0"/>
              <w:rPr>
                <w:sz w:val="20"/>
                <w:szCs w:val="20"/>
                <w:color w:val="auto"/>
              </w:rPr>
            </w:pPr>
          </w:p>
        </w:tc>
        <w:tc>
          <w:tcPr>
            <w:tcW w:w="320" w:type="dxa"/>
            <w:vAlign w:val="bottom"/>
          </w:tcPr>
          <w:p>
            <w:pPr>
              <w:jc w:val="right"/>
              <w:ind w:right="125"/>
              <w:spacing w:after="0"/>
              <w:rPr>
                <w:sz w:val="20"/>
                <w:szCs w:val="20"/>
                <w:color w:val="auto"/>
              </w:rPr>
            </w:pPr>
            <w:r>
              <w:rPr>
                <w:rFonts w:ascii="Times New Roman" w:cs="Times New Roman" w:eastAsia="Times New Roman" w:hAnsi="Times New Roman"/>
                <w:sz w:val="19"/>
                <w:szCs w:val="19"/>
                <w:color w:val="231F20"/>
                <w:w w:val="8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6.1</w:t>
            </w:r>
          </w:p>
        </w:tc>
        <w:tc>
          <w:tcPr>
            <w:tcW w:w="60" w:type="dxa"/>
            <w:vAlign w:val="bottom"/>
          </w:tcPr>
          <w:p>
            <w:pPr>
              <w:spacing w:after="0"/>
              <w:rPr>
                <w:sz w:val="20"/>
                <w:szCs w:val="20"/>
                <w:color w:val="auto"/>
              </w:rPr>
            </w:pPr>
          </w:p>
        </w:tc>
      </w:tr>
      <w:tr>
        <w:trPr>
          <w:trHeight w:val="233"/>
        </w:trPr>
        <w:tc>
          <w:tcPr>
            <w:tcW w:w="646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Regulatory Assets and Liabilities **</w:t>
            </w:r>
          </w:p>
        </w:tc>
        <w:tc>
          <w:tcPr>
            <w:tcW w:w="160" w:type="dxa"/>
            <w:vAlign w:val="bottom"/>
            <w:shd w:val="clear" w:color="auto" w:fill="E6E7E8"/>
          </w:tcPr>
          <w:p>
            <w:pPr>
              <w:spacing w:after="0"/>
              <w:rPr>
                <w:sz w:val="20"/>
                <w:szCs w:val="20"/>
                <w:color w:val="auto"/>
              </w:rPr>
            </w:pPr>
          </w:p>
        </w:tc>
        <w:tc>
          <w:tcPr>
            <w:tcW w:w="300" w:type="dxa"/>
            <w:vAlign w:val="bottom"/>
            <w:shd w:val="clear" w:color="auto" w:fill="E6E7E8"/>
          </w:tcPr>
          <w:p>
            <w:pPr>
              <w:spacing w:after="0"/>
              <w:rPr>
                <w:sz w:val="20"/>
                <w:szCs w:val="20"/>
                <w:color w:val="auto"/>
              </w:rPr>
            </w:pPr>
          </w:p>
        </w:tc>
        <w:tc>
          <w:tcPr>
            <w:tcW w:w="10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260" w:type="dxa"/>
            <w:vAlign w:val="bottom"/>
            <w:shd w:val="clear" w:color="auto" w:fill="E6E7E8"/>
          </w:tcPr>
          <w:p>
            <w:pPr>
              <w:spacing w:after="0"/>
              <w:rPr>
                <w:sz w:val="20"/>
                <w:szCs w:val="20"/>
                <w:color w:val="auto"/>
              </w:rPr>
            </w:pPr>
          </w:p>
        </w:tc>
        <w:tc>
          <w:tcPr>
            <w:tcW w:w="320" w:type="dxa"/>
            <w:vAlign w:val="bottom"/>
            <w:shd w:val="clear" w:color="auto" w:fill="E6E7E8"/>
          </w:tcPr>
          <w:p>
            <w:pPr>
              <w:spacing w:after="0"/>
              <w:rPr>
                <w:sz w:val="20"/>
                <w:szCs w:val="20"/>
                <w:color w:val="auto"/>
              </w:rPr>
            </w:pPr>
          </w:p>
        </w:tc>
        <w:tc>
          <w:tcPr>
            <w:tcW w:w="10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5.6</w:t>
            </w:r>
          </w:p>
        </w:tc>
        <w:tc>
          <w:tcPr>
            <w:tcW w:w="60" w:type="dxa"/>
            <w:vAlign w:val="bottom"/>
            <w:shd w:val="clear" w:color="auto" w:fill="E6E7E8"/>
          </w:tcPr>
          <w:p>
            <w:pPr>
              <w:spacing w:after="0"/>
              <w:rPr>
                <w:sz w:val="20"/>
                <w:szCs w:val="20"/>
                <w:color w:val="auto"/>
              </w:rPr>
            </w:pPr>
          </w:p>
        </w:tc>
      </w:tr>
      <w:tr>
        <w:trPr>
          <w:trHeight w:val="233"/>
        </w:trPr>
        <w:tc>
          <w:tcPr>
            <w:tcW w:w="646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Net Operating Loss Carryforwards</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0.2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2.3</w:t>
            </w:r>
          </w:p>
        </w:tc>
        <w:tc>
          <w:tcPr>
            <w:tcW w:w="60" w:type="dxa"/>
            <w:vAlign w:val="bottom"/>
          </w:tcPr>
          <w:p>
            <w:pPr>
              <w:spacing w:after="0"/>
              <w:rPr>
                <w:sz w:val="20"/>
                <w:szCs w:val="20"/>
                <w:color w:val="auto"/>
              </w:rPr>
            </w:pPr>
          </w:p>
        </w:tc>
      </w:tr>
      <w:tr>
        <w:trPr>
          <w:trHeight w:val="233"/>
        </w:trPr>
        <w:tc>
          <w:tcPr>
            <w:tcW w:w="646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Tax Credit Carryforwards</w:t>
            </w:r>
          </w:p>
        </w:tc>
        <w:tc>
          <w:tcPr>
            <w:tcW w:w="160" w:type="dxa"/>
            <w:vAlign w:val="bottom"/>
            <w:shd w:val="clear" w:color="auto" w:fill="E6E7E8"/>
          </w:tcPr>
          <w:p>
            <w:pPr>
              <w:spacing w:after="0"/>
              <w:rPr>
                <w:sz w:val="20"/>
                <w:szCs w:val="20"/>
                <w:color w:val="auto"/>
              </w:rPr>
            </w:pPr>
          </w:p>
        </w:tc>
        <w:tc>
          <w:tcPr>
            <w:tcW w:w="300" w:type="dxa"/>
            <w:vAlign w:val="bottom"/>
            <w:shd w:val="clear" w:color="auto" w:fill="E6E7E8"/>
          </w:tcPr>
          <w:p>
            <w:pPr>
              <w:spacing w:after="0"/>
              <w:rPr>
                <w:sz w:val="20"/>
                <w:szCs w:val="20"/>
                <w:color w:val="auto"/>
              </w:rPr>
            </w:pPr>
          </w:p>
        </w:tc>
        <w:tc>
          <w:tcPr>
            <w:tcW w:w="10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1.8</w:t>
            </w:r>
          </w:p>
        </w:tc>
        <w:tc>
          <w:tcPr>
            <w:tcW w:w="260" w:type="dxa"/>
            <w:vAlign w:val="bottom"/>
            <w:shd w:val="clear" w:color="auto" w:fill="E6E7E8"/>
          </w:tcPr>
          <w:p>
            <w:pPr>
              <w:spacing w:after="0"/>
              <w:rPr>
                <w:sz w:val="20"/>
                <w:szCs w:val="20"/>
                <w:color w:val="auto"/>
              </w:rPr>
            </w:pPr>
          </w:p>
        </w:tc>
        <w:tc>
          <w:tcPr>
            <w:tcW w:w="320" w:type="dxa"/>
            <w:vAlign w:val="bottom"/>
            <w:shd w:val="clear" w:color="auto" w:fill="E6E7E8"/>
          </w:tcPr>
          <w:p>
            <w:pPr>
              <w:spacing w:after="0"/>
              <w:rPr>
                <w:sz w:val="20"/>
                <w:szCs w:val="20"/>
                <w:color w:val="auto"/>
              </w:rPr>
            </w:pPr>
          </w:p>
        </w:tc>
        <w:tc>
          <w:tcPr>
            <w:tcW w:w="10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2.0</w:t>
            </w:r>
          </w:p>
        </w:tc>
        <w:tc>
          <w:tcPr>
            <w:tcW w:w="60" w:type="dxa"/>
            <w:vAlign w:val="bottom"/>
            <w:shd w:val="clear" w:color="auto" w:fill="E6E7E8"/>
          </w:tcPr>
          <w:p>
            <w:pPr>
              <w:spacing w:after="0"/>
              <w:rPr>
                <w:sz w:val="20"/>
                <w:szCs w:val="20"/>
                <w:color w:val="auto"/>
              </w:rPr>
            </w:pPr>
          </w:p>
        </w:tc>
      </w:tr>
      <w:tr>
        <w:trPr>
          <w:trHeight w:val="232"/>
        </w:trPr>
        <w:tc>
          <w:tcPr>
            <w:tcW w:w="6460" w:type="dxa"/>
            <w:vAlign w:val="bottom"/>
            <w:tcBorders>
              <w:bottom w:val="single" w:sz="8" w:color="E6E7E8"/>
            </w:tcBorders>
          </w:tcPr>
          <w:p>
            <w:pPr>
              <w:ind w:left="200"/>
              <w:spacing w:after="0"/>
              <w:rPr>
                <w:sz w:val="20"/>
                <w:szCs w:val="20"/>
                <w:color w:val="auto"/>
              </w:rPr>
            </w:pPr>
            <w:r>
              <w:rPr>
                <w:rFonts w:ascii="Times New Roman" w:cs="Times New Roman" w:eastAsia="Times New Roman" w:hAnsi="Times New Roman"/>
                <w:sz w:val="19"/>
                <w:szCs w:val="19"/>
                <w:color w:val="231F20"/>
              </w:rPr>
              <w:t>Other, net</w:t>
            </w:r>
          </w:p>
        </w:tc>
        <w:tc>
          <w:tcPr>
            <w:tcW w:w="160" w:type="dxa"/>
            <w:vAlign w:val="bottom"/>
            <w:tcBorders>
              <w:bottom w:val="single" w:sz="8" w:color="E6E7E8"/>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6.3</w:t>
            </w:r>
          </w:p>
        </w:tc>
        <w:tc>
          <w:tcPr>
            <w:tcW w:w="260" w:type="dxa"/>
            <w:vAlign w:val="bottom"/>
            <w:tcBorders>
              <w:bottom w:val="single" w:sz="8" w:color="E6E7E8"/>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2.5</w:t>
            </w:r>
          </w:p>
        </w:tc>
        <w:tc>
          <w:tcPr>
            <w:tcW w:w="60" w:type="dxa"/>
            <w:vAlign w:val="bottom"/>
            <w:tcBorders>
              <w:bottom w:val="single" w:sz="8" w:color="E6E7E8"/>
            </w:tcBorders>
          </w:tcPr>
          <w:p>
            <w:pPr>
              <w:spacing w:after="0"/>
              <w:rPr>
                <w:sz w:val="20"/>
                <w:szCs w:val="20"/>
                <w:color w:val="auto"/>
              </w:rPr>
            </w:pPr>
          </w:p>
        </w:tc>
      </w:tr>
      <w:tr>
        <w:trPr>
          <w:trHeight w:val="248"/>
        </w:trPr>
        <w:tc>
          <w:tcPr>
            <w:tcW w:w="6460" w:type="dxa"/>
            <w:vAlign w:val="bottom"/>
            <w:tcBorders>
              <w:bottom w:val="single" w:sz="8" w:color="E6E7E8"/>
            </w:tcBorders>
            <w:shd w:val="clear" w:color="auto" w:fill="E6E7E8"/>
          </w:tcPr>
          <w:p>
            <w:pPr>
              <w:spacing w:after="0"/>
              <w:rPr>
                <w:sz w:val="20"/>
                <w:szCs w:val="20"/>
                <w:color w:val="auto"/>
              </w:rPr>
            </w:pPr>
            <w:r>
              <w:rPr>
                <w:rFonts w:ascii="Times New Roman" w:cs="Times New Roman" w:eastAsia="Times New Roman" w:hAnsi="Times New Roman"/>
                <w:sz w:val="19"/>
                <w:szCs w:val="19"/>
                <w:b w:val="1"/>
                <w:bCs w:val="1"/>
                <w:color w:val="231F20"/>
              </w:rPr>
              <w:t>Total Deferred Tax Assets</w:t>
            </w:r>
          </w:p>
        </w:tc>
        <w:tc>
          <w:tcPr>
            <w:tcW w:w="160" w:type="dxa"/>
            <w:vAlign w:val="bottom"/>
            <w:tcBorders>
              <w:bottom w:val="single" w:sz="8" w:color="E6E7E8"/>
            </w:tcBorders>
            <w:shd w:val="clear" w:color="auto" w:fill="E6E7E8"/>
          </w:tcPr>
          <w:p>
            <w:pPr>
              <w:spacing w:after="0"/>
              <w:rPr>
                <w:sz w:val="21"/>
                <w:szCs w:val="21"/>
                <w:color w:val="auto"/>
              </w:rPr>
            </w:pPr>
          </w:p>
        </w:tc>
        <w:tc>
          <w:tcPr>
            <w:tcW w:w="300" w:type="dxa"/>
            <w:vAlign w:val="bottom"/>
            <w:tcBorders>
              <w:bottom w:val="single" w:sz="8" w:color="231F20"/>
            </w:tcBorders>
            <w:shd w:val="clear" w:color="auto" w:fill="E6E7E8"/>
          </w:tcPr>
          <w:p>
            <w:pPr>
              <w:spacing w:after="0"/>
              <w:rPr>
                <w:sz w:val="21"/>
                <w:szCs w:val="21"/>
                <w:color w:val="auto"/>
              </w:rPr>
            </w:pPr>
          </w:p>
        </w:tc>
        <w:tc>
          <w:tcPr>
            <w:tcW w:w="108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13.9</w:t>
            </w:r>
          </w:p>
        </w:tc>
        <w:tc>
          <w:tcPr>
            <w:tcW w:w="260" w:type="dxa"/>
            <w:vAlign w:val="bottom"/>
            <w:tcBorders>
              <w:bottom w:val="single" w:sz="8" w:color="E6E7E8"/>
            </w:tcBorders>
            <w:shd w:val="clear" w:color="auto" w:fill="E6E7E8"/>
          </w:tcPr>
          <w:p>
            <w:pPr>
              <w:spacing w:after="0"/>
              <w:rPr>
                <w:sz w:val="21"/>
                <w:szCs w:val="21"/>
                <w:color w:val="auto"/>
              </w:rPr>
            </w:pPr>
          </w:p>
        </w:tc>
        <w:tc>
          <w:tcPr>
            <w:tcW w:w="320" w:type="dxa"/>
            <w:vAlign w:val="bottom"/>
            <w:tcBorders>
              <w:bottom w:val="single" w:sz="8" w:color="231F20"/>
            </w:tcBorders>
            <w:shd w:val="clear" w:color="auto" w:fill="E6E7E8"/>
          </w:tcPr>
          <w:p>
            <w:pPr>
              <w:spacing w:after="0"/>
              <w:rPr>
                <w:sz w:val="21"/>
                <w:szCs w:val="21"/>
                <w:color w:val="auto"/>
              </w:rPr>
            </w:pPr>
          </w:p>
        </w:tc>
        <w:tc>
          <w:tcPr>
            <w:tcW w:w="108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18.5</w:t>
            </w:r>
          </w:p>
        </w:tc>
        <w:tc>
          <w:tcPr>
            <w:tcW w:w="60" w:type="dxa"/>
            <w:vAlign w:val="bottom"/>
            <w:tcBorders>
              <w:bottom w:val="single" w:sz="8" w:color="E6E7E8"/>
            </w:tcBorders>
            <w:shd w:val="clear" w:color="auto" w:fill="E6E7E8"/>
          </w:tcPr>
          <w:p>
            <w:pPr>
              <w:spacing w:after="0"/>
              <w:rPr>
                <w:sz w:val="21"/>
                <w:szCs w:val="21"/>
                <w:color w:val="auto"/>
              </w:rPr>
            </w:pPr>
          </w:p>
        </w:tc>
      </w:tr>
      <w:tr>
        <w:trPr>
          <w:trHeight w:val="208"/>
        </w:trPr>
        <w:tc>
          <w:tcPr>
            <w:tcW w:w="6460" w:type="dxa"/>
            <w:vAlign w:val="bottom"/>
          </w:tcPr>
          <w:p>
            <w:pPr>
              <w:spacing w:after="0" w:line="207" w:lineRule="exact"/>
              <w:rPr>
                <w:sz w:val="20"/>
                <w:szCs w:val="20"/>
                <w:color w:val="auto"/>
              </w:rPr>
            </w:pPr>
            <w:r>
              <w:rPr>
                <w:rFonts w:ascii="Times New Roman" w:cs="Times New Roman" w:eastAsia="Times New Roman" w:hAnsi="Times New Roman"/>
                <w:sz w:val="19"/>
                <w:szCs w:val="19"/>
                <w:b w:val="1"/>
                <w:bCs w:val="1"/>
                <w:color w:val="231F20"/>
              </w:rPr>
              <w:t>Deferred Tax Liabilities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3"/>
        </w:trPr>
        <w:tc>
          <w:tcPr>
            <w:tcW w:w="646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Utility Plant Differences</w:t>
            </w:r>
          </w:p>
        </w:tc>
        <w:tc>
          <w:tcPr>
            <w:tcW w:w="160" w:type="dxa"/>
            <w:vAlign w:val="bottom"/>
            <w:shd w:val="clear" w:color="auto" w:fill="E6E7E8"/>
          </w:tcPr>
          <w:p>
            <w:pPr>
              <w:spacing w:after="0"/>
              <w:rPr>
                <w:sz w:val="20"/>
                <w:szCs w:val="20"/>
                <w:color w:val="auto"/>
              </w:rPr>
            </w:pPr>
          </w:p>
        </w:tc>
        <w:tc>
          <w:tcPr>
            <w:tcW w:w="300" w:type="dxa"/>
            <w:vAlign w:val="bottom"/>
            <w:shd w:val="clear" w:color="auto" w:fill="E6E7E8"/>
          </w:tcPr>
          <w:p>
            <w:pPr>
              <w:spacing w:after="0"/>
              <w:rPr>
                <w:sz w:val="20"/>
                <w:szCs w:val="20"/>
                <w:color w:val="auto"/>
              </w:rPr>
            </w:pPr>
          </w:p>
        </w:tc>
        <w:tc>
          <w:tcPr>
            <w:tcW w:w="10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208.9</w:t>
            </w:r>
          </w:p>
        </w:tc>
        <w:tc>
          <w:tcPr>
            <w:tcW w:w="260" w:type="dxa"/>
            <w:vAlign w:val="bottom"/>
            <w:shd w:val="clear" w:color="auto" w:fill="E6E7E8"/>
          </w:tcPr>
          <w:p>
            <w:pPr>
              <w:spacing w:after="0"/>
              <w:rPr>
                <w:sz w:val="20"/>
                <w:szCs w:val="20"/>
                <w:color w:val="auto"/>
              </w:rPr>
            </w:pPr>
          </w:p>
        </w:tc>
        <w:tc>
          <w:tcPr>
            <w:tcW w:w="320" w:type="dxa"/>
            <w:vAlign w:val="bottom"/>
            <w:shd w:val="clear" w:color="auto" w:fill="E6E7E8"/>
          </w:tcPr>
          <w:p>
            <w:pPr>
              <w:spacing w:after="0"/>
              <w:rPr>
                <w:sz w:val="20"/>
                <w:szCs w:val="20"/>
                <w:color w:val="auto"/>
              </w:rPr>
            </w:pPr>
          </w:p>
        </w:tc>
        <w:tc>
          <w:tcPr>
            <w:tcW w:w="10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203.6</w:t>
            </w:r>
          </w:p>
        </w:tc>
        <w:tc>
          <w:tcPr>
            <w:tcW w:w="60" w:type="dxa"/>
            <w:vAlign w:val="bottom"/>
            <w:shd w:val="clear" w:color="auto" w:fill="E6E7E8"/>
          </w:tcPr>
          <w:p>
            <w:pPr>
              <w:spacing w:after="0"/>
              <w:rPr>
                <w:sz w:val="20"/>
                <w:szCs w:val="20"/>
                <w:color w:val="auto"/>
              </w:rPr>
            </w:pPr>
          </w:p>
        </w:tc>
      </w:tr>
      <w:tr>
        <w:trPr>
          <w:trHeight w:val="233"/>
        </w:trPr>
        <w:tc>
          <w:tcPr>
            <w:tcW w:w="646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Regulatory Assets and Liabilities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0.3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60" w:type="dxa"/>
            <w:vAlign w:val="bottom"/>
          </w:tcPr>
          <w:p>
            <w:pPr>
              <w:spacing w:after="0"/>
              <w:rPr>
                <w:sz w:val="20"/>
                <w:szCs w:val="20"/>
                <w:color w:val="auto"/>
              </w:rPr>
            </w:pPr>
          </w:p>
        </w:tc>
      </w:tr>
      <w:tr>
        <w:trPr>
          <w:trHeight w:val="252"/>
        </w:trPr>
        <w:tc>
          <w:tcPr>
            <w:tcW w:w="6460" w:type="dxa"/>
            <w:vAlign w:val="bottom"/>
            <w:tcBorders>
              <w:bottom w:val="single" w:sz="8" w:color="E6E7E8"/>
            </w:tcBorders>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Other, net</w:t>
            </w:r>
          </w:p>
        </w:tc>
        <w:tc>
          <w:tcPr>
            <w:tcW w:w="160" w:type="dxa"/>
            <w:vAlign w:val="bottom"/>
            <w:tcBorders>
              <w:bottom w:val="single" w:sz="8" w:color="E6E7E8"/>
            </w:tcBorders>
            <w:shd w:val="clear" w:color="auto" w:fill="E6E7E8"/>
          </w:tcPr>
          <w:p>
            <w:pPr>
              <w:spacing w:after="0"/>
              <w:rPr>
                <w:sz w:val="21"/>
                <w:szCs w:val="21"/>
                <w:color w:val="auto"/>
              </w:rPr>
            </w:pPr>
          </w:p>
        </w:tc>
        <w:tc>
          <w:tcPr>
            <w:tcW w:w="300" w:type="dxa"/>
            <w:vAlign w:val="bottom"/>
            <w:tcBorders>
              <w:bottom w:val="single" w:sz="8" w:color="231F20"/>
            </w:tcBorders>
            <w:shd w:val="clear" w:color="auto" w:fill="E6E7E8"/>
          </w:tcPr>
          <w:p>
            <w:pPr>
              <w:spacing w:after="0"/>
              <w:rPr>
                <w:sz w:val="21"/>
                <w:szCs w:val="21"/>
                <w:color w:val="auto"/>
              </w:rPr>
            </w:pPr>
          </w:p>
        </w:tc>
        <w:tc>
          <w:tcPr>
            <w:tcW w:w="108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1.4</w:t>
            </w:r>
          </w:p>
        </w:tc>
        <w:tc>
          <w:tcPr>
            <w:tcW w:w="260" w:type="dxa"/>
            <w:vAlign w:val="bottom"/>
            <w:tcBorders>
              <w:bottom w:val="single" w:sz="8" w:color="E6E7E8"/>
            </w:tcBorders>
            <w:shd w:val="clear" w:color="auto" w:fill="E6E7E8"/>
          </w:tcPr>
          <w:p>
            <w:pPr>
              <w:spacing w:after="0"/>
              <w:rPr>
                <w:sz w:val="21"/>
                <w:szCs w:val="21"/>
                <w:color w:val="auto"/>
              </w:rPr>
            </w:pPr>
          </w:p>
        </w:tc>
        <w:tc>
          <w:tcPr>
            <w:tcW w:w="320" w:type="dxa"/>
            <w:vAlign w:val="bottom"/>
            <w:tcBorders>
              <w:bottom w:val="single" w:sz="8" w:color="231F20"/>
            </w:tcBorders>
            <w:shd w:val="clear" w:color="auto" w:fill="E6E7E8"/>
          </w:tcPr>
          <w:p>
            <w:pPr>
              <w:spacing w:after="0"/>
              <w:rPr>
                <w:sz w:val="21"/>
                <w:szCs w:val="21"/>
                <w:color w:val="auto"/>
              </w:rPr>
            </w:pPr>
          </w:p>
        </w:tc>
        <w:tc>
          <w:tcPr>
            <w:tcW w:w="108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1.0</w:t>
            </w:r>
          </w:p>
        </w:tc>
        <w:tc>
          <w:tcPr>
            <w:tcW w:w="60" w:type="dxa"/>
            <w:vAlign w:val="bottom"/>
            <w:tcBorders>
              <w:bottom w:val="single" w:sz="8" w:color="E6E7E8"/>
            </w:tcBorders>
            <w:shd w:val="clear" w:color="auto" w:fill="E6E7E8"/>
          </w:tcPr>
          <w:p>
            <w:pPr>
              <w:spacing w:after="0"/>
              <w:rPr>
                <w:sz w:val="21"/>
                <w:szCs w:val="21"/>
                <w:color w:val="auto"/>
              </w:rPr>
            </w:pPr>
          </w:p>
        </w:tc>
      </w:tr>
      <w:tr>
        <w:trPr>
          <w:trHeight w:val="208"/>
        </w:trPr>
        <w:tc>
          <w:tcPr>
            <w:tcW w:w="6460" w:type="dxa"/>
            <w:vAlign w:val="bottom"/>
            <w:tcBorders>
              <w:bottom w:val="single" w:sz="8" w:color="E6E7E8"/>
            </w:tcBorders>
          </w:tcPr>
          <w:p>
            <w:pPr>
              <w:spacing w:after="0" w:line="207" w:lineRule="exact"/>
              <w:rPr>
                <w:sz w:val="20"/>
                <w:szCs w:val="20"/>
                <w:color w:val="auto"/>
              </w:rPr>
            </w:pPr>
            <w:r>
              <w:rPr>
                <w:rFonts w:ascii="Times New Roman" w:cs="Times New Roman" w:eastAsia="Times New Roman" w:hAnsi="Times New Roman"/>
                <w:sz w:val="19"/>
                <w:szCs w:val="19"/>
                <w:b w:val="1"/>
                <w:bCs w:val="1"/>
                <w:color w:val="231F20"/>
              </w:rPr>
              <w:t>Total Deferred Tax Liabilities</w:t>
            </w:r>
          </w:p>
        </w:tc>
        <w:tc>
          <w:tcPr>
            <w:tcW w:w="160" w:type="dxa"/>
            <w:vAlign w:val="bottom"/>
            <w:tcBorders>
              <w:bottom w:val="single" w:sz="8" w:color="E6E7E8"/>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b w:val="1"/>
                <w:bCs w:val="1"/>
                <w:color w:val="231F20"/>
              </w:rPr>
              <w:t>210.6</w:t>
            </w:r>
          </w:p>
        </w:tc>
        <w:tc>
          <w:tcPr>
            <w:tcW w:w="260" w:type="dxa"/>
            <w:vAlign w:val="bottom"/>
            <w:tcBorders>
              <w:bottom w:val="single" w:sz="8" w:color="E6E7E8"/>
            </w:tcBorders>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rPr>
              <w:t>204.6</w:t>
            </w:r>
          </w:p>
        </w:tc>
        <w:tc>
          <w:tcPr>
            <w:tcW w:w="60" w:type="dxa"/>
            <w:vAlign w:val="bottom"/>
            <w:tcBorders>
              <w:bottom w:val="single" w:sz="8" w:color="E6E7E8"/>
            </w:tcBorders>
          </w:tcPr>
          <w:p>
            <w:pPr>
              <w:spacing w:after="0"/>
              <w:rPr>
                <w:sz w:val="18"/>
                <w:szCs w:val="18"/>
                <w:color w:val="auto"/>
              </w:rPr>
            </w:pPr>
          </w:p>
        </w:tc>
      </w:tr>
      <w:tr>
        <w:trPr>
          <w:trHeight w:val="247"/>
        </w:trPr>
        <w:tc>
          <w:tcPr>
            <w:tcW w:w="6460" w:type="dxa"/>
            <w:vAlign w:val="bottom"/>
            <w:tcBorders>
              <w:bottom w:val="single" w:sz="8" w:color="E6E7E8"/>
            </w:tcBorders>
            <w:shd w:val="clear" w:color="auto" w:fill="E6E7E8"/>
          </w:tcPr>
          <w:p>
            <w:pPr>
              <w:spacing w:after="0"/>
              <w:rPr>
                <w:sz w:val="20"/>
                <w:szCs w:val="20"/>
                <w:color w:val="auto"/>
              </w:rPr>
            </w:pPr>
            <w:r>
              <w:rPr>
                <w:rFonts w:ascii="Times New Roman" w:cs="Times New Roman" w:eastAsia="Times New Roman" w:hAnsi="Times New Roman"/>
                <w:sz w:val="19"/>
                <w:szCs w:val="19"/>
                <w:b w:val="1"/>
                <w:bCs w:val="1"/>
                <w:color w:val="231F20"/>
              </w:rPr>
              <w:t>Net Deferred Tax Liabilities</w:t>
            </w:r>
          </w:p>
        </w:tc>
        <w:tc>
          <w:tcPr>
            <w:tcW w:w="160" w:type="dxa"/>
            <w:vAlign w:val="bottom"/>
            <w:tcBorders>
              <w:bottom w:val="single" w:sz="8" w:color="E6E7E8"/>
            </w:tcBorders>
            <w:shd w:val="clear" w:color="auto" w:fill="E6E7E8"/>
          </w:tcPr>
          <w:p>
            <w:pPr>
              <w:spacing w:after="0"/>
              <w:rPr>
                <w:sz w:val="21"/>
                <w:szCs w:val="21"/>
                <w:color w:val="auto"/>
              </w:rPr>
            </w:pPr>
          </w:p>
        </w:tc>
        <w:tc>
          <w:tcPr>
            <w:tcW w:w="300" w:type="dxa"/>
            <w:vAlign w:val="bottom"/>
            <w:tcBorders>
              <w:bottom w:val="single" w:sz="8" w:color="231F20"/>
            </w:tcBorders>
            <w:shd w:val="clear" w:color="auto" w:fill="E6E7E8"/>
          </w:tcPr>
          <w:p>
            <w:pPr>
              <w:jc w:val="right"/>
              <w:ind w:right="105"/>
              <w:spacing w:after="0"/>
              <w:rPr>
                <w:sz w:val="20"/>
                <w:szCs w:val="20"/>
                <w:color w:val="auto"/>
              </w:rPr>
            </w:pPr>
            <w:r>
              <w:rPr>
                <w:rFonts w:ascii="Times New Roman" w:cs="Times New Roman" w:eastAsia="Times New Roman" w:hAnsi="Times New Roman"/>
                <w:sz w:val="19"/>
                <w:szCs w:val="19"/>
                <w:b w:val="1"/>
                <w:bCs w:val="1"/>
                <w:color w:val="231F20"/>
                <w:w w:val="83"/>
              </w:rPr>
              <w:t>$</w:t>
            </w:r>
          </w:p>
        </w:tc>
        <w:tc>
          <w:tcPr>
            <w:tcW w:w="108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196.7</w:t>
            </w:r>
          </w:p>
        </w:tc>
        <w:tc>
          <w:tcPr>
            <w:tcW w:w="260" w:type="dxa"/>
            <w:vAlign w:val="bottom"/>
            <w:tcBorders>
              <w:bottom w:val="single" w:sz="8" w:color="E6E7E8"/>
            </w:tcBorders>
            <w:shd w:val="clear" w:color="auto" w:fill="E6E7E8"/>
          </w:tcPr>
          <w:p>
            <w:pPr>
              <w:spacing w:after="0"/>
              <w:rPr>
                <w:sz w:val="21"/>
                <w:szCs w:val="21"/>
                <w:color w:val="auto"/>
              </w:rPr>
            </w:pPr>
          </w:p>
        </w:tc>
        <w:tc>
          <w:tcPr>
            <w:tcW w:w="320" w:type="dxa"/>
            <w:vAlign w:val="bottom"/>
            <w:tcBorders>
              <w:bottom w:val="single" w:sz="8" w:color="231F20"/>
            </w:tcBorders>
            <w:shd w:val="clear" w:color="auto" w:fill="E6E7E8"/>
          </w:tcPr>
          <w:p>
            <w:pPr>
              <w:jc w:val="right"/>
              <w:ind w:right="125"/>
              <w:spacing w:after="0"/>
              <w:rPr>
                <w:sz w:val="20"/>
                <w:szCs w:val="20"/>
                <w:color w:val="auto"/>
              </w:rPr>
            </w:pPr>
            <w:r>
              <w:rPr>
                <w:rFonts w:ascii="Times New Roman" w:cs="Times New Roman" w:eastAsia="Times New Roman" w:hAnsi="Times New Roman"/>
                <w:sz w:val="19"/>
                <w:szCs w:val="19"/>
                <w:color w:val="231F20"/>
                <w:w w:val="83"/>
              </w:rPr>
              <w:t>$</w:t>
            </w:r>
          </w:p>
        </w:tc>
        <w:tc>
          <w:tcPr>
            <w:tcW w:w="108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186.1</w:t>
            </w:r>
          </w:p>
        </w:tc>
        <w:tc>
          <w:tcPr>
            <w:tcW w:w="60" w:type="dxa"/>
            <w:vAlign w:val="bottom"/>
            <w:tcBorders>
              <w:bottom w:val="single" w:sz="8" w:color="E6E7E8"/>
            </w:tcBorders>
            <w:shd w:val="clear" w:color="auto" w:fill="E6E7E8"/>
          </w:tcPr>
          <w:p>
            <w:pPr>
              <w:spacing w:after="0"/>
              <w:rPr>
                <w:sz w:val="21"/>
                <w:szCs w:val="2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720" w:top="928" w:right="760" w:bottom="188"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84</w:t>
      </w:r>
    </w:p>
    <w:p>
      <w:pPr>
        <w:sectPr>
          <w:pgSz w:w="12240" w:h="15840" w:orient="portrait"/>
          <w:cols w:equalWidth="0" w:num="1">
            <w:col w:w="10760"/>
          </w:cols>
          <w:pgMar w:left="720" w:top="928" w:right="760" w:bottom="188" w:gutter="0" w:footer="0" w:header="0"/>
          <w:type w:val="continuous"/>
        </w:sectPr>
      </w:pPr>
    </w:p>
    <w:bookmarkStart w:id="104" w:name="page105"/>
    <w:bookmarkEnd w:id="104"/>
    <w:p>
      <w:pPr>
        <w:jc w:val="both"/>
        <w:ind w:right="320"/>
        <w:spacing w:after="0" w:line="260" w:lineRule="auto"/>
        <w:tabs>
          <w:tab w:leader="none" w:pos="238" w:val="left"/>
        </w:tabs>
        <w:numPr>
          <w:ilvl w:val="0"/>
          <w:numId w:val="2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Company’s Net Deferred Tax Liabilities for Regulatory Assets and Liabilities are shown net. Gross Regulatory Assets were $16.8 million and $16.6 million for the years ended December 31, 2025 and 2024, respectively. Gross Regulatory Liabilities were $17.1 million and $11.0 million for the years ended December 31, 2025 and 2024, respectively.</w:t>
      </w:r>
    </w:p>
    <w:p>
      <w:pPr>
        <w:spacing w:after="0" w:line="184"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21"/>
          <w:szCs w:val="21"/>
          <w:color w:val="231F20"/>
        </w:rPr>
        <w:t>Under the Company’s Tax Sharing Agreement (the Agreement) which was approved upon the formation of Unitil as a public utility holding company, the Company files consolidated Federal and State tax returns and Unitil Corporation and each of its utility operating subsidiaries recognize the results of their operations in its tax returns as if it were a stand-alone taxpayer. The Agreement provides that the Company will account for income taxes in compliance with U.S. GAAP and regulatory accounting principles. The Company has evaluated its tax positions at December 31, 2025 in accordance with the FASB Codification, and has concluded that no adjustment for recognition, de-recognition, settlement or foreseeable future events to any tax liabilities or assets as defined by the FASB Codification is required.</w:t>
      </w:r>
    </w:p>
    <w:p>
      <w:pPr>
        <w:spacing w:after="0" w:line="198" w:lineRule="exact"/>
        <w:rPr>
          <w:sz w:val="20"/>
          <w:szCs w:val="20"/>
          <w:color w:val="auto"/>
        </w:rPr>
      </w:pPr>
    </w:p>
    <w:p>
      <w:pPr>
        <w:ind w:right="400" w:firstLine="619"/>
        <w:spacing w:after="0" w:line="249" w:lineRule="auto"/>
        <w:rPr>
          <w:sz w:val="20"/>
          <w:szCs w:val="20"/>
          <w:color w:val="auto"/>
        </w:rPr>
      </w:pPr>
      <w:r>
        <w:rPr>
          <w:rFonts w:ascii="Times New Roman" w:cs="Times New Roman" w:eastAsia="Times New Roman" w:hAnsi="Times New Roman"/>
          <w:sz w:val="21"/>
          <w:szCs w:val="21"/>
          <w:color w:val="231F20"/>
        </w:rPr>
        <w:t>In August 2025, Unitil Corporation received notice that its Federal Income Tax return filing for the year ending December 31, 2023 is under examination by the IRS. Currently, the Company believes that the ultimate resolution of this examination will not have a material impact on the Company’s financial statements. The Company remains subject to examination by Federal, Maine, Massachusetts, and New Hampshire tax authorities for the tax periods ended December 31, 2024; December 31, 2023; and December 31, 2022.</w:t>
      </w:r>
    </w:p>
    <w:p>
      <w:pPr>
        <w:spacing w:after="0" w:line="195" w:lineRule="exact"/>
        <w:rPr>
          <w:sz w:val="20"/>
          <w:szCs w:val="20"/>
          <w:color w:val="auto"/>
        </w:rPr>
      </w:pPr>
    </w:p>
    <w:p>
      <w:pPr>
        <w:ind w:right="80" w:firstLine="619"/>
        <w:spacing w:after="0" w:line="246" w:lineRule="auto"/>
        <w:rPr>
          <w:sz w:val="20"/>
          <w:szCs w:val="20"/>
          <w:color w:val="auto"/>
        </w:rPr>
      </w:pPr>
      <w:r>
        <w:rPr>
          <w:rFonts w:ascii="Times New Roman" w:cs="Times New Roman" w:eastAsia="Times New Roman" w:hAnsi="Times New Roman"/>
          <w:sz w:val="21"/>
          <w:szCs w:val="21"/>
          <w:color w:val="231F20"/>
        </w:rPr>
        <w:t>Income tax filings for the year ended December 31, 2024 have been filed with the IRS, Massachusetts Department of Revenue, the Maine Revenue Service, and the New Hampshire Department of Revenue Administration. In the Company’s federal tax returns for the year ended December 31, 2024 which were filed with the IRS in October 2025, the Company utilized federal Net Operating Loss Carryforward (NOLC) assets of $5.6 million and $1.0 million of federal tax credit carryforward. As of December 31, 2025, the Company has fully utilized all NOLC and federal tax credits available. In addition, at December 31, 2025, the Company had $1.8 million of cumulative state tax credit carryforwards to offset future income taxes payable. If unused, the Company’s state tax credit carryforwards will begin to expire in 2027.</w:t>
      </w:r>
    </w:p>
    <w:p>
      <w:pPr>
        <w:spacing w:after="0" w:line="198" w:lineRule="exact"/>
        <w:rPr>
          <w:sz w:val="20"/>
          <w:szCs w:val="20"/>
          <w:color w:val="auto"/>
        </w:rPr>
      </w:pPr>
    </w:p>
    <w:p>
      <w:pPr>
        <w:ind w:right="20" w:firstLine="619"/>
        <w:spacing w:after="0" w:line="253" w:lineRule="auto"/>
        <w:rPr>
          <w:sz w:val="20"/>
          <w:szCs w:val="20"/>
          <w:color w:val="auto"/>
        </w:rPr>
      </w:pPr>
      <w:r>
        <w:rPr>
          <w:rFonts w:ascii="Times New Roman" w:cs="Times New Roman" w:eastAsia="Times New Roman" w:hAnsi="Times New Roman"/>
          <w:sz w:val="21"/>
          <w:szCs w:val="21"/>
          <w:color w:val="231F20"/>
        </w:rPr>
        <w:t>On July 4, 2025, the One Big Beautiful Bill Act (OBBBA) was enacted into law. The OBBBA provided permanent and limited modifications to many provisions that had expired or would soon expire as well as eliminating many green energy provisions. The Company does not expect that the OBBBA will have a material effect on the Company's Consolidated Financial Statements.</w:t>
      </w:r>
    </w:p>
    <w:p>
      <w:pPr>
        <w:spacing w:after="0" w:line="188" w:lineRule="exact"/>
        <w:rPr>
          <w:sz w:val="20"/>
          <w:szCs w:val="20"/>
          <w:color w:val="auto"/>
        </w:rPr>
      </w:pPr>
    </w:p>
    <w:p>
      <w:pPr>
        <w:ind w:right="20" w:firstLine="619"/>
        <w:spacing w:after="0" w:line="246" w:lineRule="auto"/>
        <w:rPr>
          <w:sz w:val="20"/>
          <w:szCs w:val="20"/>
          <w:color w:val="auto"/>
        </w:rPr>
      </w:pPr>
      <w:r>
        <w:rPr>
          <w:rFonts w:ascii="Times New Roman" w:cs="Times New Roman" w:eastAsia="Times New Roman" w:hAnsi="Times New Roman"/>
          <w:sz w:val="21"/>
          <w:szCs w:val="21"/>
          <w:color w:val="231F20"/>
        </w:rPr>
        <w:t>On April 14, 2023, the IRS issued Revenue Procedure 2023-15 that provides a safe harbor method of accounting that taxpayers may use to determine whether to deduct or capitalize expenditures to repair, maintain, replace, or improve natural gas transmission and distribution property. Under the revenue procedure, the method of accounting will depend on the property’s classification as linear transmission property, linear distribution property, or non-linear property. The revenue procedure may be adopted in tax years ending after May 1, 2023. The Company elected a change in its tax accounting method on the 2023 consolidated tax return. A 481(a) adjustment was calculated and resulted in an additional $9.4 million in tax expense on the 2023 consolidated tax return.</w:t>
      </w:r>
    </w:p>
    <w:p>
      <w:pPr>
        <w:spacing w:after="0" w:line="198" w:lineRule="exact"/>
        <w:rPr>
          <w:sz w:val="20"/>
          <w:szCs w:val="20"/>
          <w:color w:val="auto"/>
        </w:rPr>
      </w:pPr>
    </w:p>
    <w:p>
      <w:pPr>
        <w:ind w:right="40" w:firstLine="619"/>
        <w:spacing w:after="0" w:line="245" w:lineRule="auto"/>
        <w:rPr>
          <w:sz w:val="20"/>
          <w:szCs w:val="20"/>
          <w:color w:val="auto"/>
        </w:rPr>
      </w:pPr>
      <w:r>
        <w:rPr>
          <w:rFonts w:ascii="Times New Roman" w:cs="Times New Roman" w:eastAsia="Times New Roman" w:hAnsi="Times New Roman"/>
          <w:sz w:val="21"/>
          <w:szCs w:val="21"/>
          <w:color w:val="231F20"/>
        </w:rPr>
        <w:t>In December 2017, the Tax Cuts and Jobs Act (TCJA), which included a reduction of the corporate federal income tax rate to 21% effective January 1, 2018, was signed into law. In accordance with FASB Codification Topic 740, the Company revalued its Accumulated Deferred Income Taxes (ADIT) and recorded a net liability in the amount of $48.9 million at December 31, 2017. The Company expects to flow through to customers $47.1 million of excess ADIT in utility base rates. The benefit of protected excess ADIT amounts will be subject to flow back to customers in utility rates according to the Average Rate Assumption Method (ARAM). The Company estimates the ARAM flow back period for protected and unprotected excess ADIT to be between fifteen and twenty years over the remaining life of the related utility plant. As of December 31, 2025, the Company flowed back $13.9 million to customers in its Massachusetts, Maine, New Hampshire and federal jurisdictions.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Note 10: Retirement Benefit Plans</w:t>
      </w:r>
    </w:p>
    <w:p>
      <w:pPr>
        <w:spacing w:after="0" w:line="124" w:lineRule="exact"/>
        <w:rPr>
          <w:sz w:val="20"/>
          <w:szCs w:val="20"/>
          <w:color w:val="auto"/>
        </w:rPr>
      </w:pPr>
    </w:p>
    <w:p>
      <w:pPr>
        <w:ind w:right="40" w:firstLine="612"/>
        <w:spacing w:after="0" w:line="279" w:lineRule="auto"/>
        <w:rPr>
          <w:sz w:val="20"/>
          <w:szCs w:val="20"/>
          <w:color w:val="auto"/>
        </w:rPr>
      </w:pPr>
      <w:r>
        <w:rPr>
          <w:rFonts w:ascii="Times New Roman" w:cs="Times New Roman" w:eastAsia="Times New Roman" w:hAnsi="Times New Roman"/>
          <w:sz w:val="21"/>
          <w:szCs w:val="21"/>
          <w:color w:val="231F20"/>
        </w:rPr>
        <w:t>The Company sponsors the following retirement benefit plans to provide certain pension and post-retirement benefits for its retirees and current employees as follows:</w:t>
      </w:r>
    </w:p>
    <w:p>
      <w:pPr>
        <w:spacing w:after="0" w:line="57" w:lineRule="exact"/>
        <w:rPr>
          <w:sz w:val="20"/>
          <w:szCs w:val="20"/>
          <w:color w:val="auto"/>
        </w:rPr>
      </w:pPr>
    </w:p>
    <w:p>
      <w:pPr>
        <w:ind w:left="980" w:right="100" w:hanging="361"/>
        <w:spacing w:after="0" w:line="259" w:lineRule="auto"/>
        <w:tabs>
          <w:tab w:leader="none" w:pos="980" w:val="left"/>
        </w:tabs>
        <w:numPr>
          <w:ilvl w:val="0"/>
          <w:numId w:val="25"/>
        </w:numPr>
        <w:rPr>
          <w:rFonts w:ascii="Arial" w:cs="Arial" w:eastAsia="Arial" w:hAnsi="Arial"/>
          <w:sz w:val="21"/>
          <w:szCs w:val="21"/>
          <w:color w:val="231F20"/>
        </w:rPr>
      </w:pPr>
      <w:r>
        <w:rPr>
          <w:rFonts w:ascii="Times New Roman" w:cs="Times New Roman" w:eastAsia="Times New Roman" w:hAnsi="Times New Roman"/>
          <w:sz w:val="21"/>
          <w:szCs w:val="21"/>
          <w:color w:val="231F20"/>
        </w:rPr>
        <w:t>The Unitil Corporation Retirement Plan (Pension Plan)—The Pension Plan is a defined benefit pension plan. Under the Pension Plan, retirement benefits are based upon an employee’s level of compensation and length of service. Effective January 1, 2010, the Pension Plan was closed to new non-union employees. For union employees, the</w:t>
      </w:r>
    </w:p>
    <w:p>
      <w:pPr>
        <w:sectPr>
          <w:pgSz w:w="12240" w:h="15840" w:orient="portrait"/>
          <w:cols w:equalWidth="0" w:num="1">
            <w:col w:w="10800"/>
          </w:cols>
          <w:pgMar w:left="720" w:top="930" w:right="720" w:bottom="188"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85</w:t>
      </w:r>
    </w:p>
    <w:p>
      <w:pPr>
        <w:sectPr>
          <w:pgSz w:w="12240" w:h="15840" w:orient="portrait"/>
          <w:cols w:equalWidth="0" w:num="1">
            <w:col w:w="10800"/>
          </w:cols>
          <w:pgMar w:left="720" w:top="930" w:right="720" w:bottom="188" w:gutter="0" w:footer="0" w:header="0"/>
          <w:type w:val="continuous"/>
        </w:sectPr>
      </w:pPr>
    </w:p>
    <w:bookmarkStart w:id="105" w:name="page106"/>
    <w:bookmarkEnd w:id="105"/>
    <w:p>
      <w:pPr>
        <w:ind w:left="980" w:right="180"/>
        <w:spacing w:after="0" w:line="279" w:lineRule="auto"/>
        <w:rPr>
          <w:sz w:val="20"/>
          <w:szCs w:val="20"/>
          <w:color w:val="auto"/>
        </w:rPr>
      </w:pPr>
      <w:r>
        <w:rPr>
          <w:rFonts w:ascii="Times New Roman" w:cs="Times New Roman" w:eastAsia="Times New Roman" w:hAnsi="Times New Roman"/>
          <w:sz w:val="21"/>
          <w:szCs w:val="21"/>
          <w:color w:val="231F20"/>
        </w:rPr>
        <w:t>Pension Plan was closed on various dates between December 31, 2010 and June 1, 2013, depending on the various Collective Bargaining Agreements of each union.</w:t>
      </w:r>
    </w:p>
    <w:p>
      <w:pPr>
        <w:spacing w:after="0" w:line="57" w:lineRule="exact"/>
        <w:rPr>
          <w:sz w:val="20"/>
          <w:szCs w:val="20"/>
          <w:color w:val="auto"/>
        </w:rPr>
      </w:pPr>
    </w:p>
    <w:p>
      <w:pPr>
        <w:ind w:left="980" w:right="20" w:hanging="361"/>
        <w:spacing w:after="0" w:line="259" w:lineRule="auto"/>
        <w:tabs>
          <w:tab w:leader="none" w:pos="980" w:val="left"/>
        </w:tabs>
        <w:numPr>
          <w:ilvl w:val="0"/>
          <w:numId w:val="26"/>
        </w:numPr>
        <w:rPr>
          <w:rFonts w:ascii="Arial" w:cs="Arial" w:eastAsia="Arial" w:hAnsi="Arial"/>
          <w:sz w:val="21"/>
          <w:szCs w:val="21"/>
          <w:color w:val="231F20"/>
        </w:rPr>
      </w:pPr>
      <w:r>
        <w:rPr>
          <w:rFonts w:ascii="Times New Roman" w:cs="Times New Roman" w:eastAsia="Times New Roman" w:hAnsi="Times New Roman"/>
          <w:sz w:val="21"/>
          <w:szCs w:val="21"/>
          <w:color w:val="231F20"/>
        </w:rPr>
        <w:t>The Unitil Retiree Health and Welfare Benefits Plan (PBOP Plan)—The PBOP Plan provides health care and life insurance benefits to retirees. The Company has established Voluntary Employee Benefit Trusts, into which it funds contributions to the PBOP Plan.</w:t>
      </w:r>
    </w:p>
    <w:p>
      <w:pPr>
        <w:spacing w:after="0" w:line="76" w:lineRule="exact"/>
        <w:rPr>
          <w:rFonts w:ascii="Arial" w:cs="Arial" w:eastAsia="Arial" w:hAnsi="Arial"/>
          <w:sz w:val="21"/>
          <w:szCs w:val="21"/>
          <w:color w:val="231F20"/>
        </w:rPr>
      </w:pPr>
    </w:p>
    <w:p>
      <w:pPr>
        <w:ind w:left="980" w:right="120" w:hanging="361"/>
        <w:spacing w:after="0" w:line="278" w:lineRule="auto"/>
        <w:tabs>
          <w:tab w:leader="none" w:pos="980" w:val="left"/>
        </w:tabs>
        <w:numPr>
          <w:ilvl w:val="0"/>
          <w:numId w:val="26"/>
        </w:numPr>
        <w:rPr>
          <w:rFonts w:ascii="Arial" w:cs="Arial" w:eastAsia="Arial" w:hAnsi="Arial"/>
          <w:sz w:val="21"/>
          <w:szCs w:val="21"/>
          <w:color w:val="231F20"/>
        </w:rPr>
      </w:pPr>
      <w:r>
        <w:rPr>
          <w:rFonts w:ascii="Times New Roman" w:cs="Times New Roman" w:eastAsia="Times New Roman" w:hAnsi="Times New Roman"/>
          <w:sz w:val="21"/>
          <w:szCs w:val="21"/>
          <w:color w:val="231F20"/>
        </w:rPr>
        <w:t>The Unitil Corporation Supplemental Executive Retirement Plan (SERP)—The SERP is a non-qualified retirement plan, with participation limited to executives selected by the Board of Directors.</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231F20"/>
        </w:rPr>
        <w:t>The following table includes the key assumptions used in determining the Company’s benefit plan costs and obligations:</w:t>
      </w:r>
    </w:p>
    <w:p>
      <w:pPr>
        <w:spacing w:after="0" w:line="278" w:lineRule="exact"/>
        <w:rPr>
          <w:sz w:val="20"/>
          <w:szCs w:val="20"/>
          <w:color w:val="auto"/>
        </w:rPr>
      </w:pPr>
    </w:p>
    <w:tbl>
      <w:tblPr>
        <w:tblLayout w:type="fixed"/>
        <w:tblInd w:w="600" w:type="dxa"/>
        <w:tblCellMar>
          <w:top w:w="0" w:type="dxa"/>
          <w:left w:w="0" w:type="dxa"/>
          <w:bottom w:w="0" w:type="dxa"/>
          <w:right w:w="0" w:type="dxa"/>
        </w:tblCellMar>
      </w:tblPr>
      <w:tr>
        <w:trPr>
          <w:trHeight w:val="203"/>
        </w:trPr>
        <w:tc>
          <w:tcPr>
            <w:tcW w:w="6120" w:type="dxa"/>
            <w:vAlign w:val="bottom"/>
            <w:gridSpan w:val="3"/>
          </w:tcPr>
          <w:p>
            <w:pPr>
              <w:ind w:left="5780"/>
              <w:spacing w:after="0"/>
              <w:rPr>
                <w:sz w:val="20"/>
                <w:szCs w:val="20"/>
                <w:color w:val="auto"/>
              </w:rPr>
            </w:pPr>
            <w:r>
              <w:rPr>
                <w:rFonts w:ascii="Times New Roman" w:cs="Times New Roman" w:eastAsia="Times New Roman" w:hAnsi="Times New Roman"/>
                <w:sz w:val="16"/>
                <w:szCs w:val="16"/>
                <w:b w:val="1"/>
                <w:bCs w:val="1"/>
                <w:color w:val="231F20"/>
                <w:w w:val="99"/>
              </w:rPr>
              <w:t>2025</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309"/>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340" w:type="dxa"/>
            <w:vAlign w:val="bottom"/>
          </w:tcPr>
          <w:p>
            <w:pPr>
              <w:spacing w:after="0"/>
              <w:rPr>
                <w:sz w:val="17"/>
                <w:szCs w:val="17"/>
                <w:color w:val="auto"/>
              </w:rPr>
            </w:pP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20" w:type="dxa"/>
            <w:vAlign w:val="bottom"/>
          </w:tcPr>
          <w:p>
            <w:pPr>
              <w:spacing w:after="0"/>
              <w:rPr>
                <w:sz w:val="17"/>
                <w:szCs w:val="17"/>
                <w:color w:val="auto"/>
              </w:rPr>
            </w:pPr>
          </w:p>
        </w:tc>
      </w:tr>
      <w:tr>
        <w:trPr>
          <w:trHeight w:val="179"/>
        </w:trPr>
        <w:tc>
          <w:tcPr>
            <w:tcW w:w="5400" w:type="dxa"/>
            <w:vAlign w:val="bottom"/>
            <w:gridSpan w:val="2"/>
          </w:tcPr>
          <w:p>
            <w:pPr>
              <w:spacing w:after="0" w:line="179" w:lineRule="exact"/>
              <w:rPr>
                <w:sz w:val="20"/>
                <w:szCs w:val="20"/>
                <w:color w:val="auto"/>
              </w:rPr>
            </w:pPr>
            <w:r>
              <w:rPr>
                <w:rFonts w:ascii="Times New Roman" w:cs="Times New Roman" w:eastAsia="Times New Roman" w:hAnsi="Times New Roman"/>
                <w:sz w:val="16"/>
                <w:szCs w:val="16"/>
                <w:b w:val="1"/>
                <w:bCs w:val="1"/>
                <w:color w:val="231F20"/>
              </w:rPr>
              <w:t>Used to Determine Plan costs for years ended December 31:</w:t>
            </w:r>
          </w:p>
        </w:tc>
        <w:tc>
          <w:tcPr>
            <w:tcW w:w="720" w:type="dxa"/>
            <w:vAlign w:val="bottom"/>
            <w:tcBorders>
              <w:top w:val="single" w:sz="8" w:color="231F20"/>
            </w:tcBorders>
          </w:tcPr>
          <w:p>
            <w:pPr>
              <w:spacing w:after="0"/>
              <w:rPr>
                <w:sz w:val="15"/>
                <w:szCs w:val="15"/>
                <w:color w:val="auto"/>
              </w:rPr>
            </w:pPr>
          </w:p>
        </w:tc>
        <w:tc>
          <w:tcPr>
            <w:tcW w:w="360" w:type="dxa"/>
            <w:vAlign w:val="bottom"/>
            <w:tcBorders>
              <w:top w:val="single" w:sz="8" w:color="231F20"/>
            </w:tcBorders>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Borders>
              <w:top w:val="single" w:sz="8" w:color="231F20"/>
            </w:tcBorders>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Borders>
              <w:top w:val="single" w:sz="8" w:color="231F20"/>
            </w:tcBorders>
          </w:tcPr>
          <w:p>
            <w:pPr>
              <w:spacing w:after="0"/>
              <w:rPr>
                <w:sz w:val="15"/>
                <w:szCs w:val="15"/>
                <w:color w:val="auto"/>
              </w:rPr>
            </w:pPr>
          </w:p>
        </w:tc>
        <w:tc>
          <w:tcPr>
            <w:tcW w:w="220" w:type="dxa"/>
            <w:vAlign w:val="bottom"/>
          </w:tcPr>
          <w:p>
            <w:pPr>
              <w:spacing w:after="0"/>
              <w:rPr>
                <w:sz w:val="15"/>
                <w:szCs w:val="15"/>
                <w:color w:val="auto"/>
              </w:rPr>
            </w:pPr>
          </w:p>
        </w:tc>
      </w:tr>
      <w:tr>
        <w:trPr>
          <w:trHeight w:val="213"/>
        </w:trPr>
        <w:tc>
          <w:tcPr>
            <w:tcW w:w="5260" w:type="dxa"/>
            <w:vAlign w:val="bottom"/>
            <w:tcBorders>
              <w:top w:val="single" w:sz="8" w:color="231F20"/>
            </w:tcBorders>
            <w:shd w:val="clear" w:color="auto" w:fill="E6E7E8"/>
          </w:tcPr>
          <w:p>
            <w:pPr>
              <w:ind w:left="200"/>
              <w:spacing w:after="0" w:line="214" w:lineRule="exact"/>
              <w:rPr>
                <w:sz w:val="20"/>
                <w:szCs w:val="20"/>
                <w:color w:val="auto"/>
              </w:rPr>
            </w:pPr>
            <w:r>
              <w:rPr>
                <w:rFonts w:ascii="Times New Roman" w:cs="Times New Roman" w:eastAsia="Times New Roman" w:hAnsi="Times New Roman"/>
                <w:sz w:val="19"/>
                <w:szCs w:val="19"/>
                <w:color w:val="231F20"/>
              </w:rPr>
              <w:t>Discount Rate</w:t>
            </w:r>
          </w:p>
        </w:tc>
        <w:tc>
          <w:tcPr>
            <w:tcW w:w="140" w:type="dxa"/>
            <w:vAlign w:val="bottom"/>
            <w:tcBorders>
              <w:top w:val="single" w:sz="8" w:color="E6E7E8"/>
            </w:tcBorders>
            <w:shd w:val="clear" w:color="auto" w:fill="E6E7E8"/>
          </w:tcPr>
          <w:p>
            <w:pPr>
              <w:spacing w:after="0"/>
              <w:rPr>
                <w:sz w:val="18"/>
                <w:szCs w:val="18"/>
                <w:color w:val="auto"/>
              </w:rPr>
            </w:pPr>
          </w:p>
        </w:tc>
        <w:tc>
          <w:tcPr>
            <w:tcW w:w="720" w:type="dxa"/>
            <w:vAlign w:val="bottom"/>
            <w:tcBorders>
              <w:top w:val="single" w:sz="8" w:color="E6E7E8"/>
            </w:tcBorders>
            <w:shd w:val="clear" w:color="auto" w:fill="E6E7E8"/>
          </w:tcPr>
          <w:p>
            <w:pPr>
              <w:spacing w:after="0"/>
              <w:rPr>
                <w:sz w:val="18"/>
                <w:szCs w:val="18"/>
                <w:color w:val="auto"/>
              </w:rPr>
            </w:pPr>
          </w:p>
        </w:tc>
        <w:tc>
          <w:tcPr>
            <w:tcW w:w="720" w:type="dxa"/>
            <w:vAlign w:val="bottom"/>
            <w:tcBorders>
              <w:top w:val="single" w:sz="8" w:color="E6E7E8"/>
            </w:tcBorders>
            <w:gridSpan w:val="2"/>
            <w:shd w:val="clear" w:color="auto" w:fill="E6E7E8"/>
          </w:tcPr>
          <w:p>
            <w:pPr>
              <w:jc w:val="right"/>
              <w:ind w:right="160"/>
              <w:spacing w:after="0" w:line="214" w:lineRule="exact"/>
              <w:rPr>
                <w:sz w:val="20"/>
                <w:szCs w:val="20"/>
                <w:color w:val="auto"/>
              </w:rPr>
            </w:pPr>
            <w:r>
              <w:rPr>
                <w:rFonts w:ascii="Times New Roman" w:cs="Times New Roman" w:eastAsia="Times New Roman" w:hAnsi="Times New Roman"/>
                <w:sz w:val="19"/>
                <w:szCs w:val="19"/>
                <w:b w:val="1"/>
                <w:bCs w:val="1"/>
                <w:color w:val="231F20"/>
              </w:rPr>
              <w:t>5.60%</w:t>
            </w:r>
          </w:p>
        </w:tc>
        <w:tc>
          <w:tcPr>
            <w:tcW w:w="1440" w:type="dxa"/>
            <w:vAlign w:val="bottom"/>
            <w:tcBorders>
              <w:top w:val="single" w:sz="8" w:color="E6E7E8"/>
            </w:tcBorders>
            <w:gridSpan w:val="2"/>
            <w:shd w:val="clear" w:color="auto" w:fill="E6E7E8"/>
          </w:tcPr>
          <w:p>
            <w:pPr>
              <w:jc w:val="right"/>
              <w:ind w:right="200"/>
              <w:spacing w:after="0" w:line="214" w:lineRule="exact"/>
              <w:rPr>
                <w:sz w:val="20"/>
                <w:szCs w:val="20"/>
                <w:color w:val="auto"/>
              </w:rPr>
            </w:pPr>
            <w:r>
              <w:rPr>
                <w:rFonts w:ascii="Times New Roman" w:cs="Times New Roman" w:eastAsia="Times New Roman" w:hAnsi="Times New Roman"/>
                <w:sz w:val="19"/>
                <w:szCs w:val="19"/>
                <w:color w:val="231F20"/>
              </w:rPr>
              <w:t>5.00%</w:t>
            </w:r>
          </w:p>
        </w:tc>
        <w:tc>
          <w:tcPr>
            <w:tcW w:w="1320" w:type="dxa"/>
            <w:vAlign w:val="bottom"/>
            <w:tcBorders>
              <w:top w:val="single" w:sz="8" w:color="E6E7E8"/>
            </w:tcBorders>
            <w:gridSpan w:val="2"/>
            <w:shd w:val="clear" w:color="auto" w:fill="E6E7E8"/>
          </w:tcPr>
          <w:p>
            <w:pPr>
              <w:jc w:val="right"/>
              <w:ind w:right="60"/>
              <w:spacing w:after="0" w:line="214" w:lineRule="exact"/>
              <w:rPr>
                <w:sz w:val="20"/>
                <w:szCs w:val="20"/>
                <w:color w:val="auto"/>
              </w:rPr>
            </w:pPr>
            <w:r>
              <w:rPr>
                <w:rFonts w:ascii="Times New Roman" w:cs="Times New Roman" w:eastAsia="Times New Roman" w:hAnsi="Times New Roman"/>
                <w:sz w:val="19"/>
                <w:szCs w:val="19"/>
                <w:color w:val="231F20"/>
              </w:rPr>
              <w:t>5.25%</w:t>
            </w:r>
          </w:p>
        </w:tc>
      </w:tr>
      <w:tr>
        <w:trPr>
          <w:trHeight w:val="233"/>
        </w:trPr>
        <w:tc>
          <w:tcPr>
            <w:tcW w:w="526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Rate of Compensation Increase</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b w:val="1"/>
                <w:bCs w:val="1"/>
                <w:color w:val="231F20"/>
              </w:rPr>
              <w:t>3.00%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231F20"/>
              </w:rPr>
              <w:t>3.00%</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231F20"/>
              </w:rPr>
              <w:t>3.00%</w:t>
            </w:r>
          </w:p>
        </w:tc>
      </w:tr>
      <w:tr>
        <w:trPr>
          <w:trHeight w:val="219"/>
        </w:trPr>
        <w:tc>
          <w:tcPr>
            <w:tcW w:w="6120" w:type="dxa"/>
            <w:vAlign w:val="bottom"/>
            <w:gridSpan w:val="3"/>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Expected Long-term rate of return on plan assets</w:t>
            </w:r>
          </w:p>
        </w:tc>
        <w:tc>
          <w:tcPr>
            <w:tcW w:w="720" w:type="dxa"/>
            <w:vAlign w:val="bottom"/>
            <w:gridSpan w:val="2"/>
            <w:shd w:val="clear" w:color="auto" w:fill="E6E7E8"/>
          </w:tcPr>
          <w:p>
            <w:pPr>
              <w:jc w:val="right"/>
              <w:ind w:right="160"/>
              <w:spacing w:after="0"/>
              <w:rPr>
                <w:sz w:val="20"/>
                <w:szCs w:val="20"/>
                <w:color w:val="auto"/>
              </w:rPr>
            </w:pPr>
            <w:r>
              <w:rPr>
                <w:rFonts w:ascii="Times New Roman" w:cs="Times New Roman" w:eastAsia="Times New Roman" w:hAnsi="Times New Roman"/>
                <w:sz w:val="19"/>
                <w:szCs w:val="19"/>
                <w:b w:val="1"/>
                <w:bCs w:val="1"/>
                <w:color w:val="231F20"/>
              </w:rPr>
              <w:t>7.50%</w:t>
            </w:r>
          </w:p>
        </w:tc>
        <w:tc>
          <w:tcPr>
            <w:tcW w:w="1440" w:type="dxa"/>
            <w:vAlign w:val="bottom"/>
            <w:gridSpan w:val="2"/>
            <w:shd w:val="clear" w:color="auto" w:fill="E6E7E8"/>
          </w:tcPr>
          <w:p>
            <w:pPr>
              <w:jc w:val="right"/>
              <w:ind w:right="200"/>
              <w:spacing w:after="0"/>
              <w:rPr>
                <w:sz w:val="20"/>
                <w:szCs w:val="20"/>
                <w:color w:val="auto"/>
              </w:rPr>
            </w:pPr>
            <w:r>
              <w:rPr>
                <w:rFonts w:ascii="Times New Roman" w:cs="Times New Roman" w:eastAsia="Times New Roman" w:hAnsi="Times New Roman"/>
                <w:sz w:val="19"/>
                <w:szCs w:val="19"/>
                <w:color w:val="231F20"/>
              </w:rPr>
              <w:t>7.50%</w:t>
            </w:r>
          </w:p>
        </w:tc>
        <w:tc>
          <w:tcPr>
            <w:tcW w:w="1320" w:type="dxa"/>
            <w:vAlign w:val="bottom"/>
            <w:gridSpan w:val="2"/>
            <w:shd w:val="clear" w:color="auto" w:fill="E6E7E8"/>
          </w:tcPr>
          <w:p>
            <w:pPr>
              <w:jc w:val="right"/>
              <w:ind w:right="60"/>
              <w:spacing w:after="0"/>
              <w:rPr>
                <w:sz w:val="20"/>
                <w:szCs w:val="20"/>
                <w:color w:val="auto"/>
              </w:rPr>
            </w:pPr>
            <w:r>
              <w:rPr>
                <w:rFonts w:ascii="Times New Roman" w:cs="Times New Roman" w:eastAsia="Times New Roman" w:hAnsi="Times New Roman"/>
                <w:sz w:val="19"/>
                <w:szCs w:val="19"/>
                <w:color w:val="231F20"/>
              </w:rPr>
              <w:t>7.50%</w:t>
            </w:r>
          </w:p>
        </w:tc>
      </w:tr>
    </w:tbl>
    <w:p>
      <w:pPr>
        <w:spacing w:after="0" w:line="271"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62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340" w:type="dxa"/>
            <w:vAlign w:val="bottom"/>
          </w:tcPr>
          <w:p>
            <w:pPr>
              <w:spacing w:after="0"/>
              <w:rPr>
                <w:sz w:val="17"/>
                <w:szCs w:val="17"/>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00" w:type="dxa"/>
            <w:vAlign w:val="bottom"/>
          </w:tcPr>
          <w:p>
            <w:pPr>
              <w:spacing w:after="0"/>
              <w:rPr>
                <w:sz w:val="17"/>
                <w:szCs w:val="17"/>
                <w:color w:val="auto"/>
              </w:rPr>
            </w:pPr>
          </w:p>
        </w:tc>
      </w:tr>
      <w:tr>
        <w:trPr>
          <w:trHeight w:val="193"/>
        </w:trPr>
        <w:tc>
          <w:tcPr>
            <w:tcW w:w="5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Used to Determine Benefit Obligations at December 31:</w:t>
            </w:r>
          </w:p>
        </w:tc>
        <w:tc>
          <w:tcPr>
            <w:tcW w:w="720" w:type="dxa"/>
            <w:vAlign w:val="bottom"/>
            <w:tcBorders>
              <w:top w:val="single" w:sz="8" w:color="231F20"/>
            </w:tcBorders>
          </w:tcPr>
          <w:p>
            <w:pPr>
              <w:spacing w:after="0"/>
              <w:rPr>
                <w:sz w:val="16"/>
                <w:szCs w:val="16"/>
                <w:color w:val="auto"/>
              </w:rPr>
            </w:pPr>
          </w:p>
        </w:tc>
        <w:tc>
          <w:tcPr>
            <w:tcW w:w="380" w:type="dxa"/>
            <w:vAlign w:val="bottom"/>
            <w:tcBorders>
              <w:top w:val="single" w:sz="8" w:color="231F20"/>
            </w:tcBorders>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Borders>
              <w:top w:val="single" w:sz="8" w:color="231F20"/>
            </w:tcBorders>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Borders>
              <w:top w:val="single" w:sz="8" w:color="231F20"/>
            </w:tcBorders>
          </w:tcPr>
          <w:p>
            <w:pPr>
              <w:spacing w:after="0"/>
              <w:rPr>
                <w:sz w:val="16"/>
                <w:szCs w:val="16"/>
                <w:color w:val="auto"/>
              </w:rPr>
            </w:pPr>
          </w:p>
        </w:tc>
        <w:tc>
          <w:tcPr>
            <w:tcW w:w="200" w:type="dxa"/>
            <w:vAlign w:val="bottom"/>
          </w:tcPr>
          <w:p>
            <w:pPr>
              <w:spacing w:after="0"/>
              <w:rPr>
                <w:sz w:val="16"/>
                <w:szCs w:val="16"/>
                <w:color w:val="auto"/>
              </w:rPr>
            </w:pPr>
          </w:p>
        </w:tc>
      </w:tr>
      <w:tr>
        <w:trPr>
          <w:trHeight w:val="228"/>
        </w:trPr>
        <w:tc>
          <w:tcPr>
            <w:tcW w:w="5440" w:type="dxa"/>
            <w:vAlign w:val="bottom"/>
            <w:tcBorders>
              <w:top w:val="single" w:sz="8" w:color="231F20"/>
            </w:tcBorders>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Discount Rate</w:t>
            </w:r>
          </w:p>
        </w:tc>
        <w:tc>
          <w:tcPr>
            <w:tcW w:w="120" w:type="dxa"/>
            <w:vAlign w:val="bottom"/>
            <w:tcBorders>
              <w:top w:val="single" w:sz="8" w:color="E6E7E8"/>
            </w:tcBorders>
            <w:shd w:val="clear" w:color="auto" w:fill="E6E7E8"/>
          </w:tcPr>
          <w:p>
            <w:pPr>
              <w:spacing w:after="0"/>
              <w:rPr>
                <w:sz w:val="19"/>
                <w:szCs w:val="19"/>
                <w:color w:val="auto"/>
              </w:rPr>
            </w:pPr>
          </w:p>
        </w:tc>
        <w:tc>
          <w:tcPr>
            <w:tcW w:w="720" w:type="dxa"/>
            <w:vAlign w:val="bottom"/>
            <w:tcBorders>
              <w:top w:val="single" w:sz="8" w:color="E6E7E8"/>
            </w:tcBorders>
            <w:shd w:val="clear" w:color="auto" w:fill="E6E7E8"/>
          </w:tcPr>
          <w:p>
            <w:pPr>
              <w:spacing w:after="0"/>
              <w:rPr>
                <w:sz w:val="19"/>
                <w:szCs w:val="19"/>
                <w:color w:val="auto"/>
              </w:rPr>
            </w:pPr>
          </w:p>
        </w:tc>
        <w:tc>
          <w:tcPr>
            <w:tcW w:w="720" w:type="dxa"/>
            <w:vAlign w:val="bottom"/>
            <w:tcBorders>
              <w:top w:val="single" w:sz="8" w:color="E6E7E8"/>
            </w:tcBorders>
            <w:gridSpan w:val="2"/>
            <w:shd w:val="clear" w:color="auto" w:fill="E6E7E8"/>
          </w:tcPr>
          <w:p>
            <w:pPr>
              <w:jc w:val="right"/>
              <w:ind w:right="160"/>
              <w:spacing w:after="0"/>
              <w:rPr>
                <w:sz w:val="20"/>
                <w:szCs w:val="20"/>
                <w:color w:val="auto"/>
              </w:rPr>
            </w:pPr>
            <w:r>
              <w:rPr>
                <w:rFonts w:ascii="Times New Roman" w:cs="Times New Roman" w:eastAsia="Times New Roman" w:hAnsi="Times New Roman"/>
                <w:sz w:val="19"/>
                <w:szCs w:val="19"/>
                <w:b w:val="1"/>
                <w:bCs w:val="1"/>
                <w:color w:val="231F20"/>
              </w:rPr>
              <w:t>5.45%</w:t>
            </w:r>
          </w:p>
        </w:tc>
        <w:tc>
          <w:tcPr>
            <w:tcW w:w="1420" w:type="dxa"/>
            <w:vAlign w:val="bottom"/>
            <w:tcBorders>
              <w:top w:val="single" w:sz="8" w:color="E6E7E8"/>
            </w:tcBorders>
            <w:gridSpan w:val="2"/>
            <w:shd w:val="clear" w:color="auto" w:fill="E6E7E8"/>
          </w:tcPr>
          <w:p>
            <w:pPr>
              <w:jc w:val="right"/>
              <w:ind w:right="180"/>
              <w:spacing w:after="0"/>
              <w:rPr>
                <w:sz w:val="20"/>
                <w:szCs w:val="20"/>
                <w:color w:val="auto"/>
              </w:rPr>
            </w:pPr>
            <w:r>
              <w:rPr>
                <w:rFonts w:ascii="Times New Roman" w:cs="Times New Roman" w:eastAsia="Times New Roman" w:hAnsi="Times New Roman"/>
                <w:sz w:val="19"/>
                <w:szCs w:val="19"/>
                <w:color w:val="231F20"/>
              </w:rPr>
              <w:t>5.60%</w:t>
            </w:r>
          </w:p>
        </w:tc>
        <w:tc>
          <w:tcPr>
            <w:tcW w:w="1300" w:type="dxa"/>
            <w:vAlign w:val="bottom"/>
            <w:tcBorders>
              <w:top w:val="single" w:sz="8" w:color="E6E7E8"/>
            </w:tcBorders>
            <w:gridSpan w:val="2"/>
            <w:shd w:val="clear" w:color="auto" w:fill="E6E7E8"/>
          </w:tcPr>
          <w:p>
            <w:pPr>
              <w:jc w:val="right"/>
              <w:ind w:right="40"/>
              <w:spacing w:after="0"/>
              <w:rPr>
                <w:sz w:val="20"/>
                <w:szCs w:val="20"/>
                <w:color w:val="auto"/>
              </w:rPr>
            </w:pPr>
            <w:r>
              <w:rPr>
                <w:rFonts w:ascii="Times New Roman" w:cs="Times New Roman" w:eastAsia="Times New Roman" w:hAnsi="Times New Roman"/>
                <w:sz w:val="19"/>
                <w:szCs w:val="19"/>
                <w:color w:val="231F20"/>
              </w:rPr>
              <w:t>5.00%</w:t>
            </w:r>
          </w:p>
        </w:tc>
      </w:tr>
      <w:tr>
        <w:trPr>
          <w:trHeight w:val="261"/>
        </w:trPr>
        <w:tc>
          <w:tcPr>
            <w:tcW w:w="544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Rate of Compensation Increase</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b w:val="1"/>
                <w:bCs w:val="1"/>
                <w:color w:val="231F20"/>
              </w:rPr>
              <w:t>3.00%</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231F20"/>
              </w:rPr>
              <w:t>3.00%</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231F20"/>
              </w:rPr>
              <w:t>3.00%</w:t>
            </w:r>
          </w:p>
        </w:tc>
      </w:tr>
    </w:tbl>
    <w:p>
      <w:pPr>
        <w:spacing w:after="0" w:line="226" w:lineRule="exact"/>
        <w:rPr>
          <w:sz w:val="20"/>
          <w:szCs w:val="20"/>
          <w:color w:val="auto"/>
        </w:rPr>
      </w:pPr>
    </w:p>
    <w:p>
      <w:pPr>
        <w:ind w:firstLine="612"/>
        <w:spacing w:after="0" w:line="247" w:lineRule="auto"/>
        <w:rPr>
          <w:sz w:val="20"/>
          <w:szCs w:val="20"/>
          <w:color w:val="auto"/>
        </w:rPr>
      </w:pPr>
      <w:r>
        <w:rPr>
          <w:rFonts w:ascii="Times New Roman" w:cs="Times New Roman" w:eastAsia="Times New Roman" w:hAnsi="Times New Roman"/>
          <w:sz w:val="21"/>
          <w:szCs w:val="21"/>
          <w:color w:val="231F20"/>
        </w:rPr>
        <w:t>The health care cost trend rate used to determine plan costs for 2025 for pre-65 retirees is 8.50%, with an ultimate rate of 4.50% in 2034, and for post-65 retirees, the health care cost trend rate is 7.50%, with an ultimate rate of 4.50% in 2034. The health care cost trend rate used to determine plan costs for 2024 for pre-65 retirees was 8.00%, with an ultimate rate of 4.50% in 2033, and for post-65 retirees, the health care cost trend rate was 6.00%, with an ultimate rate of 4.50% in 2033. The health care cost trend rate used to determine plan costs for 2023 for pre-65 retirees was 8.00%, with an ultimate rate of 4.50% in 2030, and for post-65 retirees was 6.25%, with an ultimate rate of 4.50% in 2030.</w:t>
      </w:r>
    </w:p>
    <w:p>
      <w:pPr>
        <w:spacing w:after="0" w:line="199" w:lineRule="exact"/>
        <w:rPr>
          <w:sz w:val="20"/>
          <w:szCs w:val="20"/>
          <w:color w:val="auto"/>
        </w:rPr>
      </w:pPr>
    </w:p>
    <w:p>
      <w:pPr>
        <w:ind w:right="60" w:firstLine="612"/>
        <w:spacing w:after="0" w:line="246" w:lineRule="auto"/>
        <w:rPr>
          <w:sz w:val="20"/>
          <w:szCs w:val="20"/>
          <w:color w:val="auto"/>
        </w:rPr>
      </w:pPr>
      <w:r>
        <w:rPr>
          <w:rFonts w:ascii="Times New Roman" w:cs="Times New Roman" w:eastAsia="Times New Roman" w:hAnsi="Times New Roman"/>
          <w:sz w:val="21"/>
          <w:szCs w:val="21"/>
          <w:color w:val="231F20"/>
        </w:rPr>
        <w:t>The health care cost trend rate used to determine benefit obligations at December 31, 2025 for pre-65 retirees is 8.05%, with an ultimate rate of 4.50% in 2034, and for post-65 retirees, the health care cost trend rate is 7.15%, with an ultimate rate of 4.50% in 2034. The health care cost trend rate used to determine benefit obligations at December 31, 2024 for pre-65 retirees was 8.50%, with an ultimate rate of 4.50% in 2034, and for post-65 retirees, the health care cost trend rate was 7.50%, with an ultimate rate of 4.50% in 2034. The health care cost trend rate used to determine benefit obligations at December 31, 2023 for pre-65 retirees was 8.00%, with an ultimate rate of 4.50% in 2033, and for post-65 retirees, the health care cost trend rate was 6.00%, with an ultimate rate of 4.50% in 2033.</w:t>
      </w:r>
    </w:p>
    <w:p>
      <w:pPr>
        <w:spacing w:after="0" w:line="198" w:lineRule="exact"/>
        <w:rPr>
          <w:sz w:val="20"/>
          <w:szCs w:val="20"/>
          <w:color w:val="auto"/>
        </w:rPr>
      </w:pPr>
    </w:p>
    <w:p>
      <w:pPr>
        <w:ind w:right="60" w:firstLine="612"/>
        <w:spacing w:after="0" w:line="249" w:lineRule="auto"/>
        <w:rPr>
          <w:sz w:val="20"/>
          <w:szCs w:val="20"/>
          <w:color w:val="auto"/>
        </w:rPr>
      </w:pPr>
      <w:r>
        <w:rPr>
          <w:rFonts w:ascii="Times New Roman" w:cs="Times New Roman" w:eastAsia="Times New Roman" w:hAnsi="Times New Roman"/>
          <w:sz w:val="21"/>
          <w:szCs w:val="21"/>
          <w:color w:val="231F20"/>
        </w:rPr>
        <w:t>The Discount Rate assumptions used in determining retirement plan costs and retirement plan obligations are based on an assessment of current market conditions using high quality corporate bond interest rate indices and pension yield curves. For 2025, a change in the discount rate of 0.25% would have resulted in an increase or decrease of approximately $428,700 in the Net Periodic Benefit Cost (NPBC). The Rate of Compensation Increase assumption used for 2025 was based on the expected long-term increase in compensation costs for personnel covered by the plans.</w:t>
      </w:r>
    </w:p>
    <w:p>
      <w:pPr>
        <w:sectPr>
          <w:pgSz w:w="12240" w:h="15840" w:orient="portrait"/>
          <w:cols w:equalWidth="0" w:num="1">
            <w:col w:w="10780"/>
          </w:cols>
          <w:pgMar w:left="720" w:top="928" w:right="74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86</w:t>
      </w:r>
    </w:p>
    <w:p>
      <w:pPr>
        <w:sectPr>
          <w:pgSz w:w="12240" w:h="15840" w:orient="portrait"/>
          <w:cols w:equalWidth="0" w:num="1">
            <w:col w:w="10780"/>
          </w:cols>
          <w:pgMar w:left="720" w:top="928" w:right="740" w:bottom="188" w:gutter="0" w:footer="0" w:header="0"/>
          <w:type w:val="continuous"/>
        </w:sectPr>
      </w:pPr>
    </w:p>
    <w:bookmarkStart w:id="106" w:name="page107"/>
    <w:bookmarkEnd w:id="106"/>
    <w:p>
      <w:pPr>
        <w:ind w:left="620"/>
        <w:spacing w:after="0"/>
        <w:rPr>
          <w:sz w:val="20"/>
          <w:szCs w:val="20"/>
          <w:color w:val="auto"/>
        </w:rPr>
      </w:pPr>
      <w:r>
        <w:rPr>
          <w:rFonts w:ascii="Times New Roman" w:cs="Times New Roman" w:eastAsia="Times New Roman" w:hAnsi="Times New Roman"/>
          <w:sz w:val="21"/>
          <w:szCs w:val="21"/>
          <w:color w:val="231F20"/>
        </w:rPr>
        <w:t>The following table provides the components of the Company’s Retirement plan costs (000’s):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4"/>
          </w:tcPr>
          <w:p>
            <w:pPr>
              <w:jc w:val="right"/>
              <w:ind w:right="160"/>
              <w:spacing w:after="0"/>
              <w:rPr>
                <w:sz w:val="20"/>
                <w:szCs w:val="20"/>
                <w:color w:val="auto"/>
              </w:rPr>
            </w:pPr>
            <w:r>
              <w:rPr>
                <w:rFonts w:ascii="Times New Roman" w:cs="Times New Roman" w:eastAsia="Times New Roman" w:hAnsi="Times New Roman"/>
                <w:sz w:val="15"/>
                <w:szCs w:val="15"/>
                <w:b w:val="1"/>
                <w:bCs w:val="1"/>
                <w:color w:val="231F20"/>
              </w:rPr>
              <w:t>Pension Plan</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5"/>
                <w:szCs w:val="15"/>
                <w:b w:val="1"/>
                <w:bCs w:val="1"/>
                <w:color w:val="231F20"/>
              </w:rPr>
              <w:t>PBOP Plan</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b w:val="1"/>
                <w:bCs w:val="1"/>
                <w:color w:val="231F20"/>
              </w:rPr>
              <w:t>SERP</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0"/>
        </w:trPr>
        <w:tc>
          <w:tcPr>
            <w:tcW w:w="2600" w:type="dxa"/>
            <w:vAlign w:val="bottom"/>
          </w:tcPr>
          <w:p>
            <w:pPr>
              <w:spacing w:after="0"/>
              <w:rPr>
                <w:sz w:val="16"/>
                <w:szCs w:val="16"/>
                <w:color w:val="auto"/>
              </w:rPr>
            </w:pPr>
          </w:p>
        </w:tc>
        <w:tc>
          <w:tcPr>
            <w:tcW w:w="120" w:type="dxa"/>
            <w:vAlign w:val="bottom"/>
            <w:tcBorders>
              <w:bottom w:val="single" w:sz="8" w:color="231F20"/>
            </w:tcBorders>
          </w:tcPr>
          <w:p>
            <w:pPr>
              <w:spacing w:after="0"/>
              <w:rPr>
                <w:sz w:val="16"/>
                <w:szCs w:val="16"/>
                <w:color w:val="auto"/>
              </w:rPr>
            </w:pPr>
          </w:p>
        </w:tc>
        <w:tc>
          <w:tcPr>
            <w:tcW w:w="600" w:type="dxa"/>
            <w:vAlign w:val="bottom"/>
            <w:tcBorders>
              <w:bottom w:val="single" w:sz="8" w:color="231F20"/>
            </w:tcBorders>
          </w:tcPr>
          <w:p>
            <w:pPr>
              <w:jc w:val="right"/>
              <w:ind w:right="132"/>
              <w:spacing w:after="0"/>
              <w:rPr>
                <w:sz w:val="20"/>
                <w:szCs w:val="20"/>
                <w:color w:val="auto"/>
              </w:rPr>
            </w:pPr>
            <w:r>
              <w:rPr>
                <w:rFonts w:ascii="Times New Roman" w:cs="Times New Roman" w:eastAsia="Times New Roman" w:hAnsi="Times New Roman"/>
                <w:sz w:val="15"/>
                <w:szCs w:val="15"/>
                <w:b w:val="1"/>
                <w:bCs w:val="1"/>
                <w:color w:val="231F20"/>
              </w:rPr>
              <w:t>2025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231F20"/>
            </w:tcBorders>
          </w:tcPr>
          <w:p>
            <w:pPr>
              <w:spacing w:after="0"/>
              <w:rPr>
                <w:sz w:val="16"/>
                <w:szCs w:val="16"/>
                <w:color w:val="auto"/>
              </w:rPr>
            </w:pPr>
          </w:p>
        </w:tc>
        <w:tc>
          <w:tcPr>
            <w:tcW w:w="600" w:type="dxa"/>
            <w:vAlign w:val="bottom"/>
            <w:tcBorders>
              <w:bottom w:val="single" w:sz="8" w:color="231F20"/>
            </w:tcBorders>
          </w:tcPr>
          <w:p>
            <w:pPr>
              <w:jc w:val="right"/>
              <w:ind w:right="132"/>
              <w:spacing w:after="0"/>
              <w:rPr>
                <w:sz w:val="20"/>
                <w:szCs w:val="20"/>
                <w:color w:val="auto"/>
              </w:rPr>
            </w:pPr>
            <w:r>
              <w:rPr>
                <w:rFonts w:ascii="Times New Roman" w:cs="Times New Roman" w:eastAsia="Times New Roman" w:hAnsi="Times New Roman"/>
                <w:sz w:val="15"/>
                <w:szCs w:val="15"/>
                <w:b w:val="1"/>
                <w:bCs w:val="1"/>
                <w:color w:val="231F20"/>
              </w:rPr>
              <w:t>2024</w:t>
            </w:r>
          </w:p>
        </w:tc>
        <w:tc>
          <w:tcPr>
            <w:tcW w:w="200" w:type="dxa"/>
            <w:vAlign w:val="bottom"/>
          </w:tcPr>
          <w:p>
            <w:pPr>
              <w:spacing w:after="0"/>
              <w:rPr>
                <w:sz w:val="16"/>
                <w:szCs w:val="16"/>
                <w:color w:val="auto"/>
              </w:rPr>
            </w:pPr>
          </w:p>
        </w:tc>
        <w:tc>
          <w:tcPr>
            <w:tcW w:w="120" w:type="dxa"/>
            <w:vAlign w:val="bottom"/>
            <w:tcBorders>
              <w:bottom w:val="single" w:sz="8" w:color="231F20"/>
            </w:tcBorders>
          </w:tcPr>
          <w:p>
            <w:pPr>
              <w:spacing w:after="0"/>
              <w:rPr>
                <w:sz w:val="16"/>
                <w:szCs w:val="16"/>
                <w:color w:val="auto"/>
              </w:rPr>
            </w:pPr>
          </w:p>
        </w:tc>
        <w:tc>
          <w:tcPr>
            <w:tcW w:w="600" w:type="dxa"/>
            <w:vAlign w:val="bottom"/>
            <w:tcBorders>
              <w:bottom w:val="single" w:sz="8" w:color="231F20"/>
            </w:tcBorders>
          </w:tcPr>
          <w:p>
            <w:pPr>
              <w:jc w:val="right"/>
              <w:ind w:right="132"/>
              <w:spacing w:after="0"/>
              <w:rPr>
                <w:sz w:val="20"/>
                <w:szCs w:val="20"/>
                <w:color w:val="auto"/>
              </w:rPr>
            </w:pPr>
            <w:r>
              <w:rPr>
                <w:rFonts w:ascii="Times New Roman" w:cs="Times New Roman" w:eastAsia="Times New Roman" w:hAnsi="Times New Roman"/>
                <w:sz w:val="15"/>
                <w:szCs w:val="15"/>
                <w:b w:val="1"/>
                <w:bCs w:val="1"/>
                <w:color w:val="231F20"/>
              </w:rPr>
              <w:t>2023</w:t>
            </w:r>
          </w:p>
        </w:tc>
        <w:tc>
          <w:tcPr>
            <w:tcW w:w="220" w:type="dxa"/>
            <w:vAlign w:val="bottom"/>
          </w:tcPr>
          <w:p>
            <w:pPr>
              <w:spacing w:after="0"/>
              <w:rPr>
                <w:sz w:val="16"/>
                <w:szCs w:val="16"/>
                <w:color w:val="auto"/>
              </w:rPr>
            </w:pPr>
          </w:p>
        </w:tc>
        <w:tc>
          <w:tcPr>
            <w:tcW w:w="140" w:type="dxa"/>
            <w:vAlign w:val="bottom"/>
            <w:tcBorders>
              <w:bottom w:val="single" w:sz="8" w:color="231F20"/>
            </w:tcBorders>
          </w:tcPr>
          <w:p>
            <w:pPr>
              <w:spacing w:after="0"/>
              <w:rPr>
                <w:sz w:val="16"/>
                <w:szCs w:val="16"/>
                <w:color w:val="auto"/>
              </w:rPr>
            </w:pPr>
          </w:p>
        </w:tc>
        <w:tc>
          <w:tcPr>
            <w:tcW w:w="580" w:type="dxa"/>
            <w:vAlign w:val="bottom"/>
            <w:tcBorders>
              <w:bottom w:val="single" w:sz="8" w:color="231F20"/>
            </w:tcBorders>
          </w:tcPr>
          <w:p>
            <w:pPr>
              <w:jc w:val="right"/>
              <w:ind w:right="132"/>
              <w:spacing w:after="0"/>
              <w:rPr>
                <w:sz w:val="20"/>
                <w:szCs w:val="20"/>
                <w:color w:val="auto"/>
              </w:rPr>
            </w:pPr>
            <w:r>
              <w:rPr>
                <w:rFonts w:ascii="Times New Roman" w:cs="Times New Roman" w:eastAsia="Times New Roman" w:hAnsi="Times New Roman"/>
                <w:sz w:val="15"/>
                <w:szCs w:val="15"/>
                <w:b w:val="1"/>
                <w:bCs w:val="1"/>
                <w:color w:val="231F20"/>
              </w:rPr>
              <w:t>2025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231F20"/>
            </w:tcBorders>
          </w:tcPr>
          <w:p>
            <w:pPr>
              <w:spacing w:after="0"/>
              <w:rPr>
                <w:sz w:val="16"/>
                <w:szCs w:val="16"/>
                <w:color w:val="auto"/>
              </w:rPr>
            </w:pPr>
          </w:p>
        </w:tc>
        <w:tc>
          <w:tcPr>
            <w:tcW w:w="580" w:type="dxa"/>
            <w:vAlign w:val="bottom"/>
            <w:tcBorders>
              <w:bottom w:val="single" w:sz="8" w:color="231F20"/>
            </w:tcBorders>
          </w:tcPr>
          <w:p>
            <w:pPr>
              <w:jc w:val="right"/>
              <w:ind w:right="132"/>
              <w:spacing w:after="0"/>
              <w:rPr>
                <w:sz w:val="20"/>
                <w:szCs w:val="20"/>
                <w:color w:val="auto"/>
              </w:rPr>
            </w:pPr>
            <w:r>
              <w:rPr>
                <w:rFonts w:ascii="Times New Roman" w:cs="Times New Roman" w:eastAsia="Times New Roman" w:hAnsi="Times New Roman"/>
                <w:sz w:val="15"/>
                <w:szCs w:val="15"/>
                <w:b w:val="1"/>
                <w:bCs w:val="1"/>
                <w:color w:val="231F20"/>
              </w:rPr>
              <w:t>2024</w:t>
            </w:r>
          </w:p>
        </w:tc>
        <w:tc>
          <w:tcPr>
            <w:tcW w:w="200" w:type="dxa"/>
            <w:vAlign w:val="bottom"/>
          </w:tcPr>
          <w:p>
            <w:pPr>
              <w:spacing w:after="0"/>
              <w:rPr>
                <w:sz w:val="16"/>
                <w:szCs w:val="16"/>
                <w:color w:val="auto"/>
              </w:rPr>
            </w:pPr>
          </w:p>
        </w:tc>
        <w:tc>
          <w:tcPr>
            <w:tcW w:w="160" w:type="dxa"/>
            <w:vAlign w:val="bottom"/>
            <w:tcBorders>
              <w:bottom w:val="single" w:sz="8" w:color="231F20"/>
            </w:tcBorders>
          </w:tcPr>
          <w:p>
            <w:pPr>
              <w:spacing w:after="0"/>
              <w:rPr>
                <w:sz w:val="16"/>
                <w:szCs w:val="16"/>
                <w:color w:val="auto"/>
              </w:rPr>
            </w:pPr>
          </w:p>
        </w:tc>
        <w:tc>
          <w:tcPr>
            <w:tcW w:w="560" w:type="dxa"/>
            <w:vAlign w:val="bottom"/>
            <w:tcBorders>
              <w:bottom w:val="single" w:sz="8" w:color="231F20"/>
            </w:tcBorders>
          </w:tcPr>
          <w:p>
            <w:pPr>
              <w:jc w:val="right"/>
              <w:ind w:right="132"/>
              <w:spacing w:after="0"/>
              <w:rPr>
                <w:sz w:val="20"/>
                <w:szCs w:val="20"/>
                <w:color w:val="auto"/>
              </w:rPr>
            </w:pPr>
            <w:r>
              <w:rPr>
                <w:rFonts w:ascii="Times New Roman" w:cs="Times New Roman" w:eastAsia="Times New Roman" w:hAnsi="Times New Roman"/>
                <w:sz w:val="15"/>
                <w:szCs w:val="15"/>
                <w:b w:val="1"/>
                <w:bCs w:val="1"/>
                <w:color w:val="231F20"/>
              </w:rPr>
              <w:t>2023</w:t>
            </w:r>
          </w:p>
        </w:tc>
        <w:tc>
          <w:tcPr>
            <w:tcW w:w="200" w:type="dxa"/>
            <w:vAlign w:val="bottom"/>
          </w:tcPr>
          <w:p>
            <w:pPr>
              <w:spacing w:after="0"/>
              <w:rPr>
                <w:sz w:val="16"/>
                <w:szCs w:val="16"/>
                <w:color w:val="auto"/>
              </w:rPr>
            </w:pPr>
          </w:p>
        </w:tc>
        <w:tc>
          <w:tcPr>
            <w:tcW w:w="160" w:type="dxa"/>
            <w:vAlign w:val="bottom"/>
            <w:tcBorders>
              <w:bottom w:val="single" w:sz="8" w:color="231F20"/>
            </w:tcBorders>
          </w:tcPr>
          <w:p>
            <w:pPr>
              <w:spacing w:after="0"/>
              <w:rPr>
                <w:sz w:val="16"/>
                <w:szCs w:val="16"/>
                <w:color w:val="auto"/>
              </w:rPr>
            </w:pPr>
          </w:p>
        </w:tc>
        <w:tc>
          <w:tcPr>
            <w:tcW w:w="580" w:type="dxa"/>
            <w:vAlign w:val="bottom"/>
            <w:tcBorders>
              <w:bottom w:val="single" w:sz="8" w:color="231F20"/>
            </w:tcBorders>
          </w:tcPr>
          <w:p>
            <w:pPr>
              <w:jc w:val="right"/>
              <w:ind w:right="132"/>
              <w:spacing w:after="0"/>
              <w:rPr>
                <w:sz w:val="20"/>
                <w:szCs w:val="20"/>
                <w:color w:val="auto"/>
              </w:rPr>
            </w:pPr>
            <w:r>
              <w:rPr>
                <w:rFonts w:ascii="Times New Roman" w:cs="Times New Roman" w:eastAsia="Times New Roman" w:hAnsi="Times New Roman"/>
                <w:sz w:val="15"/>
                <w:szCs w:val="15"/>
                <w:b w:val="1"/>
                <w:bCs w:val="1"/>
                <w:color w:val="231F20"/>
              </w:rPr>
              <w:t>2025</w:t>
            </w:r>
          </w:p>
        </w:tc>
        <w:tc>
          <w:tcPr>
            <w:tcW w:w="200" w:type="dxa"/>
            <w:vAlign w:val="bottom"/>
          </w:tcPr>
          <w:p>
            <w:pPr>
              <w:spacing w:after="0"/>
              <w:rPr>
                <w:sz w:val="16"/>
                <w:szCs w:val="16"/>
                <w:color w:val="auto"/>
              </w:rPr>
            </w:pPr>
          </w:p>
        </w:tc>
        <w:tc>
          <w:tcPr>
            <w:tcW w:w="120" w:type="dxa"/>
            <w:vAlign w:val="bottom"/>
            <w:tcBorders>
              <w:bottom w:val="single" w:sz="8" w:color="231F20"/>
            </w:tcBorders>
          </w:tcPr>
          <w:p>
            <w:pPr>
              <w:spacing w:after="0"/>
              <w:rPr>
                <w:sz w:val="16"/>
                <w:szCs w:val="16"/>
                <w:color w:val="auto"/>
              </w:rPr>
            </w:pPr>
          </w:p>
        </w:tc>
        <w:tc>
          <w:tcPr>
            <w:tcW w:w="600" w:type="dxa"/>
            <w:vAlign w:val="bottom"/>
            <w:tcBorders>
              <w:bottom w:val="single" w:sz="8" w:color="231F20"/>
            </w:tcBorders>
          </w:tcPr>
          <w:p>
            <w:pPr>
              <w:jc w:val="right"/>
              <w:ind w:right="133"/>
              <w:spacing w:after="0"/>
              <w:rPr>
                <w:sz w:val="20"/>
                <w:szCs w:val="20"/>
                <w:color w:val="auto"/>
              </w:rPr>
            </w:pPr>
            <w:r>
              <w:rPr>
                <w:rFonts w:ascii="Times New Roman" w:cs="Times New Roman" w:eastAsia="Times New Roman" w:hAnsi="Times New Roman"/>
                <w:sz w:val="15"/>
                <w:szCs w:val="15"/>
                <w:b w:val="1"/>
                <w:bCs w:val="1"/>
                <w:color w:val="231F20"/>
              </w:rPr>
              <w:t>2024</w:t>
            </w:r>
          </w:p>
        </w:tc>
        <w:tc>
          <w:tcPr>
            <w:tcW w:w="200" w:type="dxa"/>
            <w:vAlign w:val="bottom"/>
          </w:tcPr>
          <w:p>
            <w:pPr>
              <w:spacing w:after="0"/>
              <w:rPr>
                <w:sz w:val="16"/>
                <w:szCs w:val="16"/>
                <w:color w:val="auto"/>
              </w:rPr>
            </w:pPr>
          </w:p>
        </w:tc>
        <w:tc>
          <w:tcPr>
            <w:tcW w:w="140" w:type="dxa"/>
            <w:vAlign w:val="bottom"/>
            <w:tcBorders>
              <w:bottom w:val="single" w:sz="8" w:color="231F20"/>
            </w:tcBorders>
          </w:tcPr>
          <w:p>
            <w:pPr>
              <w:spacing w:after="0"/>
              <w:rPr>
                <w:sz w:val="16"/>
                <w:szCs w:val="16"/>
                <w:color w:val="auto"/>
              </w:rPr>
            </w:pPr>
          </w:p>
        </w:tc>
        <w:tc>
          <w:tcPr>
            <w:tcW w:w="580" w:type="dxa"/>
            <w:vAlign w:val="bottom"/>
            <w:tcBorders>
              <w:bottom w:val="single" w:sz="8" w:color="231F20"/>
            </w:tcBorders>
          </w:tcPr>
          <w:p>
            <w:pPr>
              <w:jc w:val="right"/>
              <w:ind w:right="132"/>
              <w:spacing w:after="0"/>
              <w:rPr>
                <w:sz w:val="20"/>
                <w:szCs w:val="20"/>
                <w:color w:val="auto"/>
              </w:rPr>
            </w:pPr>
            <w:r>
              <w:rPr>
                <w:rFonts w:ascii="Times New Roman" w:cs="Times New Roman" w:eastAsia="Times New Roman" w:hAnsi="Times New Roman"/>
                <w:sz w:val="15"/>
                <w:szCs w:val="15"/>
                <w:b w:val="1"/>
                <w:bCs w:val="1"/>
                <w:color w:val="231F20"/>
              </w:rPr>
              <w:t>2023</w:t>
            </w:r>
          </w:p>
        </w:tc>
        <w:tc>
          <w:tcPr>
            <w:tcW w:w="80" w:type="dxa"/>
            <w:vAlign w:val="bottom"/>
          </w:tcPr>
          <w:p>
            <w:pPr>
              <w:spacing w:after="0"/>
              <w:rPr>
                <w:sz w:val="16"/>
                <w:szCs w:val="16"/>
                <w:color w:val="auto"/>
              </w:rPr>
            </w:pPr>
          </w:p>
        </w:tc>
      </w:tr>
      <w:tr>
        <w:trPr>
          <w:trHeight w:val="181"/>
        </w:trPr>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1"/>
        </w:trPr>
        <w:tc>
          <w:tcPr>
            <w:tcW w:w="2600" w:type="dxa"/>
            <w:vAlign w:val="bottom"/>
            <w:shd w:val="clear" w:color="auto" w:fill="E6E7E8"/>
          </w:tcPr>
          <w:p>
            <w:pPr>
              <w:spacing w:after="0"/>
              <w:rPr>
                <w:sz w:val="20"/>
                <w:szCs w:val="20"/>
                <w:color w:val="auto"/>
              </w:rPr>
            </w:pPr>
            <w:r>
              <w:rPr>
                <w:rFonts w:ascii="Times New Roman" w:cs="Times New Roman" w:eastAsia="Times New Roman" w:hAnsi="Times New Roman"/>
                <w:sz w:val="18"/>
                <w:szCs w:val="18"/>
                <w:color w:val="231F20"/>
              </w:rPr>
              <w:t>Service Cost</w:t>
            </w:r>
          </w:p>
        </w:tc>
        <w:tc>
          <w:tcPr>
            <w:tcW w:w="1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6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1,743</w:t>
            </w:r>
          </w:p>
        </w:tc>
        <w:tc>
          <w:tcPr>
            <w:tcW w:w="100" w:type="dxa"/>
            <w:vAlign w:val="bottom"/>
            <w:shd w:val="clear" w:color="auto" w:fill="E6E7E8"/>
          </w:tcPr>
          <w:p>
            <w:pPr>
              <w:spacing w:after="0"/>
              <w:rPr>
                <w:sz w:val="19"/>
                <w:szCs w:val="19"/>
                <w:color w:val="auto"/>
              </w:rPr>
            </w:pPr>
          </w:p>
        </w:tc>
        <w:tc>
          <w:tcPr>
            <w:tcW w:w="220" w:type="dxa"/>
            <w:vAlign w:val="bottom"/>
            <w:gridSpan w:val="2"/>
            <w:shd w:val="clear" w:color="auto" w:fill="E6E7E8"/>
          </w:tcPr>
          <w:p>
            <w:pPr>
              <w:jc w:val="right"/>
              <w:ind w:right="40"/>
              <w:spacing w:after="0"/>
              <w:rPr>
                <w:sz w:val="20"/>
                <w:szCs w:val="20"/>
                <w:color w:val="auto"/>
              </w:rPr>
            </w:pPr>
            <w:r>
              <w:rPr>
                <w:rFonts w:ascii="Times New Roman" w:cs="Times New Roman" w:eastAsia="Times New Roman" w:hAnsi="Times New Roman"/>
                <w:sz w:val="18"/>
                <w:szCs w:val="18"/>
                <w:color w:val="231F20"/>
              </w:rPr>
              <w:t>$</w:t>
            </w:r>
          </w:p>
        </w:tc>
        <w:tc>
          <w:tcPr>
            <w:tcW w:w="6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1,990</w:t>
            </w:r>
          </w:p>
        </w:tc>
        <w:tc>
          <w:tcPr>
            <w:tcW w:w="200" w:type="dxa"/>
            <w:vAlign w:val="bottom"/>
            <w:shd w:val="clear" w:color="auto" w:fill="E6E7E8"/>
          </w:tcPr>
          <w:p>
            <w:pPr>
              <w:spacing w:after="0"/>
              <w:rPr>
                <w:sz w:val="19"/>
                <w:szCs w:val="19"/>
                <w:color w:val="auto"/>
              </w:rPr>
            </w:pPr>
          </w:p>
        </w:tc>
        <w:tc>
          <w:tcPr>
            <w:tcW w:w="1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6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2,091</w:t>
            </w:r>
          </w:p>
        </w:tc>
        <w:tc>
          <w:tcPr>
            <w:tcW w:w="220" w:type="dxa"/>
            <w:vAlign w:val="bottom"/>
            <w:shd w:val="clear" w:color="auto" w:fill="E6E7E8"/>
          </w:tcPr>
          <w:p>
            <w:pPr>
              <w:spacing w:after="0"/>
              <w:rPr>
                <w:sz w:val="19"/>
                <w:szCs w:val="19"/>
                <w:color w:val="auto"/>
              </w:rPr>
            </w:pPr>
          </w:p>
        </w:tc>
        <w:tc>
          <w:tcPr>
            <w:tcW w:w="14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5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2,006</w:t>
            </w:r>
          </w:p>
        </w:tc>
        <w:tc>
          <w:tcPr>
            <w:tcW w:w="120" w:type="dxa"/>
            <w:vAlign w:val="bottom"/>
            <w:shd w:val="clear" w:color="auto" w:fill="E6E7E8"/>
          </w:tcPr>
          <w:p>
            <w:pPr>
              <w:spacing w:after="0"/>
              <w:rPr>
                <w:sz w:val="19"/>
                <w:szCs w:val="19"/>
                <w:color w:val="auto"/>
              </w:rPr>
            </w:pPr>
          </w:p>
        </w:tc>
        <w:tc>
          <w:tcPr>
            <w:tcW w:w="220" w:type="dxa"/>
            <w:vAlign w:val="bottom"/>
            <w:gridSpan w:val="2"/>
            <w:shd w:val="clear" w:color="auto" w:fill="E6E7E8"/>
          </w:tcPr>
          <w:p>
            <w:pPr>
              <w:ind w:left="80"/>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1,988</w:t>
            </w:r>
          </w:p>
        </w:tc>
        <w:tc>
          <w:tcPr>
            <w:tcW w:w="200" w:type="dxa"/>
            <w:vAlign w:val="bottom"/>
            <w:shd w:val="clear" w:color="auto" w:fill="E6E7E8"/>
          </w:tcPr>
          <w:p>
            <w:pPr>
              <w:spacing w:after="0"/>
              <w:rPr>
                <w:sz w:val="19"/>
                <w:szCs w:val="19"/>
                <w:color w:val="auto"/>
              </w:rPr>
            </w:pPr>
          </w:p>
        </w:tc>
        <w:tc>
          <w:tcPr>
            <w:tcW w:w="1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5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1,493</w:t>
            </w:r>
          </w:p>
        </w:tc>
        <w:tc>
          <w:tcPr>
            <w:tcW w:w="200" w:type="dxa"/>
            <w:vAlign w:val="bottom"/>
            <w:shd w:val="clear" w:color="auto" w:fill="E6E7E8"/>
          </w:tcPr>
          <w:p>
            <w:pPr>
              <w:spacing w:after="0"/>
              <w:rPr>
                <w:sz w:val="19"/>
                <w:szCs w:val="19"/>
                <w:color w:val="auto"/>
              </w:rPr>
            </w:pPr>
          </w:p>
        </w:tc>
        <w:tc>
          <w:tcPr>
            <w:tcW w:w="1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w w:val="88"/>
              </w:rPr>
              <w:t>$</w:t>
            </w:r>
          </w:p>
        </w:tc>
        <w:tc>
          <w:tcPr>
            <w:tcW w:w="5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158</w:t>
            </w:r>
          </w:p>
        </w:tc>
        <w:tc>
          <w:tcPr>
            <w:tcW w:w="200" w:type="dxa"/>
            <w:vAlign w:val="bottom"/>
            <w:shd w:val="clear" w:color="auto" w:fill="E6E7E8"/>
          </w:tcPr>
          <w:p>
            <w:pPr>
              <w:spacing w:after="0"/>
              <w:rPr>
                <w:sz w:val="19"/>
                <w:szCs w:val="19"/>
                <w:color w:val="auto"/>
              </w:rPr>
            </w:pPr>
          </w:p>
        </w:tc>
        <w:tc>
          <w:tcPr>
            <w:tcW w:w="1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6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216</w:t>
            </w:r>
          </w:p>
        </w:tc>
        <w:tc>
          <w:tcPr>
            <w:tcW w:w="200" w:type="dxa"/>
            <w:vAlign w:val="bottom"/>
            <w:shd w:val="clear" w:color="auto" w:fill="E6E7E8"/>
          </w:tcPr>
          <w:p>
            <w:pPr>
              <w:spacing w:after="0"/>
              <w:rPr>
                <w:sz w:val="19"/>
                <w:szCs w:val="19"/>
                <w:color w:val="auto"/>
              </w:rPr>
            </w:pPr>
          </w:p>
        </w:tc>
        <w:tc>
          <w:tcPr>
            <w:tcW w:w="14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250</w:t>
            </w:r>
          </w:p>
        </w:tc>
        <w:tc>
          <w:tcPr>
            <w:tcW w:w="80" w:type="dxa"/>
            <w:vAlign w:val="bottom"/>
            <w:shd w:val="clear" w:color="auto" w:fill="E6E7E8"/>
          </w:tcPr>
          <w:p>
            <w:pPr>
              <w:spacing w:after="0"/>
              <w:rPr>
                <w:sz w:val="19"/>
                <w:szCs w:val="19"/>
                <w:color w:val="auto"/>
              </w:rPr>
            </w:pPr>
          </w:p>
        </w:tc>
      </w:tr>
      <w:tr>
        <w:trPr>
          <w:trHeight w:val="221"/>
        </w:trPr>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2600" w:type="dxa"/>
            <w:vAlign w:val="bottom"/>
            <w:shd w:val="clear" w:color="auto" w:fill="E6E7E8"/>
          </w:tcPr>
          <w:p>
            <w:pPr>
              <w:spacing w:after="0"/>
              <w:rPr>
                <w:sz w:val="20"/>
                <w:szCs w:val="20"/>
                <w:color w:val="auto"/>
              </w:rPr>
            </w:pPr>
            <w:r>
              <w:rPr>
                <w:rFonts w:ascii="Times New Roman" w:cs="Times New Roman" w:eastAsia="Times New Roman" w:hAnsi="Times New Roman"/>
                <w:sz w:val="18"/>
                <w:szCs w:val="18"/>
                <w:color w:val="231F20"/>
              </w:rPr>
              <w:t>Interest Cost</w:t>
            </w:r>
          </w:p>
        </w:tc>
        <w:tc>
          <w:tcPr>
            <w:tcW w:w="120" w:type="dxa"/>
            <w:vAlign w:val="bottom"/>
            <w:shd w:val="clear" w:color="auto" w:fill="E6E7E8"/>
          </w:tcPr>
          <w:p>
            <w:pPr>
              <w:spacing w:after="0"/>
              <w:rPr>
                <w:sz w:val="19"/>
                <w:szCs w:val="19"/>
                <w:color w:val="auto"/>
              </w:rPr>
            </w:pPr>
          </w:p>
        </w:tc>
        <w:tc>
          <w:tcPr>
            <w:tcW w:w="6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8,065</w:t>
            </w:r>
          </w:p>
        </w:tc>
        <w:tc>
          <w:tcPr>
            <w:tcW w:w="10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6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7,546</w:t>
            </w:r>
          </w:p>
        </w:tc>
        <w:tc>
          <w:tcPr>
            <w:tcW w:w="20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6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7,480</w:t>
            </w:r>
          </w:p>
        </w:tc>
        <w:tc>
          <w:tcPr>
            <w:tcW w:w="220" w:type="dxa"/>
            <w:vAlign w:val="bottom"/>
            <w:shd w:val="clear" w:color="auto" w:fill="E6E7E8"/>
          </w:tcPr>
          <w:p>
            <w:pPr>
              <w:spacing w:after="0"/>
              <w:rPr>
                <w:sz w:val="19"/>
                <w:szCs w:val="19"/>
                <w:color w:val="auto"/>
              </w:rPr>
            </w:pPr>
          </w:p>
        </w:tc>
        <w:tc>
          <w:tcPr>
            <w:tcW w:w="140" w:type="dxa"/>
            <w:vAlign w:val="bottom"/>
            <w:shd w:val="clear" w:color="auto" w:fill="E6E7E8"/>
          </w:tcPr>
          <w:p>
            <w:pPr>
              <w:spacing w:after="0"/>
              <w:rPr>
                <w:sz w:val="19"/>
                <w:szCs w:val="19"/>
                <w:color w:val="auto"/>
              </w:rPr>
            </w:pPr>
          </w:p>
        </w:tc>
        <w:tc>
          <w:tcPr>
            <w:tcW w:w="5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3,967</w:t>
            </w:r>
          </w:p>
        </w:tc>
        <w:tc>
          <w:tcPr>
            <w:tcW w:w="120" w:type="dxa"/>
            <w:vAlign w:val="bottom"/>
            <w:shd w:val="clear" w:color="auto" w:fill="E6E7E8"/>
          </w:tcPr>
          <w:p>
            <w:pPr>
              <w:spacing w:after="0"/>
              <w:rPr>
                <w:sz w:val="19"/>
                <w:szCs w:val="19"/>
                <w:color w:val="auto"/>
              </w:rPr>
            </w:pPr>
          </w:p>
        </w:tc>
        <w:tc>
          <w:tcPr>
            <w:tcW w:w="80" w:type="dxa"/>
            <w:vAlign w:val="bottom"/>
            <w:shd w:val="clear" w:color="auto" w:fill="E6E7E8"/>
          </w:tcPr>
          <w:p>
            <w:pPr>
              <w:spacing w:after="0"/>
              <w:rPr>
                <w:sz w:val="19"/>
                <w:szCs w:val="19"/>
                <w:color w:val="auto"/>
              </w:rPr>
            </w:pPr>
          </w:p>
        </w:tc>
        <w:tc>
          <w:tcPr>
            <w:tcW w:w="140" w:type="dxa"/>
            <w:vAlign w:val="bottom"/>
            <w:shd w:val="clear" w:color="auto" w:fill="E6E7E8"/>
          </w:tcPr>
          <w:p>
            <w:pPr>
              <w:spacing w:after="0"/>
              <w:rPr>
                <w:sz w:val="19"/>
                <w:szCs w:val="19"/>
                <w:color w:val="auto"/>
              </w:rPr>
            </w:pPr>
          </w:p>
        </w:tc>
        <w:tc>
          <w:tcPr>
            <w:tcW w:w="5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3,269</w:t>
            </w:r>
          </w:p>
        </w:tc>
        <w:tc>
          <w:tcPr>
            <w:tcW w:w="200" w:type="dxa"/>
            <w:vAlign w:val="bottom"/>
            <w:shd w:val="clear" w:color="auto" w:fill="E6E7E8"/>
          </w:tcPr>
          <w:p>
            <w:pPr>
              <w:spacing w:after="0"/>
              <w:rPr>
                <w:sz w:val="19"/>
                <w:szCs w:val="19"/>
                <w:color w:val="auto"/>
              </w:rPr>
            </w:pPr>
          </w:p>
        </w:tc>
        <w:tc>
          <w:tcPr>
            <w:tcW w:w="160" w:type="dxa"/>
            <w:vAlign w:val="bottom"/>
            <w:shd w:val="clear" w:color="auto" w:fill="E6E7E8"/>
          </w:tcPr>
          <w:p>
            <w:pPr>
              <w:spacing w:after="0"/>
              <w:rPr>
                <w:sz w:val="19"/>
                <w:szCs w:val="19"/>
                <w:color w:val="auto"/>
              </w:rPr>
            </w:pPr>
          </w:p>
        </w:tc>
        <w:tc>
          <w:tcPr>
            <w:tcW w:w="5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2,899</w:t>
            </w:r>
          </w:p>
        </w:tc>
        <w:tc>
          <w:tcPr>
            <w:tcW w:w="200" w:type="dxa"/>
            <w:vAlign w:val="bottom"/>
            <w:shd w:val="clear" w:color="auto" w:fill="E6E7E8"/>
          </w:tcPr>
          <w:p>
            <w:pPr>
              <w:spacing w:after="0"/>
              <w:rPr>
                <w:sz w:val="19"/>
                <w:szCs w:val="19"/>
                <w:color w:val="auto"/>
              </w:rPr>
            </w:pPr>
          </w:p>
        </w:tc>
        <w:tc>
          <w:tcPr>
            <w:tcW w:w="160" w:type="dxa"/>
            <w:vAlign w:val="bottom"/>
            <w:shd w:val="clear" w:color="auto" w:fill="E6E7E8"/>
          </w:tcPr>
          <w:p>
            <w:pPr>
              <w:spacing w:after="0"/>
              <w:rPr>
                <w:sz w:val="19"/>
                <w:szCs w:val="19"/>
                <w:color w:val="auto"/>
              </w:rPr>
            </w:pPr>
          </w:p>
        </w:tc>
        <w:tc>
          <w:tcPr>
            <w:tcW w:w="5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688</w:t>
            </w:r>
          </w:p>
        </w:tc>
        <w:tc>
          <w:tcPr>
            <w:tcW w:w="20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6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723</w:t>
            </w:r>
          </w:p>
        </w:tc>
        <w:tc>
          <w:tcPr>
            <w:tcW w:w="200" w:type="dxa"/>
            <w:vAlign w:val="bottom"/>
            <w:shd w:val="clear" w:color="auto" w:fill="E6E7E8"/>
          </w:tcPr>
          <w:p>
            <w:pPr>
              <w:spacing w:after="0"/>
              <w:rPr>
                <w:sz w:val="19"/>
                <w:szCs w:val="19"/>
                <w:color w:val="auto"/>
              </w:rPr>
            </w:pPr>
          </w:p>
        </w:tc>
        <w:tc>
          <w:tcPr>
            <w:tcW w:w="140" w:type="dxa"/>
            <w:vAlign w:val="bottom"/>
            <w:shd w:val="clear" w:color="auto" w:fill="E6E7E8"/>
          </w:tcPr>
          <w:p>
            <w:pPr>
              <w:spacing w:after="0"/>
              <w:rPr>
                <w:sz w:val="19"/>
                <w:szCs w:val="19"/>
                <w:color w:val="auto"/>
              </w:rPr>
            </w:pPr>
          </w:p>
        </w:tc>
        <w:tc>
          <w:tcPr>
            <w:tcW w:w="5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754</w:t>
            </w:r>
          </w:p>
        </w:tc>
        <w:tc>
          <w:tcPr>
            <w:tcW w:w="80" w:type="dxa"/>
            <w:vAlign w:val="bottom"/>
            <w:shd w:val="clear" w:color="auto" w:fill="E6E7E8"/>
          </w:tcPr>
          <w:p>
            <w:pPr>
              <w:spacing w:after="0"/>
              <w:rPr>
                <w:sz w:val="19"/>
                <w:szCs w:val="19"/>
                <w:color w:val="auto"/>
              </w:rPr>
            </w:pPr>
          </w:p>
        </w:tc>
      </w:tr>
      <w:tr>
        <w:trPr>
          <w:trHeight w:val="221"/>
        </w:trPr>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2600" w:type="dxa"/>
            <w:vAlign w:val="bottom"/>
            <w:shd w:val="clear" w:color="auto" w:fill="E6E7E8"/>
          </w:tcPr>
          <w:p>
            <w:pPr>
              <w:spacing w:after="0"/>
              <w:rPr>
                <w:sz w:val="20"/>
                <w:szCs w:val="20"/>
                <w:color w:val="auto"/>
              </w:rPr>
            </w:pPr>
            <w:r>
              <w:rPr>
                <w:rFonts w:ascii="Times New Roman" w:cs="Times New Roman" w:eastAsia="Times New Roman" w:hAnsi="Times New Roman"/>
                <w:sz w:val="18"/>
                <w:szCs w:val="18"/>
                <w:color w:val="231F20"/>
              </w:rPr>
              <w:t>Expected Return on Plan Assets</w:t>
            </w:r>
          </w:p>
        </w:tc>
        <w:tc>
          <w:tcPr>
            <w:tcW w:w="120" w:type="dxa"/>
            <w:vAlign w:val="bottom"/>
            <w:shd w:val="clear" w:color="auto" w:fill="E6E7E8"/>
          </w:tcPr>
          <w:p>
            <w:pPr>
              <w:spacing w:after="0"/>
              <w:rPr>
                <w:sz w:val="19"/>
                <w:szCs w:val="19"/>
                <w:color w:val="auto"/>
              </w:rPr>
            </w:pPr>
          </w:p>
        </w:tc>
        <w:tc>
          <w:tcPr>
            <w:tcW w:w="700" w:type="dxa"/>
            <w:vAlign w:val="bottom"/>
            <w:gridSpan w:val="2"/>
            <w:shd w:val="clear" w:color="auto" w:fill="E6E7E8"/>
          </w:tcPr>
          <w:p>
            <w:pPr>
              <w:jc w:val="right"/>
              <w:ind w:right="40"/>
              <w:spacing w:after="0"/>
              <w:rPr>
                <w:sz w:val="20"/>
                <w:szCs w:val="20"/>
                <w:color w:val="auto"/>
              </w:rPr>
            </w:pPr>
            <w:r>
              <w:rPr>
                <w:rFonts w:ascii="Times New Roman" w:cs="Times New Roman" w:eastAsia="Times New Roman" w:hAnsi="Times New Roman"/>
                <w:sz w:val="18"/>
                <w:szCs w:val="18"/>
                <w:b w:val="1"/>
                <w:bCs w:val="1"/>
                <w:color w:val="231F20"/>
              </w:rPr>
              <w:t>(10,497)</w:t>
            </w:r>
          </w:p>
        </w:tc>
        <w:tc>
          <w:tcPr>
            <w:tcW w:w="10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800" w:type="dxa"/>
            <w:vAlign w:val="bottom"/>
            <w:gridSpan w:val="2"/>
            <w:shd w:val="clear" w:color="auto" w:fill="E6E7E8"/>
          </w:tcPr>
          <w:p>
            <w:pPr>
              <w:jc w:val="right"/>
              <w:ind w:right="140"/>
              <w:spacing w:after="0"/>
              <w:rPr>
                <w:sz w:val="20"/>
                <w:szCs w:val="20"/>
                <w:color w:val="auto"/>
              </w:rPr>
            </w:pPr>
            <w:r>
              <w:rPr>
                <w:rFonts w:ascii="Times New Roman" w:cs="Times New Roman" w:eastAsia="Times New Roman" w:hAnsi="Times New Roman"/>
                <w:sz w:val="18"/>
                <w:szCs w:val="18"/>
                <w:color w:val="231F20"/>
              </w:rPr>
              <w:t>(10,597)</w:t>
            </w:r>
          </w:p>
        </w:tc>
        <w:tc>
          <w:tcPr>
            <w:tcW w:w="120" w:type="dxa"/>
            <w:vAlign w:val="bottom"/>
            <w:shd w:val="clear" w:color="auto" w:fill="E6E7E8"/>
          </w:tcPr>
          <w:p>
            <w:pPr>
              <w:spacing w:after="0"/>
              <w:rPr>
                <w:sz w:val="19"/>
                <w:szCs w:val="19"/>
                <w:color w:val="auto"/>
              </w:rPr>
            </w:pPr>
          </w:p>
        </w:tc>
        <w:tc>
          <w:tcPr>
            <w:tcW w:w="820" w:type="dxa"/>
            <w:vAlign w:val="bottom"/>
            <w:gridSpan w:val="2"/>
            <w:shd w:val="clear" w:color="auto" w:fill="E6E7E8"/>
          </w:tcPr>
          <w:p>
            <w:pPr>
              <w:jc w:val="right"/>
              <w:ind w:right="160"/>
              <w:spacing w:after="0"/>
              <w:rPr>
                <w:sz w:val="20"/>
                <w:szCs w:val="20"/>
                <w:color w:val="auto"/>
              </w:rPr>
            </w:pPr>
            <w:r>
              <w:rPr>
                <w:rFonts w:ascii="Times New Roman" w:cs="Times New Roman" w:eastAsia="Times New Roman" w:hAnsi="Times New Roman"/>
                <w:sz w:val="18"/>
                <w:szCs w:val="18"/>
                <w:color w:val="231F20"/>
              </w:rPr>
              <w:t>(10,689)</w:t>
            </w:r>
          </w:p>
        </w:tc>
        <w:tc>
          <w:tcPr>
            <w:tcW w:w="140" w:type="dxa"/>
            <w:vAlign w:val="bottom"/>
            <w:shd w:val="clear" w:color="auto" w:fill="E6E7E8"/>
          </w:tcPr>
          <w:p>
            <w:pPr>
              <w:spacing w:after="0"/>
              <w:rPr>
                <w:sz w:val="19"/>
                <w:szCs w:val="19"/>
                <w:color w:val="auto"/>
              </w:rPr>
            </w:pPr>
          </w:p>
        </w:tc>
        <w:tc>
          <w:tcPr>
            <w:tcW w:w="700" w:type="dxa"/>
            <w:vAlign w:val="bottom"/>
            <w:gridSpan w:val="2"/>
            <w:shd w:val="clear" w:color="auto" w:fill="E6E7E8"/>
          </w:tcPr>
          <w:p>
            <w:pPr>
              <w:jc w:val="right"/>
              <w:ind w:right="60"/>
              <w:spacing w:after="0"/>
              <w:rPr>
                <w:sz w:val="20"/>
                <w:szCs w:val="20"/>
                <w:color w:val="auto"/>
              </w:rPr>
            </w:pPr>
            <w:r>
              <w:rPr>
                <w:rFonts w:ascii="Times New Roman" w:cs="Times New Roman" w:eastAsia="Times New Roman" w:hAnsi="Times New Roman"/>
                <w:sz w:val="18"/>
                <w:szCs w:val="18"/>
                <w:b w:val="1"/>
                <w:bCs w:val="1"/>
                <w:color w:val="231F20"/>
              </w:rPr>
              <w:t>(4,342)</w:t>
            </w:r>
          </w:p>
        </w:tc>
        <w:tc>
          <w:tcPr>
            <w:tcW w:w="80" w:type="dxa"/>
            <w:vAlign w:val="bottom"/>
            <w:shd w:val="clear" w:color="auto" w:fill="E6E7E8"/>
          </w:tcPr>
          <w:p>
            <w:pPr>
              <w:spacing w:after="0"/>
              <w:rPr>
                <w:sz w:val="19"/>
                <w:szCs w:val="19"/>
                <w:color w:val="auto"/>
              </w:rPr>
            </w:pPr>
          </w:p>
        </w:tc>
        <w:tc>
          <w:tcPr>
            <w:tcW w:w="140" w:type="dxa"/>
            <w:vAlign w:val="bottom"/>
            <w:shd w:val="clear" w:color="auto" w:fill="E6E7E8"/>
          </w:tcPr>
          <w:p>
            <w:pPr>
              <w:spacing w:after="0"/>
              <w:rPr>
                <w:sz w:val="19"/>
                <w:szCs w:val="19"/>
                <w:color w:val="auto"/>
              </w:rPr>
            </w:pPr>
          </w:p>
        </w:tc>
        <w:tc>
          <w:tcPr>
            <w:tcW w:w="780" w:type="dxa"/>
            <w:vAlign w:val="bottom"/>
            <w:gridSpan w:val="2"/>
            <w:shd w:val="clear" w:color="auto" w:fill="E6E7E8"/>
          </w:tcPr>
          <w:p>
            <w:pPr>
              <w:jc w:val="right"/>
              <w:ind w:right="140"/>
              <w:spacing w:after="0"/>
              <w:rPr>
                <w:sz w:val="20"/>
                <w:szCs w:val="20"/>
                <w:color w:val="auto"/>
              </w:rPr>
            </w:pPr>
            <w:r>
              <w:rPr>
                <w:rFonts w:ascii="Times New Roman" w:cs="Times New Roman" w:eastAsia="Times New Roman" w:hAnsi="Times New Roman"/>
                <w:sz w:val="18"/>
                <w:szCs w:val="18"/>
                <w:color w:val="231F20"/>
              </w:rPr>
              <w:t>(3,877)</w:t>
            </w:r>
          </w:p>
        </w:tc>
        <w:tc>
          <w:tcPr>
            <w:tcW w:w="160" w:type="dxa"/>
            <w:vAlign w:val="bottom"/>
            <w:shd w:val="clear" w:color="auto" w:fill="E6E7E8"/>
          </w:tcPr>
          <w:p>
            <w:pPr>
              <w:spacing w:after="0"/>
              <w:rPr>
                <w:sz w:val="19"/>
                <w:szCs w:val="19"/>
                <w:color w:val="auto"/>
              </w:rPr>
            </w:pPr>
          </w:p>
        </w:tc>
        <w:tc>
          <w:tcPr>
            <w:tcW w:w="760" w:type="dxa"/>
            <w:vAlign w:val="bottom"/>
            <w:gridSpan w:val="2"/>
            <w:shd w:val="clear" w:color="auto" w:fill="E6E7E8"/>
          </w:tcPr>
          <w:p>
            <w:pPr>
              <w:jc w:val="right"/>
              <w:ind w:right="140"/>
              <w:spacing w:after="0"/>
              <w:rPr>
                <w:sz w:val="20"/>
                <w:szCs w:val="20"/>
                <w:color w:val="auto"/>
              </w:rPr>
            </w:pPr>
            <w:r>
              <w:rPr>
                <w:rFonts w:ascii="Times New Roman" w:cs="Times New Roman" w:eastAsia="Times New Roman" w:hAnsi="Times New Roman"/>
                <w:sz w:val="18"/>
                <w:szCs w:val="18"/>
                <w:color w:val="231F20"/>
              </w:rPr>
              <w:t>(3,408)</w:t>
            </w:r>
          </w:p>
        </w:tc>
        <w:tc>
          <w:tcPr>
            <w:tcW w:w="160" w:type="dxa"/>
            <w:vAlign w:val="bottom"/>
            <w:shd w:val="clear" w:color="auto" w:fill="E6E7E8"/>
          </w:tcPr>
          <w:p>
            <w:pPr>
              <w:spacing w:after="0"/>
              <w:rPr>
                <w:sz w:val="19"/>
                <w:szCs w:val="19"/>
                <w:color w:val="auto"/>
              </w:rPr>
            </w:pPr>
          </w:p>
        </w:tc>
        <w:tc>
          <w:tcPr>
            <w:tcW w:w="780" w:type="dxa"/>
            <w:vAlign w:val="bottom"/>
            <w:gridSpan w:val="2"/>
            <w:shd w:val="clear" w:color="auto" w:fill="E6E7E8"/>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w:t>
            </w:r>
          </w:p>
        </w:tc>
        <w:tc>
          <w:tcPr>
            <w:tcW w:w="120" w:type="dxa"/>
            <w:vAlign w:val="bottom"/>
            <w:shd w:val="clear" w:color="auto" w:fill="E6E7E8"/>
          </w:tcPr>
          <w:p>
            <w:pPr>
              <w:spacing w:after="0"/>
              <w:rPr>
                <w:sz w:val="19"/>
                <w:szCs w:val="19"/>
                <w:color w:val="auto"/>
              </w:rPr>
            </w:pPr>
          </w:p>
        </w:tc>
        <w:tc>
          <w:tcPr>
            <w:tcW w:w="800" w:type="dxa"/>
            <w:vAlign w:val="bottom"/>
            <w:gridSpan w:val="2"/>
            <w:shd w:val="clear" w:color="auto" w:fill="E6E7E8"/>
          </w:tcPr>
          <w:p>
            <w:pPr>
              <w:jc w:val="right"/>
              <w:ind w:right="220"/>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shd w:val="clear" w:color="auto" w:fill="E6E7E8"/>
          </w:tcPr>
          <w:p>
            <w:pPr>
              <w:spacing w:after="0"/>
              <w:rPr>
                <w:sz w:val="19"/>
                <w:szCs w:val="19"/>
                <w:color w:val="auto"/>
              </w:rPr>
            </w:pPr>
          </w:p>
        </w:tc>
        <w:tc>
          <w:tcPr>
            <w:tcW w:w="660" w:type="dxa"/>
            <w:vAlign w:val="bottom"/>
            <w:gridSpan w:val="2"/>
            <w:shd w:val="clear" w:color="auto" w:fill="E6E7E8"/>
          </w:tcPr>
          <w:p>
            <w:pPr>
              <w:jc w:val="right"/>
              <w:ind w:right="80"/>
              <w:spacing w:after="0"/>
              <w:rPr>
                <w:sz w:val="20"/>
                <w:szCs w:val="20"/>
                <w:color w:val="auto"/>
              </w:rPr>
            </w:pPr>
            <w:r>
              <w:rPr>
                <w:rFonts w:ascii="Times New Roman" w:cs="Times New Roman" w:eastAsia="Times New Roman" w:hAnsi="Times New Roman"/>
                <w:sz w:val="18"/>
                <w:szCs w:val="18"/>
                <w:color w:val="231F20"/>
              </w:rPr>
              <w:t>—</w:t>
            </w:r>
          </w:p>
        </w:tc>
      </w:tr>
      <w:tr>
        <w:trPr>
          <w:trHeight w:val="221"/>
        </w:trPr>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2600" w:type="dxa"/>
            <w:vAlign w:val="bottom"/>
            <w:shd w:val="clear" w:color="auto" w:fill="E6E7E8"/>
          </w:tcPr>
          <w:p>
            <w:pPr>
              <w:spacing w:after="0"/>
              <w:rPr>
                <w:sz w:val="20"/>
                <w:szCs w:val="20"/>
                <w:color w:val="auto"/>
              </w:rPr>
            </w:pPr>
            <w:r>
              <w:rPr>
                <w:rFonts w:ascii="Times New Roman" w:cs="Times New Roman" w:eastAsia="Times New Roman" w:hAnsi="Times New Roman"/>
                <w:sz w:val="18"/>
                <w:szCs w:val="18"/>
                <w:color w:val="231F20"/>
              </w:rPr>
              <w:t>Prior Service Cost Amortization</w:t>
            </w:r>
          </w:p>
        </w:tc>
        <w:tc>
          <w:tcPr>
            <w:tcW w:w="120" w:type="dxa"/>
            <w:vAlign w:val="bottom"/>
            <w:shd w:val="clear" w:color="auto" w:fill="E6E7E8"/>
          </w:tcPr>
          <w:p>
            <w:pPr>
              <w:spacing w:after="0"/>
              <w:rPr>
                <w:sz w:val="19"/>
                <w:szCs w:val="19"/>
                <w:color w:val="auto"/>
              </w:rPr>
            </w:pPr>
          </w:p>
        </w:tc>
        <w:tc>
          <w:tcPr>
            <w:tcW w:w="6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255</w:t>
            </w:r>
          </w:p>
        </w:tc>
        <w:tc>
          <w:tcPr>
            <w:tcW w:w="10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6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323</w:t>
            </w:r>
          </w:p>
        </w:tc>
        <w:tc>
          <w:tcPr>
            <w:tcW w:w="20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6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356</w:t>
            </w:r>
          </w:p>
        </w:tc>
        <w:tc>
          <w:tcPr>
            <w:tcW w:w="220" w:type="dxa"/>
            <w:vAlign w:val="bottom"/>
            <w:shd w:val="clear" w:color="auto" w:fill="E6E7E8"/>
          </w:tcPr>
          <w:p>
            <w:pPr>
              <w:spacing w:after="0"/>
              <w:rPr>
                <w:sz w:val="19"/>
                <w:szCs w:val="19"/>
                <w:color w:val="auto"/>
              </w:rPr>
            </w:pPr>
          </w:p>
        </w:tc>
        <w:tc>
          <w:tcPr>
            <w:tcW w:w="140" w:type="dxa"/>
            <w:vAlign w:val="bottom"/>
            <w:shd w:val="clear" w:color="auto" w:fill="E6E7E8"/>
          </w:tcPr>
          <w:p>
            <w:pPr>
              <w:spacing w:after="0"/>
              <w:rPr>
                <w:sz w:val="19"/>
                <w:szCs w:val="19"/>
                <w:color w:val="auto"/>
              </w:rPr>
            </w:pPr>
          </w:p>
        </w:tc>
        <w:tc>
          <w:tcPr>
            <w:tcW w:w="700" w:type="dxa"/>
            <w:vAlign w:val="bottom"/>
            <w:gridSpan w:val="2"/>
            <w:shd w:val="clear" w:color="auto" w:fill="E6E7E8"/>
          </w:tcPr>
          <w:p>
            <w:pPr>
              <w:jc w:val="right"/>
              <w:ind w:right="140"/>
              <w:spacing w:after="0"/>
              <w:rPr>
                <w:sz w:val="20"/>
                <w:szCs w:val="20"/>
                <w:color w:val="auto"/>
              </w:rPr>
            </w:pPr>
            <w:r>
              <w:rPr>
                <w:rFonts w:ascii="Times New Roman" w:cs="Times New Roman" w:eastAsia="Times New Roman" w:hAnsi="Times New Roman"/>
                <w:sz w:val="18"/>
                <w:szCs w:val="18"/>
                <w:b w:val="1"/>
                <w:bCs w:val="1"/>
                <w:color w:val="231F20"/>
              </w:rPr>
              <w:t>—</w:t>
            </w:r>
          </w:p>
        </w:tc>
        <w:tc>
          <w:tcPr>
            <w:tcW w:w="80" w:type="dxa"/>
            <w:vAlign w:val="bottom"/>
            <w:shd w:val="clear" w:color="auto" w:fill="E6E7E8"/>
          </w:tcPr>
          <w:p>
            <w:pPr>
              <w:spacing w:after="0"/>
              <w:rPr>
                <w:sz w:val="19"/>
                <w:szCs w:val="19"/>
                <w:color w:val="auto"/>
              </w:rPr>
            </w:pPr>
          </w:p>
        </w:tc>
        <w:tc>
          <w:tcPr>
            <w:tcW w:w="140" w:type="dxa"/>
            <w:vAlign w:val="bottom"/>
            <w:shd w:val="clear" w:color="auto" w:fill="E6E7E8"/>
          </w:tcPr>
          <w:p>
            <w:pPr>
              <w:spacing w:after="0"/>
              <w:rPr>
                <w:sz w:val="19"/>
                <w:szCs w:val="19"/>
                <w:color w:val="auto"/>
              </w:rPr>
            </w:pPr>
          </w:p>
        </w:tc>
        <w:tc>
          <w:tcPr>
            <w:tcW w:w="780" w:type="dxa"/>
            <w:vAlign w:val="bottom"/>
            <w:gridSpan w:val="2"/>
            <w:shd w:val="clear" w:color="auto" w:fill="E6E7E8"/>
          </w:tcPr>
          <w:p>
            <w:pPr>
              <w:jc w:val="right"/>
              <w:ind w:right="220"/>
              <w:spacing w:after="0"/>
              <w:rPr>
                <w:sz w:val="20"/>
                <w:szCs w:val="20"/>
                <w:color w:val="auto"/>
              </w:rPr>
            </w:pPr>
            <w:r>
              <w:rPr>
                <w:rFonts w:ascii="Times New Roman" w:cs="Times New Roman" w:eastAsia="Times New Roman" w:hAnsi="Times New Roman"/>
                <w:sz w:val="18"/>
                <w:szCs w:val="18"/>
                <w:color w:val="231F20"/>
              </w:rPr>
              <w:t>—</w:t>
            </w:r>
          </w:p>
        </w:tc>
        <w:tc>
          <w:tcPr>
            <w:tcW w:w="160" w:type="dxa"/>
            <w:vAlign w:val="bottom"/>
            <w:shd w:val="clear" w:color="auto" w:fill="E6E7E8"/>
          </w:tcPr>
          <w:p>
            <w:pPr>
              <w:spacing w:after="0"/>
              <w:rPr>
                <w:sz w:val="19"/>
                <w:szCs w:val="19"/>
                <w:color w:val="auto"/>
              </w:rPr>
            </w:pPr>
          </w:p>
        </w:tc>
        <w:tc>
          <w:tcPr>
            <w:tcW w:w="5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794</w:t>
            </w:r>
          </w:p>
        </w:tc>
        <w:tc>
          <w:tcPr>
            <w:tcW w:w="200" w:type="dxa"/>
            <w:vAlign w:val="bottom"/>
            <w:shd w:val="clear" w:color="auto" w:fill="E6E7E8"/>
          </w:tcPr>
          <w:p>
            <w:pPr>
              <w:spacing w:after="0"/>
              <w:rPr>
                <w:sz w:val="19"/>
                <w:szCs w:val="19"/>
                <w:color w:val="auto"/>
              </w:rPr>
            </w:pPr>
          </w:p>
        </w:tc>
        <w:tc>
          <w:tcPr>
            <w:tcW w:w="160" w:type="dxa"/>
            <w:vAlign w:val="bottom"/>
            <w:shd w:val="clear" w:color="auto" w:fill="E6E7E8"/>
          </w:tcPr>
          <w:p>
            <w:pPr>
              <w:spacing w:after="0"/>
              <w:rPr>
                <w:sz w:val="19"/>
                <w:szCs w:val="19"/>
                <w:color w:val="auto"/>
              </w:rPr>
            </w:pPr>
          </w:p>
        </w:tc>
        <w:tc>
          <w:tcPr>
            <w:tcW w:w="5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9</w:t>
            </w:r>
          </w:p>
        </w:tc>
        <w:tc>
          <w:tcPr>
            <w:tcW w:w="20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6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10</w:t>
            </w:r>
          </w:p>
        </w:tc>
        <w:tc>
          <w:tcPr>
            <w:tcW w:w="200" w:type="dxa"/>
            <w:vAlign w:val="bottom"/>
            <w:shd w:val="clear" w:color="auto" w:fill="E6E7E8"/>
          </w:tcPr>
          <w:p>
            <w:pPr>
              <w:spacing w:after="0"/>
              <w:rPr>
                <w:sz w:val="19"/>
                <w:szCs w:val="19"/>
                <w:color w:val="auto"/>
              </w:rPr>
            </w:pPr>
          </w:p>
        </w:tc>
        <w:tc>
          <w:tcPr>
            <w:tcW w:w="140" w:type="dxa"/>
            <w:vAlign w:val="bottom"/>
            <w:shd w:val="clear" w:color="auto" w:fill="E6E7E8"/>
          </w:tcPr>
          <w:p>
            <w:pPr>
              <w:spacing w:after="0"/>
              <w:rPr>
                <w:sz w:val="19"/>
                <w:szCs w:val="19"/>
                <w:color w:val="auto"/>
              </w:rPr>
            </w:pPr>
          </w:p>
        </w:tc>
        <w:tc>
          <w:tcPr>
            <w:tcW w:w="5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55</w:t>
            </w:r>
          </w:p>
        </w:tc>
        <w:tc>
          <w:tcPr>
            <w:tcW w:w="80" w:type="dxa"/>
            <w:vAlign w:val="bottom"/>
            <w:shd w:val="clear" w:color="auto" w:fill="E6E7E8"/>
          </w:tcPr>
          <w:p>
            <w:pPr>
              <w:spacing w:after="0"/>
              <w:rPr>
                <w:sz w:val="19"/>
                <w:szCs w:val="19"/>
                <w:color w:val="auto"/>
              </w:rPr>
            </w:pPr>
          </w:p>
        </w:tc>
      </w:tr>
      <w:tr>
        <w:trPr>
          <w:trHeight w:val="221"/>
        </w:trPr>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2600" w:type="dxa"/>
            <w:vAlign w:val="bottom"/>
            <w:shd w:val="clear" w:color="auto" w:fill="E6E7E8"/>
          </w:tcPr>
          <w:p>
            <w:pPr>
              <w:spacing w:after="0"/>
              <w:rPr>
                <w:sz w:val="20"/>
                <w:szCs w:val="20"/>
                <w:color w:val="auto"/>
              </w:rPr>
            </w:pPr>
            <w:r>
              <w:rPr>
                <w:rFonts w:ascii="Times New Roman" w:cs="Times New Roman" w:eastAsia="Times New Roman" w:hAnsi="Times New Roman"/>
                <w:sz w:val="18"/>
                <w:szCs w:val="18"/>
                <w:color w:val="231F20"/>
              </w:rPr>
              <w:t>Actuarial Loss Amortization</w:t>
            </w:r>
          </w:p>
        </w:tc>
        <w:tc>
          <w:tcPr>
            <w:tcW w:w="120" w:type="dxa"/>
            <w:vAlign w:val="bottom"/>
            <w:shd w:val="clear" w:color="auto" w:fill="E6E7E8"/>
          </w:tcPr>
          <w:p>
            <w:pPr>
              <w:spacing w:after="0"/>
              <w:rPr>
                <w:sz w:val="19"/>
                <w:szCs w:val="19"/>
                <w:color w:val="auto"/>
              </w:rPr>
            </w:pPr>
          </w:p>
        </w:tc>
        <w:tc>
          <w:tcPr>
            <w:tcW w:w="6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1,277</w:t>
            </w:r>
          </w:p>
        </w:tc>
        <w:tc>
          <w:tcPr>
            <w:tcW w:w="10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6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1,446</w:t>
            </w:r>
          </w:p>
        </w:tc>
        <w:tc>
          <w:tcPr>
            <w:tcW w:w="20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820" w:type="dxa"/>
            <w:vAlign w:val="bottom"/>
            <w:gridSpan w:val="2"/>
            <w:shd w:val="clear" w:color="auto" w:fill="E6E7E8"/>
          </w:tcPr>
          <w:p>
            <w:pPr>
              <w:jc w:val="right"/>
              <w:ind w:right="220"/>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shd w:val="clear" w:color="auto" w:fill="E6E7E8"/>
          </w:tcPr>
          <w:p>
            <w:pPr>
              <w:spacing w:after="0"/>
              <w:rPr>
                <w:sz w:val="19"/>
                <w:szCs w:val="19"/>
                <w:color w:val="auto"/>
              </w:rPr>
            </w:pPr>
          </w:p>
        </w:tc>
        <w:tc>
          <w:tcPr>
            <w:tcW w:w="700" w:type="dxa"/>
            <w:vAlign w:val="bottom"/>
            <w:gridSpan w:val="2"/>
            <w:shd w:val="clear" w:color="auto" w:fill="E6E7E8"/>
          </w:tcPr>
          <w:p>
            <w:pPr>
              <w:jc w:val="right"/>
              <w:ind w:right="60"/>
              <w:spacing w:after="0"/>
              <w:rPr>
                <w:sz w:val="20"/>
                <w:szCs w:val="20"/>
                <w:color w:val="auto"/>
              </w:rPr>
            </w:pPr>
            <w:r>
              <w:rPr>
                <w:rFonts w:ascii="Times New Roman" w:cs="Times New Roman" w:eastAsia="Times New Roman" w:hAnsi="Times New Roman"/>
                <w:sz w:val="18"/>
                <w:szCs w:val="18"/>
                <w:b w:val="1"/>
                <w:bCs w:val="1"/>
                <w:color w:val="231F20"/>
              </w:rPr>
              <w:t>(747)</w:t>
            </w:r>
          </w:p>
        </w:tc>
        <w:tc>
          <w:tcPr>
            <w:tcW w:w="80" w:type="dxa"/>
            <w:vAlign w:val="bottom"/>
            <w:shd w:val="clear" w:color="auto" w:fill="E6E7E8"/>
          </w:tcPr>
          <w:p>
            <w:pPr>
              <w:spacing w:after="0"/>
              <w:rPr>
                <w:sz w:val="19"/>
                <w:szCs w:val="19"/>
                <w:color w:val="auto"/>
              </w:rPr>
            </w:pPr>
          </w:p>
        </w:tc>
        <w:tc>
          <w:tcPr>
            <w:tcW w:w="140" w:type="dxa"/>
            <w:vAlign w:val="bottom"/>
            <w:shd w:val="clear" w:color="auto" w:fill="E6E7E8"/>
          </w:tcPr>
          <w:p>
            <w:pPr>
              <w:spacing w:after="0"/>
              <w:rPr>
                <w:sz w:val="19"/>
                <w:szCs w:val="19"/>
                <w:color w:val="auto"/>
              </w:rPr>
            </w:pPr>
          </w:p>
        </w:tc>
        <w:tc>
          <w:tcPr>
            <w:tcW w:w="780" w:type="dxa"/>
            <w:vAlign w:val="bottom"/>
            <w:gridSpan w:val="2"/>
            <w:shd w:val="clear" w:color="auto" w:fill="E6E7E8"/>
          </w:tcPr>
          <w:p>
            <w:pPr>
              <w:jc w:val="right"/>
              <w:ind w:right="140"/>
              <w:spacing w:after="0"/>
              <w:rPr>
                <w:sz w:val="20"/>
                <w:szCs w:val="20"/>
                <w:color w:val="auto"/>
              </w:rPr>
            </w:pPr>
            <w:r>
              <w:rPr>
                <w:rFonts w:ascii="Times New Roman" w:cs="Times New Roman" w:eastAsia="Times New Roman" w:hAnsi="Times New Roman"/>
                <w:sz w:val="18"/>
                <w:szCs w:val="18"/>
                <w:color w:val="231F20"/>
              </w:rPr>
              <w:t>(874)</w:t>
            </w:r>
          </w:p>
        </w:tc>
        <w:tc>
          <w:tcPr>
            <w:tcW w:w="160" w:type="dxa"/>
            <w:vAlign w:val="bottom"/>
            <w:shd w:val="clear" w:color="auto" w:fill="E6E7E8"/>
          </w:tcPr>
          <w:p>
            <w:pPr>
              <w:spacing w:after="0"/>
              <w:rPr>
                <w:sz w:val="19"/>
                <w:szCs w:val="19"/>
                <w:color w:val="auto"/>
              </w:rPr>
            </w:pPr>
          </w:p>
        </w:tc>
        <w:tc>
          <w:tcPr>
            <w:tcW w:w="760" w:type="dxa"/>
            <w:vAlign w:val="bottom"/>
            <w:gridSpan w:val="2"/>
            <w:shd w:val="clear" w:color="auto" w:fill="E6E7E8"/>
          </w:tcPr>
          <w:p>
            <w:pPr>
              <w:jc w:val="right"/>
              <w:ind w:right="140"/>
              <w:spacing w:after="0"/>
              <w:rPr>
                <w:sz w:val="20"/>
                <w:szCs w:val="20"/>
                <w:color w:val="auto"/>
              </w:rPr>
            </w:pPr>
            <w:r>
              <w:rPr>
                <w:rFonts w:ascii="Times New Roman" w:cs="Times New Roman" w:eastAsia="Times New Roman" w:hAnsi="Times New Roman"/>
                <w:sz w:val="18"/>
                <w:szCs w:val="18"/>
                <w:color w:val="231F20"/>
              </w:rPr>
              <w:t>(1,464)</w:t>
            </w:r>
          </w:p>
        </w:tc>
        <w:tc>
          <w:tcPr>
            <w:tcW w:w="160" w:type="dxa"/>
            <w:vAlign w:val="bottom"/>
            <w:shd w:val="clear" w:color="auto" w:fill="E6E7E8"/>
          </w:tcPr>
          <w:p>
            <w:pPr>
              <w:spacing w:after="0"/>
              <w:rPr>
                <w:sz w:val="19"/>
                <w:szCs w:val="19"/>
                <w:color w:val="auto"/>
              </w:rPr>
            </w:pPr>
          </w:p>
        </w:tc>
        <w:tc>
          <w:tcPr>
            <w:tcW w:w="780" w:type="dxa"/>
            <w:vAlign w:val="bottom"/>
            <w:gridSpan w:val="2"/>
            <w:shd w:val="clear" w:color="auto" w:fill="E6E7E8"/>
          </w:tcPr>
          <w:p>
            <w:pPr>
              <w:jc w:val="right"/>
              <w:ind w:right="140"/>
              <w:spacing w:after="0"/>
              <w:rPr>
                <w:sz w:val="20"/>
                <w:szCs w:val="20"/>
                <w:color w:val="auto"/>
              </w:rPr>
            </w:pPr>
            <w:r>
              <w:rPr>
                <w:rFonts w:ascii="Times New Roman" w:cs="Times New Roman" w:eastAsia="Times New Roman" w:hAnsi="Times New Roman"/>
                <w:sz w:val="18"/>
                <w:szCs w:val="18"/>
                <w:b w:val="1"/>
                <w:bCs w:val="1"/>
                <w:color w:val="231F20"/>
              </w:rPr>
              <w:t>(214)</w:t>
            </w:r>
          </w:p>
        </w:tc>
        <w:tc>
          <w:tcPr>
            <w:tcW w:w="120" w:type="dxa"/>
            <w:vAlign w:val="bottom"/>
            <w:shd w:val="clear" w:color="auto" w:fill="E6E7E8"/>
          </w:tcPr>
          <w:p>
            <w:pPr>
              <w:spacing w:after="0"/>
              <w:rPr>
                <w:sz w:val="19"/>
                <w:szCs w:val="19"/>
                <w:color w:val="auto"/>
              </w:rPr>
            </w:pPr>
          </w:p>
        </w:tc>
        <w:tc>
          <w:tcPr>
            <w:tcW w:w="800" w:type="dxa"/>
            <w:vAlign w:val="bottom"/>
            <w:gridSpan w:val="2"/>
            <w:shd w:val="clear" w:color="auto" w:fill="E6E7E8"/>
          </w:tcPr>
          <w:p>
            <w:pPr>
              <w:jc w:val="right"/>
              <w:ind w:right="220"/>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shd w:val="clear" w:color="auto" w:fill="E6E7E8"/>
          </w:tcPr>
          <w:p>
            <w:pPr>
              <w:spacing w:after="0"/>
              <w:rPr>
                <w:sz w:val="19"/>
                <w:szCs w:val="19"/>
                <w:color w:val="auto"/>
              </w:rPr>
            </w:pPr>
          </w:p>
        </w:tc>
        <w:tc>
          <w:tcPr>
            <w:tcW w:w="660" w:type="dxa"/>
            <w:vAlign w:val="bottom"/>
            <w:gridSpan w:val="2"/>
            <w:shd w:val="clear" w:color="auto" w:fill="E6E7E8"/>
          </w:tcPr>
          <w:p>
            <w:pPr>
              <w:jc w:val="right"/>
              <w:ind w:right="80"/>
              <w:spacing w:after="0"/>
              <w:rPr>
                <w:sz w:val="20"/>
                <w:szCs w:val="20"/>
                <w:color w:val="auto"/>
              </w:rPr>
            </w:pPr>
            <w:r>
              <w:rPr>
                <w:rFonts w:ascii="Times New Roman" w:cs="Times New Roman" w:eastAsia="Times New Roman" w:hAnsi="Times New Roman"/>
                <w:sz w:val="18"/>
                <w:szCs w:val="18"/>
                <w:color w:val="231F20"/>
              </w:rPr>
              <w:t>—</w:t>
            </w:r>
          </w:p>
        </w:tc>
      </w:tr>
      <w:tr>
        <w:trPr>
          <w:trHeight w:val="216"/>
        </w:trPr>
        <w:tc>
          <w:tcPr>
            <w:tcW w:w="2600" w:type="dxa"/>
            <w:vAlign w:val="bottom"/>
          </w:tcPr>
          <w:p>
            <w:pPr>
              <w:spacing w:after="0"/>
              <w:rPr>
                <w:sz w:val="18"/>
                <w:szCs w:val="18"/>
                <w:color w:val="auto"/>
              </w:rPr>
            </w:pPr>
          </w:p>
        </w:tc>
        <w:tc>
          <w:tcPr>
            <w:tcW w:w="120" w:type="dxa"/>
            <w:vAlign w:val="bottom"/>
            <w:tcBorders>
              <w:top w:val="single" w:sz="8" w:color="231F20"/>
            </w:tcBorders>
          </w:tcPr>
          <w:p>
            <w:pPr>
              <w:spacing w:after="0"/>
              <w:rPr>
                <w:sz w:val="18"/>
                <w:szCs w:val="18"/>
                <w:color w:val="auto"/>
              </w:rPr>
            </w:pPr>
          </w:p>
        </w:tc>
        <w:tc>
          <w:tcPr>
            <w:tcW w:w="600" w:type="dxa"/>
            <w:vAlign w:val="bottom"/>
            <w:tcBorders>
              <w:top w:val="single" w:sz="8" w:color="231F20"/>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231F20"/>
            </w:tcBorders>
          </w:tcPr>
          <w:p>
            <w:pPr>
              <w:spacing w:after="0"/>
              <w:rPr>
                <w:sz w:val="18"/>
                <w:szCs w:val="18"/>
                <w:color w:val="auto"/>
              </w:rPr>
            </w:pPr>
          </w:p>
        </w:tc>
        <w:tc>
          <w:tcPr>
            <w:tcW w:w="600" w:type="dxa"/>
            <w:vAlign w:val="bottom"/>
            <w:tcBorders>
              <w:top w:val="single" w:sz="8" w:color="231F20"/>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231F20"/>
            </w:tcBorders>
          </w:tcPr>
          <w:p>
            <w:pPr>
              <w:spacing w:after="0"/>
              <w:rPr>
                <w:sz w:val="18"/>
                <w:szCs w:val="18"/>
                <w:color w:val="auto"/>
              </w:rPr>
            </w:pPr>
          </w:p>
        </w:tc>
        <w:tc>
          <w:tcPr>
            <w:tcW w:w="600" w:type="dxa"/>
            <w:vAlign w:val="bottom"/>
            <w:tcBorders>
              <w:top w:val="single" w:sz="8" w:color="231F20"/>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231F20"/>
            </w:tcBorders>
          </w:tcPr>
          <w:p>
            <w:pPr>
              <w:spacing w:after="0"/>
              <w:rPr>
                <w:sz w:val="18"/>
                <w:szCs w:val="18"/>
                <w:color w:val="auto"/>
              </w:rPr>
            </w:pPr>
          </w:p>
        </w:tc>
        <w:tc>
          <w:tcPr>
            <w:tcW w:w="580" w:type="dxa"/>
            <w:vAlign w:val="bottom"/>
            <w:tcBorders>
              <w:top w:val="single" w:sz="8" w:color="231F20"/>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231F20"/>
            </w:tcBorders>
          </w:tcPr>
          <w:p>
            <w:pPr>
              <w:spacing w:after="0"/>
              <w:rPr>
                <w:sz w:val="18"/>
                <w:szCs w:val="18"/>
                <w:color w:val="auto"/>
              </w:rPr>
            </w:pPr>
          </w:p>
        </w:tc>
        <w:tc>
          <w:tcPr>
            <w:tcW w:w="580" w:type="dxa"/>
            <w:vAlign w:val="bottom"/>
            <w:tcBorders>
              <w:top w:val="single" w:sz="8" w:color="231F20"/>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231F20"/>
            </w:tcBorders>
          </w:tcPr>
          <w:p>
            <w:pPr>
              <w:spacing w:after="0"/>
              <w:rPr>
                <w:sz w:val="18"/>
                <w:szCs w:val="18"/>
                <w:color w:val="auto"/>
              </w:rPr>
            </w:pPr>
          </w:p>
        </w:tc>
        <w:tc>
          <w:tcPr>
            <w:tcW w:w="560" w:type="dxa"/>
            <w:vAlign w:val="bottom"/>
            <w:tcBorders>
              <w:top w:val="single" w:sz="8" w:color="231F20"/>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231F20"/>
            </w:tcBorders>
          </w:tcPr>
          <w:p>
            <w:pPr>
              <w:spacing w:after="0"/>
              <w:rPr>
                <w:sz w:val="18"/>
                <w:szCs w:val="18"/>
                <w:color w:val="auto"/>
              </w:rPr>
            </w:pPr>
          </w:p>
        </w:tc>
        <w:tc>
          <w:tcPr>
            <w:tcW w:w="580" w:type="dxa"/>
            <w:vAlign w:val="bottom"/>
            <w:tcBorders>
              <w:top w:val="single" w:sz="8" w:color="231F20"/>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231F20"/>
            </w:tcBorders>
          </w:tcPr>
          <w:p>
            <w:pPr>
              <w:spacing w:after="0"/>
              <w:rPr>
                <w:sz w:val="18"/>
                <w:szCs w:val="18"/>
                <w:color w:val="auto"/>
              </w:rPr>
            </w:pPr>
          </w:p>
        </w:tc>
        <w:tc>
          <w:tcPr>
            <w:tcW w:w="600" w:type="dxa"/>
            <w:vAlign w:val="bottom"/>
            <w:tcBorders>
              <w:top w:val="single" w:sz="8" w:color="231F20"/>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231F20"/>
            </w:tcBorders>
          </w:tcPr>
          <w:p>
            <w:pPr>
              <w:spacing w:after="0"/>
              <w:rPr>
                <w:sz w:val="18"/>
                <w:szCs w:val="18"/>
                <w:color w:val="auto"/>
              </w:rPr>
            </w:pPr>
          </w:p>
        </w:tc>
        <w:tc>
          <w:tcPr>
            <w:tcW w:w="580" w:type="dxa"/>
            <w:vAlign w:val="bottom"/>
            <w:tcBorders>
              <w:top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260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18"/>
                <w:szCs w:val="18"/>
                <w:color w:val="231F20"/>
              </w:rPr>
              <w:t>Sub-total</w:t>
            </w:r>
          </w:p>
        </w:tc>
        <w:tc>
          <w:tcPr>
            <w:tcW w:w="120" w:type="dxa"/>
            <w:vAlign w:val="bottom"/>
            <w:shd w:val="clear" w:color="auto" w:fill="E6E7E8"/>
          </w:tcPr>
          <w:p>
            <w:pPr>
              <w:spacing w:after="0"/>
              <w:rPr>
                <w:sz w:val="19"/>
                <w:szCs w:val="19"/>
                <w:color w:val="auto"/>
              </w:rPr>
            </w:pPr>
          </w:p>
        </w:tc>
        <w:tc>
          <w:tcPr>
            <w:tcW w:w="6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843</w:t>
            </w:r>
          </w:p>
        </w:tc>
        <w:tc>
          <w:tcPr>
            <w:tcW w:w="10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6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708</w:t>
            </w:r>
          </w:p>
        </w:tc>
        <w:tc>
          <w:tcPr>
            <w:tcW w:w="20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820" w:type="dxa"/>
            <w:vAlign w:val="bottom"/>
            <w:gridSpan w:val="2"/>
            <w:shd w:val="clear" w:color="auto" w:fill="E6E7E8"/>
          </w:tcPr>
          <w:p>
            <w:pPr>
              <w:jc w:val="right"/>
              <w:ind w:right="160"/>
              <w:spacing w:after="0"/>
              <w:rPr>
                <w:sz w:val="20"/>
                <w:szCs w:val="20"/>
                <w:color w:val="auto"/>
              </w:rPr>
            </w:pPr>
            <w:r>
              <w:rPr>
                <w:rFonts w:ascii="Times New Roman" w:cs="Times New Roman" w:eastAsia="Times New Roman" w:hAnsi="Times New Roman"/>
                <w:sz w:val="18"/>
                <w:szCs w:val="18"/>
                <w:color w:val="231F20"/>
              </w:rPr>
              <w:t>(762)</w:t>
            </w:r>
          </w:p>
        </w:tc>
        <w:tc>
          <w:tcPr>
            <w:tcW w:w="140" w:type="dxa"/>
            <w:vAlign w:val="bottom"/>
            <w:shd w:val="clear" w:color="auto" w:fill="E6E7E8"/>
          </w:tcPr>
          <w:p>
            <w:pPr>
              <w:spacing w:after="0"/>
              <w:rPr>
                <w:sz w:val="19"/>
                <w:szCs w:val="19"/>
                <w:color w:val="auto"/>
              </w:rPr>
            </w:pPr>
          </w:p>
        </w:tc>
        <w:tc>
          <w:tcPr>
            <w:tcW w:w="5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884</w:t>
            </w:r>
          </w:p>
        </w:tc>
        <w:tc>
          <w:tcPr>
            <w:tcW w:w="120" w:type="dxa"/>
            <w:vAlign w:val="bottom"/>
            <w:shd w:val="clear" w:color="auto" w:fill="E6E7E8"/>
          </w:tcPr>
          <w:p>
            <w:pPr>
              <w:spacing w:after="0"/>
              <w:rPr>
                <w:sz w:val="19"/>
                <w:szCs w:val="19"/>
                <w:color w:val="auto"/>
              </w:rPr>
            </w:pPr>
          </w:p>
        </w:tc>
        <w:tc>
          <w:tcPr>
            <w:tcW w:w="80" w:type="dxa"/>
            <w:vAlign w:val="bottom"/>
            <w:shd w:val="clear" w:color="auto" w:fill="E6E7E8"/>
          </w:tcPr>
          <w:p>
            <w:pPr>
              <w:spacing w:after="0"/>
              <w:rPr>
                <w:sz w:val="19"/>
                <w:szCs w:val="19"/>
                <w:color w:val="auto"/>
              </w:rPr>
            </w:pPr>
          </w:p>
        </w:tc>
        <w:tc>
          <w:tcPr>
            <w:tcW w:w="140" w:type="dxa"/>
            <w:vAlign w:val="bottom"/>
            <w:shd w:val="clear" w:color="auto" w:fill="E6E7E8"/>
          </w:tcPr>
          <w:p>
            <w:pPr>
              <w:spacing w:after="0"/>
              <w:rPr>
                <w:sz w:val="19"/>
                <w:szCs w:val="19"/>
                <w:color w:val="auto"/>
              </w:rPr>
            </w:pPr>
          </w:p>
        </w:tc>
        <w:tc>
          <w:tcPr>
            <w:tcW w:w="5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506</w:t>
            </w:r>
          </w:p>
        </w:tc>
        <w:tc>
          <w:tcPr>
            <w:tcW w:w="200" w:type="dxa"/>
            <w:vAlign w:val="bottom"/>
            <w:shd w:val="clear" w:color="auto" w:fill="E6E7E8"/>
          </w:tcPr>
          <w:p>
            <w:pPr>
              <w:spacing w:after="0"/>
              <w:rPr>
                <w:sz w:val="19"/>
                <w:szCs w:val="19"/>
                <w:color w:val="auto"/>
              </w:rPr>
            </w:pPr>
          </w:p>
        </w:tc>
        <w:tc>
          <w:tcPr>
            <w:tcW w:w="160" w:type="dxa"/>
            <w:vAlign w:val="bottom"/>
            <w:shd w:val="clear" w:color="auto" w:fill="E6E7E8"/>
          </w:tcPr>
          <w:p>
            <w:pPr>
              <w:spacing w:after="0"/>
              <w:rPr>
                <w:sz w:val="19"/>
                <w:szCs w:val="19"/>
                <w:color w:val="auto"/>
              </w:rPr>
            </w:pPr>
          </w:p>
        </w:tc>
        <w:tc>
          <w:tcPr>
            <w:tcW w:w="5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314</w:t>
            </w:r>
          </w:p>
        </w:tc>
        <w:tc>
          <w:tcPr>
            <w:tcW w:w="200" w:type="dxa"/>
            <w:vAlign w:val="bottom"/>
            <w:shd w:val="clear" w:color="auto" w:fill="E6E7E8"/>
          </w:tcPr>
          <w:p>
            <w:pPr>
              <w:spacing w:after="0"/>
              <w:rPr>
                <w:sz w:val="19"/>
                <w:szCs w:val="19"/>
                <w:color w:val="auto"/>
              </w:rPr>
            </w:pPr>
          </w:p>
        </w:tc>
        <w:tc>
          <w:tcPr>
            <w:tcW w:w="160" w:type="dxa"/>
            <w:vAlign w:val="bottom"/>
            <w:shd w:val="clear" w:color="auto" w:fill="E6E7E8"/>
          </w:tcPr>
          <w:p>
            <w:pPr>
              <w:spacing w:after="0"/>
              <w:rPr>
                <w:sz w:val="19"/>
                <w:szCs w:val="19"/>
                <w:color w:val="auto"/>
              </w:rPr>
            </w:pPr>
          </w:p>
        </w:tc>
        <w:tc>
          <w:tcPr>
            <w:tcW w:w="5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641</w:t>
            </w:r>
          </w:p>
        </w:tc>
        <w:tc>
          <w:tcPr>
            <w:tcW w:w="20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6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949</w:t>
            </w:r>
          </w:p>
        </w:tc>
        <w:tc>
          <w:tcPr>
            <w:tcW w:w="200" w:type="dxa"/>
            <w:vAlign w:val="bottom"/>
            <w:shd w:val="clear" w:color="auto" w:fill="E6E7E8"/>
          </w:tcPr>
          <w:p>
            <w:pPr>
              <w:spacing w:after="0"/>
              <w:rPr>
                <w:sz w:val="19"/>
                <w:szCs w:val="19"/>
                <w:color w:val="auto"/>
              </w:rPr>
            </w:pPr>
          </w:p>
        </w:tc>
        <w:tc>
          <w:tcPr>
            <w:tcW w:w="140" w:type="dxa"/>
            <w:vAlign w:val="bottom"/>
            <w:shd w:val="clear" w:color="auto" w:fill="E6E7E8"/>
          </w:tcPr>
          <w:p>
            <w:pPr>
              <w:spacing w:after="0"/>
              <w:rPr>
                <w:sz w:val="19"/>
                <w:szCs w:val="19"/>
                <w:color w:val="auto"/>
              </w:rPr>
            </w:pPr>
          </w:p>
        </w:tc>
        <w:tc>
          <w:tcPr>
            <w:tcW w:w="5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1,059</w:t>
            </w:r>
          </w:p>
        </w:tc>
        <w:tc>
          <w:tcPr>
            <w:tcW w:w="80" w:type="dxa"/>
            <w:vAlign w:val="bottom"/>
            <w:shd w:val="clear" w:color="auto" w:fill="E6E7E8"/>
          </w:tcPr>
          <w:p>
            <w:pPr>
              <w:spacing w:after="0"/>
              <w:rPr>
                <w:sz w:val="19"/>
                <w:szCs w:val="19"/>
                <w:color w:val="auto"/>
              </w:rPr>
            </w:pPr>
          </w:p>
        </w:tc>
      </w:tr>
      <w:tr>
        <w:trPr>
          <w:trHeight w:val="221"/>
        </w:trPr>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2600" w:type="dxa"/>
            <w:vAlign w:val="bottom"/>
            <w:shd w:val="clear" w:color="auto" w:fill="E6E7E8"/>
          </w:tcPr>
          <w:p>
            <w:pPr>
              <w:spacing w:after="0"/>
              <w:rPr>
                <w:sz w:val="20"/>
                <w:szCs w:val="20"/>
                <w:color w:val="auto"/>
              </w:rPr>
            </w:pPr>
            <w:r>
              <w:rPr>
                <w:rFonts w:ascii="Times New Roman" w:cs="Times New Roman" w:eastAsia="Times New Roman" w:hAnsi="Times New Roman"/>
                <w:sz w:val="18"/>
                <w:szCs w:val="18"/>
                <w:color w:val="231F20"/>
              </w:rPr>
              <w:t>Amounts Capitalized or Deferred</w:t>
            </w:r>
          </w:p>
        </w:tc>
        <w:tc>
          <w:tcPr>
            <w:tcW w:w="120" w:type="dxa"/>
            <w:vAlign w:val="bottom"/>
            <w:shd w:val="clear" w:color="auto" w:fill="E6E7E8"/>
          </w:tcPr>
          <w:p>
            <w:pPr>
              <w:spacing w:after="0"/>
              <w:rPr>
                <w:sz w:val="19"/>
                <w:szCs w:val="19"/>
                <w:color w:val="auto"/>
              </w:rPr>
            </w:pPr>
          </w:p>
        </w:tc>
        <w:tc>
          <w:tcPr>
            <w:tcW w:w="6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181</w:t>
            </w:r>
          </w:p>
        </w:tc>
        <w:tc>
          <w:tcPr>
            <w:tcW w:w="10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6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227</w:t>
            </w:r>
          </w:p>
        </w:tc>
        <w:tc>
          <w:tcPr>
            <w:tcW w:w="20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6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1,598</w:t>
            </w:r>
          </w:p>
        </w:tc>
        <w:tc>
          <w:tcPr>
            <w:tcW w:w="220" w:type="dxa"/>
            <w:vAlign w:val="bottom"/>
            <w:shd w:val="clear" w:color="auto" w:fill="E6E7E8"/>
          </w:tcPr>
          <w:p>
            <w:pPr>
              <w:spacing w:after="0"/>
              <w:rPr>
                <w:sz w:val="19"/>
                <w:szCs w:val="19"/>
                <w:color w:val="auto"/>
              </w:rPr>
            </w:pPr>
          </w:p>
        </w:tc>
        <w:tc>
          <w:tcPr>
            <w:tcW w:w="140" w:type="dxa"/>
            <w:vAlign w:val="bottom"/>
            <w:shd w:val="clear" w:color="auto" w:fill="E6E7E8"/>
          </w:tcPr>
          <w:p>
            <w:pPr>
              <w:spacing w:after="0"/>
              <w:rPr>
                <w:sz w:val="19"/>
                <w:szCs w:val="19"/>
                <w:color w:val="auto"/>
              </w:rPr>
            </w:pPr>
          </w:p>
        </w:tc>
        <w:tc>
          <w:tcPr>
            <w:tcW w:w="700" w:type="dxa"/>
            <w:vAlign w:val="bottom"/>
            <w:gridSpan w:val="2"/>
            <w:shd w:val="clear" w:color="auto" w:fill="E6E7E8"/>
          </w:tcPr>
          <w:p>
            <w:pPr>
              <w:jc w:val="right"/>
              <w:ind w:right="60"/>
              <w:spacing w:after="0"/>
              <w:rPr>
                <w:sz w:val="20"/>
                <w:szCs w:val="20"/>
                <w:color w:val="auto"/>
              </w:rPr>
            </w:pPr>
            <w:r>
              <w:rPr>
                <w:rFonts w:ascii="Times New Roman" w:cs="Times New Roman" w:eastAsia="Times New Roman" w:hAnsi="Times New Roman"/>
                <w:sz w:val="18"/>
                <w:szCs w:val="18"/>
                <w:b w:val="1"/>
                <w:bCs w:val="1"/>
                <w:color w:val="231F20"/>
              </w:rPr>
              <w:t>(135)</w:t>
            </w:r>
          </w:p>
        </w:tc>
        <w:tc>
          <w:tcPr>
            <w:tcW w:w="80" w:type="dxa"/>
            <w:vAlign w:val="bottom"/>
            <w:shd w:val="clear" w:color="auto" w:fill="E6E7E8"/>
          </w:tcPr>
          <w:p>
            <w:pPr>
              <w:spacing w:after="0"/>
              <w:rPr>
                <w:sz w:val="19"/>
                <w:szCs w:val="19"/>
                <w:color w:val="auto"/>
              </w:rPr>
            </w:pPr>
          </w:p>
        </w:tc>
        <w:tc>
          <w:tcPr>
            <w:tcW w:w="140" w:type="dxa"/>
            <w:vAlign w:val="bottom"/>
            <w:shd w:val="clear" w:color="auto" w:fill="E6E7E8"/>
          </w:tcPr>
          <w:p>
            <w:pPr>
              <w:spacing w:after="0"/>
              <w:rPr>
                <w:sz w:val="19"/>
                <w:szCs w:val="19"/>
                <w:color w:val="auto"/>
              </w:rPr>
            </w:pPr>
          </w:p>
        </w:tc>
        <w:tc>
          <w:tcPr>
            <w:tcW w:w="5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191</w:t>
            </w:r>
          </w:p>
        </w:tc>
        <w:tc>
          <w:tcPr>
            <w:tcW w:w="200" w:type="dxa"/>
            <w:vAlign w:val="bottom"/>
            <w:shd w:val="clear" w:color="auto" w:fill="E6E7E8"/>
          </w:tcPr>
          <w:p>
            <w:pPr>
              <w:spacing w:after="0"/>
              <w:rPr>
                <w:sz w:val="19"/>
                <w:szCs w:val="19"/>
                <w:color w:val="auto"/>
              </w:rPr>
            </w:pPr>
          </w:p>
        </w:tc>
        <w:tc>
          <w:tcPr>
            <w:tcW w:w="160" w:type="dxa"/>
            <w:vAlign w:val="bottom"/>
            <w:shd w:val="clear" w:color="auto" w:fill="E6E7E8"/>
          </w:tcPr>
          <w:p>
            <w:pPr>
              <w:spacing w:after="0"/>
              <w:rPr>
                <w:sz w:val="19"/>
                <w:szCs w:val="19"/>
                <w:color w:val="auto"/>
              </w:rPr>
            </w:pPr>
          </w:p>
        </w:tc>
        <w:tc>
          <w:tcPr>
            <w:tcW w:w="5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555</w:t>
            </w:r>
          </w:p>
        </w:tc>
        <w:tc>
          <w:tcPr>
            <w:tcW w:w="200" w:type="dxa"/>
            <w:vAlign w:val="bottom"/>
            <w:shd w:val="clear" w:color="auto" w:fill="E6E7E8"/>
          </w:tcPr>
          <w:p>
            <w:pPr>
              <w:spacing w:after="0"/>
              <w:rPr>
                <w:sz w:val="19"/>
                <w:szCs w:val="19"/>
                <w:color w:val="auto"/>
              </w:rPr>
            </w:pPr>
          </w:p>
        </w:tc>
        <w:tc>
          <w:tcPr>
            <w:tcW w:w="160" w:type="dxa"/>
            <w:vAlign w:val="bottom"/>
            <w:shd w:val="clear" w:color="auto" w:fill="E6E7E8"/>
          </w:tcPr>
          <w:p>
            <w:pPr>
              <w:spacing w:after="0"/>
              <w:rPr>
                <w:sz w:val="19"/>
                <w:szCs w:val="19"/>
                <w:color w:val="auto"/>
              </w:rPr>
            </w:pPr>
          </w:p>
        </w:tc>
        <w:tc>
          <w:tcPr>
            <w:tcW w:w="780" w:type="dxa"/>
            <w:vAlign w:val="bottom"/>
            <w:gridSpan w:val="2"/>
            <w:shd w:val="clear" w:color="auto" w:fill="E6E7E8"/>
          </w:tcPr>
          <w:p>
            <w:pPr>
              <w:jc w:val="right"/>
              <w:ind w:right="140"/>
              <w:spacing w:after="0"/>
              <w:rPr>
                <w:sz w:val="20"/>
                <w:szCs w:val="20"/>
                <w:color w:val="auto"/>
              </w:rPr>
            </w:pPr>
            <w:r>
              <w:rPr>
                <w:rFonts w:ascii="Times New Roman" w:cs="Times New Roman" w:eastAsia="Times New Roman" w:hAnsi="Times New Roman"/>
                <w:sz w:val="18"/>
                <w:szCs w:val="18"/>
                <w:b w:val="1"/>
                <w:bCs w:val="1"/>
                <w:color w:val="231F20"/>
              </w:rPr>
              <w:t>(203)</w:t>
            </w:r>
          </w:p>
        </w:tc>
        <w:tc>
          <w:tcPr>
            <w:tcW w:w="120" w:type="dxa"/>
            <w:vAlign w:val="bottom"/>
            <w:shd w:val="clear" w:color="auto" w:fill="E6E7E8"/>
          </w:tcPr>
          <w:p>
            <w:pPr>
              <w:spacing w:after="0"/>
              <w:rPr>
                <w:sz w:val="19"/>
                <w:szCs w:val="19"/>
                <w:color w:val="auto"/>
              </w:rPr>
            </w:pPr>
          </w:p>
        </w:tc>
        <w:tc>
          <w:tcPr>
            <w:tcW w:w="800" w:type="dxa"/>
            <w:vAlign w:val="bottom"/>
            <w:gridSpan w:val="2"/>
            <w:shd w:val="clear" w:color="auto" w:fill="E6E7E8"/>
          </w:tcPr>
          <w:p>
            <w:pPr>
              <w:jc w:val="right"/>
              <w:ind w:right="140"/>
              <w:spacing w:after="0"/>
              <w:rPr>
                <w:sz w:val="20"/>
                <w:szCs w:val="20"/>
                <w:color w:val="auto"/>
              </w:rPr>
            </w:pPr>
            <w:r>
              <w:rPr>
                <w:rFonts w:ascii="Times New Roman" w:cs="Times New Roman" w:eastAsia="Times New Roman" w:hAnsi="Times New Roman"/>
                <w:sz w:val="18"/>
                <w:szCs w:val="18"/>
                <w:color w:val="231F20"/>
              </w:rPr>
              <w:t>(295)</w:t>
            </w:r>
          </w:p>
        </w:tc>
        <w:tc>
          <w:tcPr>
            <w:tcW w:w="140" w:type="dxa"/>
            <w:vAlign w:val="bottom"/>
            <w:shd w:val="clear" w:color="auto" w:fill="E6E7E8"/>
          </w:tcPr>
          <w:p>
            <w:pPr>
              <w:spacing w:after="0"/>
              <w:rPr>
                <w:sz w:val="19"/>
                <w:szCs w:val="19"/>
                <w:color w:val="auto"/>
              </w:rPr>
            </w:pPr>
          </w:p>
        </w:tc>
        <w:tc>
          <w:tcPr>
            <w:tcW w:w="66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18"/>
                <w:szCs w:val="18"/>
                <w:color w:val="231F20"/>
              </w:rPr>
              <w:t>(327)</w:t>
            </w:r>
          </w:p>
        </w:tc>
      </w:tr>
      <w:tr>
        <w:trPr>
          <w:trHeight w:val="216"/>
        </w:trPr>
        <w:tc>
          <w:tcPr>
            <w:tcW w:w="2600" w:type="dxa"/>
            <w:vAlign w:val="bottom"/>
          </w:tcPr>
          <w:p>
            <w:pPr>
              <w:spacing w:after="0"/>
              <w:rPr>
                <w:sz w:val="18"/>
                <w:szCs w:val="18"/>
                <w:color w:val="auto"/>
              </w:rPr>
            </w:pPr>
          </w:p>
        </w:tc>
        <w:tc>
          <w:tcPr>
            <w:tcW w:w="120" w:type="dxa"/>
            <w:vAlign w:val="bottom"/>
            <w:tcBorders>
              <w:top w:val="single" w:sz="8" w:color="231F20"/>
            </w:tcBorders>
          </w:tcPr>
          <w:p>
            <w:pPr>
              <w:spacing w:after="0"/>
              <w:rPr>
                <w:sz w:val="18"/>
                <w:szCs w:val="18"/>
                <w:color w:val="auto"/>
              </w:rPr>
            </w:pPr>
          </w:p>
        </w:tc>
        <w:tc>
          <w:tcPr>
            <w:tcW w:w="600" w:type="dxa"/>
            <w:vAlign w:val="bottom"/>
            <w:tcBorders>
              <w:top w:val="single" w:sz="8" w:color="231F20"/>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231F20"/>
            </w:tcBorders>
          </w:tcPr>
          <w:p>
            <w:pPr>
              <w:spacing w:after="0"/>
              <w:rPr>
                <w:sz w:val="18"/>
                <w:szCs w:val="18"/>
                <w:color w:val="auto"/>
              </w:rPr>
            </w:pPr>
          </w:p>
        </w:tc>
        <w:tc>
          <w:tcPr>
            <w:tcW w:w="600" w:type="dxa"/>
            <w:vAlign w:val="bottom"/>
            <w:tcBorders>
              <w:top w:val="single" w:sz="8" w:color="231F20"/>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231F20"/>
            </w:tcBorders>
          </w:tcPr>
          <w:p>
            <w:pPr>
              <w:spacing w:after="0"/>
              <w:rPr>
                <w:sz w:val="18"/>
                <w:szCs w:val="18"/>
                <w:color w:val="auto"/>
              </w:rPr>
            </w:pPr>
          </w:p>
        </w:tc>
        <w:tc>
          <w:tcPr>
            <w:tcW w:w="600" w:type="dxa"/>
            <w:vAlign w:val="bottom"/>
            <w:tcBorders>
              <w:top w:val="single" w:sz="8" w:color="231F20"/>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231F20"/>
            </w:tcBorders>
          </w:tcPr>
          <w:p>
            <w:pPr>
              <w:spacing w:after="0"/>
              <w:rPr>
                <w:sz w:val="18"/>
                <w:szCs w:val="18"/>
                <w:color w:val="auto"/>
              </w:rPr>
            </w:pPr>
          </w:p>
        </w:tc>
        <w:tc>
          <w:tcPr>
            <w:tcW w:w="580" w:type="dxa"/>
            <w:vAlign w:val="bottom"/>
            <w:tcBorders>
              <w:top w:val="single" w:sz="8" w:color="231F20"/>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231F20"/>
            </w:tcBorders>
          </w:tcPr>
          <w:p>
            <w:pPr>
              <w:spacing w:after="0"/>
              <w:rPr>
                <w:sz w:val="18"/>
                <w:szCs w:val="18"/>
                <w:color w:val="auto"/>
              </w:rPr>
            </w:pPr>
          </w:p>
        </w:tc>
        <w:tc>
          <w:tcPr>
            <w:tcW w:w="580" w:type="dxa"/>
            <w:vAlign w:val="bottom"/>
            <w:tcBorders>
              <w:top w:val="single" w:sz="8" w:color="231F20"/>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231F20"/>
            </w:tcBorders>
          </w:tcPr>
          <w:p>
            <w:pPr>
              <w:spacing w:after="0"/>
              <w:rPr>
                <w:sz w:val="18"/>
                <w:szCs w:val="18"/>
                <w:color w:val="auto"/>
              </w:rPr>
            </w:pPr>
          </w:p>
        </w:tc>
        <w:tc>
          <w:tcPr>
            <w:tcW w:w="560" w:type="dxa"/>
            <w:vAlign w:val="bottom"/>
            <w:tcBorders>
              <w:top w:val="single" w:sz="8" w:color="231F20"/>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231F20"/>
            </w:tcBorders>
          </w:tcPr>
          <w:p>
            <w:pPr>
              <w:spacing w:after="0"/>
              <w:rPr>
                <w:sz w:val="18"/>
                <w:szCs w:val="18"/>
                <w:color w:val="auto"/>
              </w:rPr>
            </w:pPr>
          </w:p>
        </w:tc>
        <w:tc>
          <w:tcPr>
            <w:tcW w:w="580" w:type="dxa"/>
            <w:vAlign w:val="bottom"/>
            <w:tcBorders>
              <w:top w:val="single" w:sz="8" w:color="231F20"/>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231F20"/>
            </w:tcBorders>
          </w:tcPr>
          <w:p>
            <w:pPr>
              <w:spacing w:after="0"/>
              <w:rPr>
                <w:sz w:val="18"/>
                <w:szCs w:val="18"/>
                <w:color w:val="auto"/>
              </w:rPr>
            </w:pPr>
          </w:p>
        </w:tc>
        <w:tc>
          <w:tcPr>
            <w:tcW w:w="600" w:type="dxa"/>
            <w:vAlign w:val="bottom"/>
            <w:tcBorders>
              <w:top w:val="single" w:sz="8" w:color="231F20"/>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231F20"/>
            </w:tcBorders>
          </w:tcPr>
          <w:p>
            <w:pPr>
              <w:spacing w:after="0"/>
              <w:rPr>
                <w:sz w:val="18"/>
                <w:szCs w:val="18"/>
                <w:color w:val="auto"/>
              </w:rPr>
            </w:pPr>
          </w:p>
        </w:tc>
        <w:tc>
          <w:tcPr>
            <w:tcW w:w="580" w:type="dxa"/>
            <w:vAlign w:val="bottom"/>
            <w:tcBorders>
              <w:top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2600" w:type="dxa"/>
            <w:vAlign w:val="bottom"/>
            <w:shd w:val="clear" w:color="auto" w:fill="E6E7E8"/>
          </w:tcPr>
          <w:p>
            <w:pPr>
              <w:spacing w:after="0"/>
              <w:rPr>
                <w:sz w:val="20"/>
                <w:szCs w:val="20"/>
                <w:color w:val="auto"/>
              </w:rPr>
            </w:pPr>
            <w:r>
              <w:rPr>
                <w:rFonts w:ascii="Times New Roman" w:cs="Times New Roman" w:eastAsia="Times New Roman" w:hAnsi="Times New Roman"/>
                <w:sz w:val="18"/>
                <w:szCs w:val="18"/>
                <w:color w:val="231F20"/>
              </w:rPr>
              <w:t>NPBC Recognized</w:t>
            </w:r>
          </w:p>
        </w:tc>
        <w:tc>
          <w:tcPr>
            <w:tcW w:w="1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6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1,024</w:t>
            </w:r>
          </w:p>
        </w:tc>
        <w:tc>
          <w:tcPr>
            <w:tcW w:w="100" w:type="dxa"/>
            <w:vAlign w:val="bottom"/>
            <w:shd w:val="clear" w:color="auto" w:fill="E6E7E8"/>
          </w:tcPr>
          <w:p>
            <w:pPr>
              <w:spacing w:after="0"/>
              <w:rPr>
                <w:sz w:val="20"/>
                <w:szCs w:val="20"/>
                <w:color w:val="auto"/>
              </w:rPr>
            </w:pPr>
          </w:p>
        </w:tc>
        <w:tc>
          <w:tcPr>
            <w:tcW w:w="220" w:type="dxa"/>
            <w:vAlign w:val="bottom"/>
            <w:gridSpan w:val="2"/>
            <w:shd w:val="clear" w:color="auto" w:fill="E6E7E8"/>
          </w:tcPr>
          <w:p>
            <w:pPr>
              <w:jc w:val="right"/>
              <w:ind w:right="40"/>
              <w:spacing w:after="0"/>
              <w:rPr>
                <w:sz w:val="20"/>
                <w:szCs w:val="20"/>
                <w:color w:val="auto"/>
              </w:rPr>
            </w:pPr>
            <w:r>
              <w:rPr>
                <w:rFonts w:ascii="Times New Roman" w:cs="Times New Roman" w:eastAsia="Times New Roman" w:hAnsi="Times New Roman"/>
                <w:sz w:val="18"/>
                <w:szCs w:val="18"/>
                <w:color w:val="231F20"/>
              </w:rPr>
              <w:t>$</w:t>
            </w:r>
          </w:p>
        </w:tc>
        <w:tc>
          <w:tcPr>
            <w:tcW w:w="6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935</w:t>
            </w:r>
          </w:p>
        </w:tc>
        <w:tc>
          <w:tcPr>
            <w:tcW w:w="200" w:type="dxa"/>
            <w:vAlign w:val="bottom"/>
            <w:shd w:val="clear" w:color="auto" w:fill="E6E7E8"/>
          </w:tcPr>
          <w:p>
            <w:pPr>
              <w:spacing w:after="0"/>
              <w:rPr>
                <w:sz w:val="20"/>
                <w:szCs w:val="20"/>
                <w:color w:val="auto"/>
              </w:rPr>
            </w:pPr>
          </w:p>
        </w:tc>
        <w:tc>
          <w:tcPr>
            <w:tcW w:w="1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6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836</w:t>
            </w:r>
          </w:p>
        </w:tc>
        <w:tc>
          <w:tcPr>
            <w:tcW w:w="220" w:type="dxa"/>
            <w:vAlign w:val="bottom"/>
            <w:shd w:val="clear" w:color="auto" w:fill="E6E7E8"/>
          </w:tcPr>
          <w:p>
            <w:pPr>
              <w:spacing w:after="0"/>
              <w:rPr>
                <w:sz w:val="20"/>
                <w:szCs w:val="20"/>
                <w:color w:val="auto"/>
              </w:rPr>
            </w:pPr>
          </w:p>
        </w:tc>
        <w:tc>
          <w:tcPr>
            <w:tcW w:w="14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5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749</w:t>
            </w:r>
          </w:p>
        </w:tc>
        <w:tc>
          <w:tcPr>
            <w:tcW w:w="120" w:type="dxa"/>
            <w:vAlign w:val="bottom"/>
            <w:shd w:val="clear" w:color="auto" w:fill="E6E7E8"/>
          </w:tcPr>
          <w:p>
            <w:pPr>
              <w:spacing w:after="0"/>
              <w:rPr>
                <w:sz w:val="20"/>
                <w:szCs w:val="20"/>
                <w:color w:val="auto"/>
              </w:rPr>
            </w:pPr>
          </w:p>
        </w:tc>
        <w:tc>
          <w:tcPr>
            <w:tcW w:w="220" w:type="dxa"/>
            <w:vAlign w:val="bottom"/>
            <w:gridSpan w:val="2"/>
            <w:shd w:val="clear" w:color="auto" w:fill="E6E7E8"/>
          </w:tcPr>
          <w:p>
            <w:pPr>
              <w:ind w:left="80"/>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697</w:t>
            </w:r>
          </w:p>
        </w:tc>
        <w:tc>
          <w:tcPr>
            <w:tcW w:w="200" w:type="dxa"/>
            <w:vAlign w:val="bottom"/>
            <w:shd w:val="clear" w:color="auto" w:fill="E6E7E8"/>
          </w:tcPr>
          <w:p>
            <w:pPr>
              <w:spacing w:after="0"/>
              <w:rPr>
                <w:sz w:val="20"/>
                <w:szCs w:val="20"/>
                <w:color w:val="auto"/>
              </w:rPr>
            </w:pPr>
          </w:p>
        </w:tc>
        <w:tc>
          <w:tcPr>
            <w:tcW w:w="1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5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869</w:t>
            </w:r>
          </w:p>
        </w:tc>
        <w:tc>
          <w:tcPr>
            <w:tcW w:w="200" w:type="dxa"/>
            <w:vAlign w:val="bottom"/>
            <w:shd w:val="clear" w:color="auto" w:fill="E6E7E8"/>
          </w:tcPr>
          <w:p>
            <w:pPr>
              <w:spacing w:after="0"/>
              <w:rPr>
                <w:sz w:val="20"/>
                <w:szCs w:val="20"/>
                <w:color w:val="auto"/>
              </w:rPr>
            </w:pPr>
          </w:p>
        </w:tc>
        <w:tc>
          <w:tcPr>
            <w:tcW w:w="1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w w:val="88"/>
              </w:rPr>
              <w:t>$</w:t>
            </w:r>
          </w:p>
        </w:tc>
        <w:tc>
          <w:tcPr>
            <w:tcW w:w="5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438</w:t>
            </w:r>
          </w:p>
        </w:tc>
        <w:tc>
          <w:tcPr>
            <w:tcW w:w="200" w:type="dxa"/>
            <w:vAlign w:val="bottom"/>
            <w:shd w:val="clear" w:color="auto" w:fill="E6E7E8"/>
          </w:tcPr>
          <w:p>
            <w:pPr>
              <w:spacing w:after="0"/>
              <w:rPr>
                <w:sz w:val="20"/>
                <w:szCs w:val="20"/>
                <w:color w:val="auto"/>
              </w:rPr>
            </w:pPr>
          </w:p>
        </w:tc>
        <w:tc>
          <w:tcPr>
            <w:tcW w:w="1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6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654</w:t>
            </w:r>
          </w:p>
        </w:tc>
        <w:tc>
          <w:tcPr>
            <w:tcW w:w="200" w:type="dxa"/>
            <w:vAlign w:val="bottom"/>
            <w:shd w:val="clear" w:color="auto" w:fill="E6E7E8"/>
          </w:tcPr>
          <w:p>
            <w:pPr>
              <w:spacing w:after="0"/>
              <w:rPr>
                <w:sz w:val="20"/>
                <w:szCs w:val="20"/>
                <w:color w:val="auto"/>
              </w:rPr>
            </w:pPr>
          </w:p>
        </w:tc>
        <w:tc>
          <w:tcPr>
            <w:tcW w:w="14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732</w:t>
            </w:r>
          </w:p>
        </w:tc>
        <w:tc>
          <w:tcPr>
            <w:tcW w:w="80" w:type="dxa"/>
            <w:vAlign w:val="bottom"/>
            <w:shd w:val="clear" w:color="auto" w:fill="E6E7E8"/>
          </w:tcPr>
          <w:p>
            <w:pPr>
              <w:spacing w:after="0"/>
              <w:rPr>
                <w:sz w:val="20"/>
                <w:szCs w:val="20"/>
                <w:color w:val="auto"/>
              </w:rPr>
            </w:pPr>
          </w:p>
        </w:tc>
      </w:tr>
      <w:tr>
        <w:trPr>
          <w:trHeight w:val="20"/>
        </w:trPr>
        <w:tc>
          <w:tcPr>
            <w:tcW w:w="2600" w:type="dxa"/>
            <w:vAlign w:val="bottom"/>
            <w:tcBorders>
              <w:top w:val="single" w:sz="8" w:color="E6E7E8"/>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E6E7E8"/>
            </w:tcBorders>
          </w:tcPr>
          <w:p>
            <w:pPr>
              <w:spacing w:after="0" w:line="20" w:lineRule="exact"/>
              <w:rPr>
                <w:sz w:val="1"/>
                <w:szCs w:val="1"/>
                <w:color w:val="auto"/>
              </w:rPr>
            </w:pPr>
          </w:p>
        </w:tc>
        <w:tc>
          <w:tcPr>
            <w:tcW w:w="100" w:type="dxa"/>
            <w:vAlign w:val="bottom"/>
            <w:tcBorders>
              <w:top w:val="single" w:sz="8" w:color="E6E7E8"/>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Borders>
              <w:top w:val="single" w:sz="8" w:color="E6E7E8"/>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Borders>
              <w:top w:val="single" w:sz="8" w:color="E6E7E8"/>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58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E6E7E8"/>
            </w:tcBorders>
          </w:tcPr>
          <w:p>
            <w:pPr>
              <w:spacing w:after="0" w:line="20" w:lineRule="exact"/>
              <w:rPr>
                <w:sz w:val="1"/>
                <w:szCs w:val="1"/>
                <w:color w:val="auto"/>
              </w:rPr>
            </w:pPr>
          </w:p>
        </w:tc>
        <w:tc>
          <w:tcPr>
            <w:tcW w:w="80" w:type="dxa"/>
            <w:vAlign w:val="bottom"/>
            <w:tcBorders>
              <w:top w:val="single" w:sz="8" w:color="E6E7E8"/>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58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Borders>
              <w:top w:val="single" w:sz="8" w:color="E6E7E8"/>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56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Borders>
              <w:top w:val="single" w:sz="8" w:color="E6E7E8"/>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58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Borders>
              <w:top w:val="single" w:sz="8" w:color="E6E7E8"/>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Borders>
              <w:top w:val="single" w:sz="8" w:color="E6E7E8"/>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5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6E7E8"/>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-2421255</wp:posOffset>
            </wp:positionV>
            <wp:extent cx="5203190"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53">
                      <a:extLst>
                        <a:ext uri="{28A0092B-C50C-407E-A947-70E740481C1C}"/>
                      </a:extLst>
                    </a:blip>
                    <a:srcRect/>
                    <a:stretch>
                      <a:fillRect/>
                    </a:stretch>
                  </pic:blipFill>
                  <pic:spPr bwMode="auto">
                    <a:xfrm>
                      <a:off x="0" y="0"/>
                      <a:ext cx="5203190" cy="38100"/>
                    </a:xfrm>
                    <a:prstGeom prst="rect">
                      <a:avLst/>
                    </a:prstGeom>
                    <a:noFill/>
                  </pic:spPr>
                </pic:pic>
              </a:graphicData>
            </a:graphic>
          </wp:anchor>
        </w:drawing>
      </w:r>
    </w:p>
    <w:p>
      <w:pPr>
        <w:spacing w:after="0" w:line="235" w:lineRule="exact"/>
        <w:rPr>
          <w:sz w:val="20"/>
          <w:szCs w:val="20"/>
          <w:color w:val="auto"/>
        </w:rPr>
      </w:pPr>
    </w:p>
    <w:p>
      <w:pPr>
        <w:ind w:right="40" w:firstLine="612"/>
        <w:spacing w:after="0" w:line="245" w:lineRule="auto"/>
        <w:rPr>
          <w:sz w:val="20"/>
          <w:szCs w:val="20"/>
          <w:color w:val="auto"/>
        </w:rPr>
      </w:pPr>
      <w:r>
        <w:rPr>
          <w:rFonts w:ascii="Times New Roman" w:cs="Times New Roman" w:eastAsia="Times New Roman" w:hAnsi="Times New Roman"/>
          <w:sz w:val="21"/>
          <w:szCs w:val="21"/>
          <w:color w:val="231F20"/>
        </w:rPr>
        <w:t>The Company bases the actuarial determination of pension expense on a market-related valuation of assets, which reduces year-to-year volatility. This market-related valuation recognizes investment gains or losses over a three-year period from the year in which they occur. Investment gains or losses for this purpose are the difference between the expected return calculated using the market-related value of assets and the actual return based on the fair value of assets. Since the market-related value of assets recognizes gains or losses over a three-year period, the future value of the market-related assets will be affected as previously deferred gains or losses are recognized. Had the Company used the fair value of assets instead of the market-related value, pension expense for the years 2025, 2024 and 2023 would have been ($0.5) million, $1.8 million and $2.8 million respectively, prior to amounts capitalized or deferred.</w:t>
      </w:r>
    </w:p>
    <w:p>
      <w:pPr>
        <w:sectPr>
          <w:pgSz w:w="12240" w:h="15840" w:orient="portrait"/>
          <w:cols w:equalWidth="0" w:num="1">
            <w:col w:w="10800"/>
          </w:cols>
          <w:pgMar w:left="720" w:top="928" w:right="72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87</w:t>
      </w:r>
    </w:p>
    <w:p>
      <w:pPr>
        <w:sectPr>
          <w:pgSz w:w="12240" w:h="15840" w:orient="portrait"/>
          <w:cols w:equalWidth="0" w:num="1">
            <w:col w:w="10800"/>
          </w:cols>
          <w:pgMar w:left="720" w:top="928" w:right="720" w:bottom="188" w:gutter="0" w:footer="0" w:header="0"/>
          <w:type w:val="continuous"/>
        </w:sectPr>
      </w:pPr>
    </w:p>
    <w:bookmarkStart w:id="107" w:name="page108"/>
    <w:bookmarkEnd w:id="107"/>
    <w:p>
      <w:pPr>
        <w:ind w:right="220" w:firstLine="612"/>
        <w:spacing w:after="0" w:line="279" w:lineRule="auto"/>
        <w:rPr>
          <w:sz w:val="20"/>
          <w:szCs w:val="20"/>
          <w:color w:val="auto"/>
        </w:rPr>
      </w:pPr>
      <w:r>
        <w:rPr>
          <w:rFonts w:ascii="Times New Roman" w:cs="Times New Roman" w:eastAsia="Times New Roman" w:hAnsi="Times New Roman"/>
          <w:sz w:val="21"/>
          <w:szCs w:val="21"/>
          <w:color w:val="231F20"/>
        </w:rPr>
        <w:t>The following table represents information on the plans’ assets, projected benefit obligations (PBO), and funded status (000’s):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Change in Plan Assets:</w:t>
            </w:r>
          </w:p>
        </w:tc>
        <w:tc>
          <w:tcPr>
            <w:tcW w:w="160" w:type="dxa"/>
            <w:vAlign w:val="bottom"/>
          </w:tcPr>
          <w:p>
            <w:pPr>
              <w:spacing w:after="0"/>
              <w:rPr>
                <w:sz w:val="17"/>
                <w:szCs w:val="17"/>
                <w:color w:val="auto"/>
              </w:rPr>
            </w:pPr>
          </w:p>
        </w:tc>
        <w:tc>
          <w:tcPr>
            <w:tcW w:w="1940" w:type="dxa"/>
            <w:vAlign w:val="bottom"/>
            <w:gridSpan w:val="5"/>
          </w:tcPr>
          <w:p>
            <w:pPr>
              <w:jc w:val="right"/>
              <w:ind w:right="700"/>
              <w:spacing w:after="0"/>
              <w:rPr>
                <w:sz w:val="20"/>
                <w:szCs w:val="20"/>
                <w:color w:val="auto"/>
              </w:rPr>
            </w:pPr>
            <w:r>
              <w:rPr>
                <w:rFonts w:ascii="Times New Roman" w:cs="Times New Roman" w:eastAsia="Times New Roman" w:hAnsi="Times New Roman"/>
                <w:sz w:val="16"/>
                <w:szCs w:val="16"/>
                <w:b w:val="1"/>
                <w:bCs w:val="1"/>
                <w:color w:val="231F20"/>
              </w:rPr>
              <w:t>Pension Plan</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231F20"/>
              </w:rPr>
              <w:t>PBOP Plan</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231F20"/>
              </w:rPr>
              <w:t>SERP</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60" w:type="dxa"/>
            <w:vAlign w:val="bottom"/>
            <w:gridSpan w:val="3"/>
            <w:vMerge w:val="continue"/>
          </w:tcPr>
          <w:p>
            <w:pPr>
              <w:spacing w:after="0"/>
              <w:rPr>
                <w:sz w:val="16"/>
                <w:szCs w:val="16"/>
                <w:color w:val="auto"/>
              </w:rPr>
            </w:pPr>
          </w:p>
        </w:tc>
        <w:tc>
          <w:tcPr>
            <w:tcW w:w="160" w:type="dxa"/>
            <w:vAlign w:val="bottom"/>
            <w:tcBorders>
              <w:top w:val="single" w:sz="8" w:color="231F20"/>
            </w:tcBorders>
          </w:tcPr>
          <w:p>
            <w:pPr>
              <w:spacing w:after="0"/>
              <w:rPr>
                <w:sz w:val="16"/>
                <w:szCs w:val="16"/>
                <w:color w:val="auto"/>
              </w:rPr>
            </w:pPr>
          </w:p>
        </w:tc>
        <w:tc>
          <w:tcPr>
            <w:tcW w:w="700" w:type="dxa"/>
            <w:vAlign w:val="bottom"/>
            <w:tcBorders>
              <w:top w:val="single" w:sz="8" w:color="231F20"/>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20" w:type="dxa"/>
            <w:vAlign w:val="bottom"/>
            <w:tcBorders>
              <w:top w:val="single" w:sz="8" w:color="231F20"/>
            </w:tcBorders>
          </w:tcPr>
          <w:p>
            <w:pPr>
              <w:spacing w:after="0"/>
              <w:rPr>
                <w:sz w:val="16"/>
                <w:szCs w:val="16"/>
                <w:color w:val="auto"/>
              </w:rPr>
            </w:pPr>
          </w:p>
        </w:tc>
        <w:tc>
          <w:tcPr>
            <w:tcW w:w="180" w:type="dxa"/>
            <w:vAlign w:val="bottom"/>
            <w:tcBorders>
              <w:top w:val="single" w:sz="8" w:color="231F20"/>
            </w:tcBorders>
          </w:tcPr>
          <w:p>
            <w:pPr>
              <w:spacing w:after="0"/>
              <w:rPr>
                <w:sz w:val="16"/>
                <w:szCs w:val="16"/>
                <w:color w:val="auto"/>
              </w:rPr>
            </w:pPr>
          </w:p>
        </w:tc>
        <w:tc>
          <w:tcPr>
            <w:tcW w:w="700" w:type="dxa"/>
            <w:vAlign w:val="bottom"/>
            <w:tcBorders>
              <w:top w:val="single" w:sz="8" w:color="231F20"/>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231F20"/>
            </w:tcBorders>
          </w:tcPr>
          <w:p>
            <w:pPr>
              <w:spacing w:after="0"/>
              <w:rPr>
                <w:sz w:val="16"/>
                <w:szCs w:val="16"/>
                <w:color w:val="auto"/>
              </w:rPr>
            </w:pPr>
          </w:p>
        </w:tc>
        <w:tc>
          <w:tcPr>
            <w:tcW w:w="700" w:type="dxa"/>
            <w:vAlign w:val="bottom"/>
            <w:tcBorders>
              <w:top w:val="single" w:sz="8" w:color="231F20"/>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40" w:type="dxa"/>
            <w:vAlign w:val="bottom"/>
            <w:tcBorders>
              <w:top w:val="single" w:sz="8" w:color="231F20"/>
            </w:tcBorders>
          </w:tcPr>
          <w:p>
            <w:pPr>
              <w:spacing w:after="0"/>
              <w:rPr>
                <w:sz w:val="16"/>
                <w:szCs w:val="16"/>
                <w:color w:val="auto"/>
              </w:rPr>
            </w:pPr>
          </w:p>
        </w:tc>
        <w:tc>
          <w:tcPr>
            <w:tcW w:w="80" w:type="dxa"/>
            <w:vAlign w:val="bottom"/>
            <w:tcBorders>
              <w:top w:val="single" w:sz="8" w:color="231F20"/>
            </w:tcBorders>
          </w:tcPr>
          <w:p>
            <w:pPr>
              <w:spacing w:after="0"/>
              <w:rPr>
                <w:sz w:val="16"/>
                <w:szCs w:val="16"/>
                <w:color w:val="auto"/>
              </w:rPr>
            </w:pPr>
          </w:p>
        </w:tc>
        <w:tc>
          <w:tcPr>
            <w:tcW w:w="280" w:type="dxa"/>
            <w:vAlign w:val="bottom"/>
            <w:tcBorders>
              <w:top w:val="single" w:sz="8" w:color="231F20"/>
            </w:tcBorders>
          </w:tcPr>
          <w:p>
            <w:pPr>
              <w:spacing w:after="0"/>
              <w:rPr>
                <w:sz w:val="16"/>
                <w:szCs w:val="16"/>
                <w:color w:val="auto"/>
              </w:rPr>
            </w:pPr>
          </w:p>
        </w:tc>
        <w:tc>
          <w:tcPr>
            <w:tcW w:w="600" w:type="dxa"/>
            <w:vAlign w:val="bottom"/>
            <w:tcBorders>
              <w:top w:val="single" w:sz="8" w:color="231F20"/>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231F20"/>
                <w:w w:val="93"/>
              </w:rPr>
              <w:t>2024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231F20"/>
            </w:tcBorders>
          </w:tcPr>
          <w:p>
            <w:pPr>
              <w:spacing w:after="0"/>
              <w:rPr>
                <w:sz w:val="16"/>
                <w:szCs w:val="16"/>
                <w:color w:val="auto"/>
              </w:rPr>
            </w:pPr>
          </w:p>
        </w:tc>
        <w:tc>
          <w:tcPr>
            <w:tcW w:w="700" w:type="dxa"/>
            <w:vAlign w:val="bottom"/>
            <w:tcBorders>
              <w:top w:val="single" w:sz="8" w:color="231F20"/>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40" w:type="dxa"/>
            <w:vAlign w:val="bottom"/>
            <w:tcBorders>
              <w:top w:val="single" w:sz="8" w:color="231F20"/>
            </w:tcBorders>
          </w:tcPr>
          <w:p>
            <w:pPr>
              <w:spacing w:after="0"/>
              <w:rPr>
                <w:sz w:val="16"/>
                <w:szCs w:val="16"/>
                <w:color w:val="auto"/>
              </w:rPr>
            </w:pPr>
          </w:p>
        </w:tc>
        <w:tc>
          <w:tcPr>
            <w:tcW w:w="80" w:type="dxa"/>
            <w:vAlign w:val="bottom"/>
            <w:tcBorders>
              <w:top w:val="single" w:sz="8" w:color="231F20"/>
            </w:tcBorders>
          </w:tcPr>
          <w:p>
            <w:pPr>
              <w:spacing w:after="0"/>
              <w:rPr>
                <w:sz w:val="16"/>
                <w:szCs w:val="16"/>
                <w:color w:val="auto"/>
              </w:rPr>
            </w:pPr>
          </w:p>
        </w:tc>
        <w:tc>
          <w:tcPr>
            <w:tcW w:w="180" w:type="dxa"/>
            <w:vAlign w:val="bottom"/>
            <w:tcBorders>
              <w:top w:val="single" w:sz="8" w:color="231F20"/>
            </w:tcBorders>
          </w:tcPr>
          <w:p>
            <w:pPr>
              <w:spacing w:after="0"/>
              <w:rPr>
                <w:sz w:val="16"/>
                <w:szCs w:val="16"/>
                <w:color w:val="auto"/>
              </w:rPr>
            </w:pPr>
          </w:p>
        </w:tc>
        <w:tc>
          <w:tcPr>
            <w:tcW w:w="700" w:type="dxa"/>
            <w:vAlign w:val="bottom"/>
            <w:tcBorders>
              <w:top w:val="single" w:sz="8" w:color="231F20"/>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240" w:type="dxa"/>
            <w:vAlign w:val="bottom"/>
            <w:tcBorders>
              <w:top w:val="single" w:sz="8" w:color="231F20"/>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231F20"/>
            </w:tcBorders>
          </w:tcPr>
          <w:p>
            <w:pPr>
              <w:spacing w:after="0"/>
              <w:rPr>
                <w:sz w:val="16"/>
                <w:szCs w:val="16"/>
                <w:color w:val="auto"/>
              </w:rPr>
            </w:pPr>
          </w:p>
        </w:tc>
        <w:tc>
          <w:tcPr>
            <w:tcW w:w="160" w:type="dxa"/>
            <w:vAlign w:val="bottom"/>
            <w:tcBorders>
              <w:top w:val="single" w:sz="8" w:color="231F20"/>
            </w:tcBorders>
          </w:tcPr>
          <w:p>
            <w:pPr>
              <w:spacing w:after="0"/>
              <w:rPr>
                <w:sz w:val="16"/>
                <w:szCs w:val="16"/>
                <w:color w:val="auto"/>
              </w:rPr>
            </w:pPr>
          </w:p>
        </w:tc>
        <w:tc>
          <w:tcPr>
            <w:tcW w:w="700" w:type="dxa"/>
            <w:vAlign w:val="bottom"/>
            <w:tcBorders>
              <w:top w:val="single" w:sz="8" w:color="231F20"/>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231F20"/>
            </w:tcBorders>
          </w:tcPr>
          <w:p>
            <w:pPr>
              <w:spacing w:after="0"/>
              <w:rPr>
                <w:sz w:val="16"/>
                <w:szCs w:val="16"/>
                <w:color w:val="auto"/>
              </w:rPr>
            </w:pPr>
          </w:p>
        </w:tc>
        <w:tc>
          <w:tcPr>
            <w:tcW w:w="700" w:type="dxa"/>
            <w:vAlign w:val="bottom"/>
            <w:tcBorders>
              <w:top w:val="single" w:sz="8" w:color="231F20"/>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231F20"/>
            </w:tcBorders>
          </w:tcPr>
          <w:p>
            <w:pPr>
              <w:spacing w:after="0"/>
              <w:rPr>
                <w:sz w:val="16"/>
                <w:szCs w:val="16"/>
                <w:color w:val="auto"/>
              </w:rPr>
            </w:pPr>
          </w:p>
        </w:tc>
        <w:tc>
          <w:tcPr>
            <w:tcW w:w="700" w:type="dxa"/>
            <w:vAlign w:val="bottom"/>
            <w:tcBorders>
              <w:top w:val="single" w:sz="8" w:color="231F20"/>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231F20"/>
            </w:tcBorders>
          </w:tcPr>
          <w:p>
            <w:pPr>
              <w:spacing w:after="0"/>
              <w:rPr>
                <w:sz w:val="16"/>
                <w:szCs w:val="16"/>
                <w:color w:val="auto"/>
              </w:rPr>
            </w:pPr>
          </w:p>
        </w:tc>
        <w:tc>
          <w:tcPr>
            <w:tcW w:w="600" w:type="dxa"/>
            <w:vAlign w:val="bottom"/>
            <w:tcBorders>
              <w:top w:val="single" w:sz="8" w:color="231F20"/>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231F20"/>
            </w:tcBorders>
          </w:tcPr>
          <w:p>
            <w:pPr>
              <w:spacing w:after="0"/>
              <w:rPr>
                <w:sz w:val="16"/>
                <w:szCs w:val="16"/>
                <w:color w:val="auto"/>
              </w:rPr>
            </w:pPr>
          </w:p>
        </w:tc>
        <w:tc>
          <w:tcPr>
            <w:tcW w:w="700" w:type="dxa"/>
            <w:vAlign w:val="bottom"/>
            <w:tcBorders>
              <w:top w:val="single" w:sz="8" w:color="231F20"/>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231F20"/>
            </w:tcBorders>
          </w:tcPr>
          <w:p>
            <w:pPr>
              <w:spacing w:after="0"/>
              <w:rPr>
                <w:sz w:val="16"/>
                <w:szCs w:val="16"/>
                <w:color w:val="auto"/>
              </w:rPr>
            </w:pPr>
          </w:p>
        </w:tc>
        <w:tc>
          <w:tcPr>
            <w:tcW w:w="700" w:type="dxa"/>
            <w:vAlign w:val="bottom"/>
            <w:tcBorders>
              <w:top w:val="single" w:sz="8" w:color="231F20"/>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360" w:type="dxa"/>
            <w:vAlign w:val="bottom"/>
            <w:gridSpan w:val="3"/>
            <w:shd w:val="clear" w:color="auto" w:fill="E6E7E8"/>
          </w:tcPr>
          <w:p>
            <w:pPr>
              <w:spacing w:after="0"/>
              <w:rPr>
                <w:sz w:val="20"/>
                <w:szCs w:val="20"/>
                <w:color w:val="auto"/>
              </w:rPr>
            </w:pPr>
            <w:r>
              <w:rPr>
                <w:rFonts w:ascii="Times New Roman" w:cs="Times New Roman" w:eastAsia="Times New Roman" w:hAnsi="Times New Roman"/>
                <w:sz w:val="19"/>
                <w:szCs w:val="19"/>
                <w:color w:val="231F20"/>
              </w:rPr>
              <w:t>Plan Assets at Beginning of Year</w:t>
            </w:r>
          </w:p>
        </w:tc>
        <w:tc>
          <w:tcPr>
            <w:tcW w:w="1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148,974</w:t>
            </w:r>
          </w:p>
        </w:tc>
        <w:tc>
          <w:tcPr>
            <w:tcW w:w="220" w:type="dxa"/>
            <w:vAlign w:val="bottom"/>
            <w:shd w:val="clear" w:color="auto" w:fill="E6E7E8"/>
          </w:tcPr>
          <w:p>
            <w:pPr>
              <w:spacing w:after="0"/>
              <w:rPr>
                <w:sz w:val="20"/>
                <w:szCs w:val="20"/>
                <w:color w:val="auto"/>
              </w:rPr>
            </w:pPr>
          </w:p>
        </w:tc>
        <w:tc>
          <w:tcPr>
            <w:tcW w:w="180" w:type="dxa"/>
            <w:vAlign w:val="bottom"/>
            <w:shd w:val="clear" w:color="auto" w:fill="E6E7E8"/>
          </w:tcPr>
          <w:p>
            <w:pPr>
              <w:jc w:val="right"/>
              <w:ind w:right="15"/>
              <w:spacing w:after="0"/>
              <w:rPr>
                <w:sz w:val="20"/>
                <w:szCs w:val="20"/>
                <w:color w:val="auto"/>
              </w:rPr>
            </w:pPr>
            <w:r>
              <w:rPr>
                <w:rFonts w:ascii="Times New Roman" w:cs="Times New Roman" w:eastAsia="Times New Roman" w:hAnsi="Times New Roman"/>
                <w:sz w:val="17"/>
                <w:szCs w:val="17"/>
                <w:color w:val="231F20"/>
                <w:w w:val="70"/>
              </w:rPr>
              <w:t>$</w:t>
            </w: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137,893</w:t>
            </w:r>
          </w:p>
        </w:tc>
        <w:tc>
          <w:tcPr>
            <w:tcW w:w="140" w:type="dxa"/>
            <w:vAlign w:val="bottom"/>
            <w:shd w:val="clear" w:color="auto" w:fill="E6E7E8"/>
          </w:tcPr>
          <w:p>
            <w:pPr>
              <w:spacing w:after="0"/>
              <w:rPr>
                <w:sz w:val="20"/>
                <w:szCs w:val="20"/>
                <w:color w:val="auto"/>
              </w:rPr>
            </w:pPr>
          </w:p>
        </w:tc>
        <w:tc>
          <w:tcPr>
            <w:tcW w:w="260" w:type="dxa"/>
            <w:vAlign w:val="bottom"/>
            <w:gridSpan w:val="2"/>
            <w:shd w:val="clear" w:color="auto" w:fill="E6E7E8"/>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w:t>
            </w: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58,402</w:t>
            </w:r>
          </w:p>
        </w:tc>
        <w:tc>
          <w:tcPr>
            <w:tcW w:w="140" w:type="dxa"/>
            <w:vAlign w:val="bottom"/>
            <w:shd w:val="clear" w:color="auto" w:fill="E6E7E8"/>
          </w:tcPr>
          <w:p>
            <w:pPr>
              <w:spacing w:after="0"/>
              <w:rPr>
                <w:sz w:val="20"/>
                <w:szCs w:val="20"/>
                <w:color w:val="auto"/>
              </w:rPr>
            </w:pPr>
          </w:p>
        </w:tc>
        <w:tc>
          <w:tcPr>
            <w:tcW w:w="360" w:type="dxa"/>
            <w:vAlign w:val="bottom"/>
            <w:gridSpan w:val="2"/>
            <w:shd w:val="clear" w:color="auto" w:fill="E6E7E8"/>
          </w:tcPr>
          <w:p>
            <w:pPr>
              <w:jc w:val="right"/>
              <w:ind w:right="200"/>
              <w:spacing w:after="0"/>
              <w:rPr>
                <w:sz w:val="20"/>
                <w:szCs w:val="20"/>
                <w:color w:val="auto"/>
              </w:rPr>
            </w:pPr>
            <w:r>
              <w:rPr>
                <w:rFonts w:ascii="Times New Roman" w:cs="Times New Roman" w:eastAsia="Times New Roman" w:hAnsi="Times New Roman"/>
                <w:sz w:val="18"/>
                <w:szCs w:val="18"/>
                <w:color w:val="231F20"/>
              </w:rPr>
              <w:t>$</w:t>
            </w:r>
          </w:p>
        </w:tc>
        <w:tc>
          <w:tcPr>
            <w:tcW w:w="6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51,892</w:t>
            </w:r>
          </w:p>
        </w:tc>
        <w:tc>
          <w:tcPr>
            <w:tcW w:w="140" w:type="dxa"/>
            <w:vAlign w:val="bottom"/>
            <w:shd w:val="clear" w:color="auto" w:fill="E6E7E8"/>
          </w:tcPr>
          <w:p>
            <w:pPr>
              <w:spacing w:after="0"/>
              <w:rPr>
                <w:sz w:val="20"/>
                <w:szCs w:val="20"/>
                <w:color w:val="auto"/>
              </w:rPr>
            </w:pPr>
          </w:p>
        </w:tc>
        <w:tc>
          <w:tcPr>
            <w:tcW w:w="260" w:type="dxa"/>
            <w:vAlign w:val="bottom"/>
            <w:gridSpan w:val="2"/>
            <w:shd w:val="clear" w:color="auto" w:fill="E6E7E8"/>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w:t>
            </w:r>
          </w:p>
        </w:tc>
        <w:tc>
          <w:tcPr>
            <w:tcW w:w="840" w:type="dxa"/>
            <w:vAlign w:val="bottom"/>
            <w:gridSpan w:val="2"/>
            <w:shd w:val="clear" w:color="auto" w:fill="E6E7E8"/>
          </w:tcPr>
          <w:p>
            <w:pPr>
              <w:jc w:val="right"/>
              <w:ind w:right="140"/>
              <w:spacing w:after="0"/>
              <w:rPr>
                <w:sz w:val="20"/>
                <w:szCs w:val="20"/>
                <w:color w:val="auto"/>
              </w:rPr>
            </w:pPr>
            <w:r>
              <w:rPr>
                <w:rFonts w:ascii="Times New Roman" w:cs="Times New Roman" w:eastAsia="Times New Roman" w:hAnsi="Times New Roman"/>
                <w:sz w:val="18"/>
                <w:szCs w:val="18"/>
                <w:b w:val="1"/>
                <w:bCs w:val="1"/>
                <w:color w:val="231F20"/>
              </w:rPr>
              <w:t>—</w:t>
            </w:r>
          </w:p>
        </w:tc>
        <w:tc>
          <w:tcPr>
            <w:tcW w:w="260" w:type="dxa"/>
            <w:vAlign w:val="bottom"/>
            <w:gridSpan w:val="2"/>
            <w:shd w:val="clear" w:color="auto" w:fill="E6E7E8"/>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c>
          <w:tcPr>
            <w:tcW w:w="780" w:type="dxa"/>
            <w:vAlign w:val="bottom"/>
            <w:gridSpan w:val="2"/>
            <w:shd w:val="clear" w:color="auto" w:fill="E6E7E8"/>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33"/>
        </w:trPr>
        <w:tc>
          <w:tcPr>
            <w:tcW w:w="4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360" w:type="dxa"/>
            <w:vAlign w:val="bottom"/>
            <w:gridSpan w:val="3"/>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Actual Return on Plan Assets</w:t>
            </w:r>
          </w:p>
        </w:tc>
        <w:tc>
          <w:tcPr>
            <w:tcW w:w="160" w:type="dxa"/>
            <w:vAlign w:val="bottom"/>
            <w:shd w:val="clear" w:color="auto" w:fill="E6E7E8"/>
          </w:tcPr>
          <w:p>
            <w:pPr>
              <w:spacing w:after="0"/>
              <w:rPr>
                <w:sz w:val="20"/>
                <w:szCs w:val="20"/>
                <w:color w:val="auto"/>
              </w:rPr>
            </w:pP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18,836</w:t>
            </w:r>
          </w:p>
        </w:tc>
        <w:tc>
          <w:tcPr>
            <w:tcW w:w="22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15,146</w:t>
            </w:r>
          </w:p>
        </w:tc>
        <w:tc>
          <w:tcPr>
            <w:tcW w:w="14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7,413</w:t>
            </w:r>
          </w:p>
        </w:tc>
        <w:tc>
          <w:tcPr>
            <w:tcW w:w="14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6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6,224</w:t>
            </w:r>
          </w:p>
        </w:tc>
        <w:tc>
          <w:tcPr>
            <w:tcW w:w="14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840" w:type="dxa"/>
            <w:vAlign w:val="bottom"/>
            <w:gridSpan w:val="2"/>
            <w:shd w:val="clear" w:color="auto" w:fill="E6E7E8"/>
          </w:tcPr>
          <w:p>
            <w:pPr>
              <w:jc w:val="right"/>
              <w:ind w:right="140"/>
              <w:spacing w:after="0"/>
              <w:rPr>
                <w:sz w:val="20"/>
                <w:szCs w:val="20"/>
                <w:color w:val="auto"/>
              </w:rPr>
            </w:pPr>
            <w:r>
              <w:rPr>
                <w:rFonts w:ascii="Times New Roman" w:cs="Times New Roman" w:eastAsia="Times New Roman" w:hAnsi="Times New Roman"/>
                <w:sz w:val="18"/>
                <w:szCs w:val="18"/>
                <w:b w:val="1"/>
                <w:bCs w:val="1"/>
                <w:color w:val="231F20"/>
              </w:rPr>
              <w:t>—</w:t>
            </w:r>
          </w:p>
        </w:tc>
        <w:tc>
          <w:tcPr>
            <w:tcW w:w="8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780" w:type="dxa"/>
            <w:vAlign w:val="bottom"/>
            <w:gridSpan w:val="2"/>
            <w:shd w:val="clear" w:color="auto" w:fill="E6E7E8"/>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33"/>
        </w:trPr>
        <w:tc>
          <w:tcPr>
            <w:tcW w:w="4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360" w:type="dxa"/>
            <w:vAlign w:val="bottom"/>
            <w:gridSpan w:val="3"/>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Employer Contributions</w:t>
            </w:r>
          </w:p>
        </w:tc>
        <w:tc>
          <w:tcPr>
            <w:tcW w:w="160" w:type="dxa"/>
            <w:vAlign w:val="bottom"/>
            <w:shd w:val="clear" w:color="auto" w:fill="E6E7E8"/>
          </w:tcPr>
          <w:p>
            <w:pPr>
              <w:spacing w:after="0"/>
              <w:rPr>
                <w:sz w:val="20"/>
                <w:szCs w:val="20"/>
                <w:color w:val="auto"/>
              </w:rPr>
            </w:pP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3,950</w:t>
            </w:r>
          </w:p>
        </w:tc>
        <w:tc>
          <w:tcPr>
            <w:tcW w:w="22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3,758</w:t>
            </w:r>
          </w:p>
        </w:tc>
        <w:tc>
          <w:tcPr>
            <w:tcW w:w="14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2,285</w:t>
            </w:r>
          </w:p>
        </w:tc>
        <w:tc>
          <w:tcPr>
            <w:tcW w:w="14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6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2,552</w:t>
            </w:r>
          </w:p>
        </w:tc>
        <w:tc>
          <w:tcPr>
            <w:tcW w:w="14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678</w:t>
            </w:r>
          </w:p>
        </w:tc>
        <w:tc>
          <w:tcPr>
            <w:tcW w:w="14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679</w:t>
            </w:r>
          </w:p>
        </w:tc>
        <w:tc>
          <w:tcPr>
            <w:tcW w:w="8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360" w:type="dxa"/>
            <w:vAlign w:val="bottom"/>
            <w:gridSpan w:val="3"/>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Participant Contributions</w:t>
            </w:r>
          </w:p>
        </w:tc>
        <w:tc>
          <w:tcPr>
            <w:tcW w:w="160" w:type="dxa"/>
            <w:vAlign w:val="bottom"/>
            <w:shd w:val="clear" w:color="auto" w:fill="E6E7E8"/>
          </w:tcPr>
          <w:p>
            <w:pPr>
              <w:spacing w:after="0"/>
              <w:rPr>
                <w:sz w:val="20"/>
                <w:szCs w:val="20"/>
                <w:color w:val="auto"/>
              </w:rPr>
            </w:pPr>
          </w:p>
        </w:tc>
        <w:tc>
          <w:tcPr>
            <w:tcW w:w="920" w:type="dxa"/>
            <w:vAlign w:val="bottom"/>
            <w:gridSpan w:val="2"/>
            <w:shd w:val="clear" w:color="auto" w:fill="E6E7E8"/>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w:t>
            </w:r>
          </w:p>
        </w:tc>
        <w:tc>
          <w:tcPr>
            <w:tcW w:w="180" w:type="dxa"/>
            <w:vAlign w:val="bottom"/>
            <w:shd w:val="clear" w:color="auto" w:fill="E6E7E8"/>
          </w:tcPr>
          <w:p>
            <w:pPr>
              <w:spacing w:after="0"/>
              <w:rPr>
                <w:sz w:val="20"/>
                <w:szCs w:val="20"/>
                <w:color w:val="auto"/>
              </w:rPr>
            </w:pPr>
          </w:p>
        </w:tc>
        <w:tc>
          <w:tcPr>
            <w:tcW w:w="840" w:type="dxa"/>
            <w:vAlign w:val="bottom"/>
            <w:gridSpan w:val="2"/>
            <w:shd w:val="clear" w:color="auto" w:fill="E6E7E8"/>
          </w:tcPr>
          <w:p>
            <w:pPr>
              <w:jc w:val="right"/>
              <w:ind w:right="140"/>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317</w:t>
            </w:r>
          </w:p>
        </w:tc>
        <w:tc>
          <w:tcPr>
            <w:tcW w:w="14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6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260</w:t>
            </w:r>
          </w:p>
        </w:tc>
        <w:tc>
          <w:tcPr>
            <w:tcW w:w="14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840" w:type="dxa"/>
            <w:vAlign w:val="bottom"/>
            <w:gridSpan w:val="2"/>
            <w:shd w:val="clear" w:color="auto" w:fill="E6E7E8"/>
          </w:tcPr>
          <w:p>
            <w:pPr>
              <w:jc w:val="right"/>
              <w:ind w:right="140"/>
              <w:spacing w:after="0"/>
              <w:rPr>
                <w:sz w:val="20"/>
                <w:szCs w:val="20"/>
                <w:color w:val="auto"/>
              </w:rPr>
            </w:pPr>
            <w:r>
              <w:rPr>
                <w:rFonts w:ascii="Times New Roman" w:cs="Times New Roman" w:eastAsia="Times New Roman" w:hAnsi="Times New Roman"/>
                <w:sz w:val="18"/>
                <w:szCs w:val="18"/>
                <w:b w:val="1"/>
                <w:bCs w:val="1"/>
                <w:color w:val="231F20"/>
              </w:rPr>
              <w:t>—</w:t>
            </w:r>
          </w:p>
        </w:tc>
        <w:tc>
          <w:tcPr>
            <w:tcW w:w="8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780" w:type="dxa"/>
            <w:vAlign w:val="bottom"/>
            <w:gridSpan w:val="2"/>
            <w:shd w:val="clear" w:color="auto" w:fill="E6E7E8"/>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33"/>
        </w:trPr>
        <w:tc>
          <w:tcPr>
            <w:tcW w:w="4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360" w:type="dxa"/>
            <w:vAlign w:val="bottom"/>
            <w:gridSpan w:val="3"/>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Benefits Paid</w:t>
            </w:r>
          </w:p>
        </w:tc>
        <w:tc>
          <w:tcPr>
            <w:tcW w:w="160" w:type="dxa"/>
            <w:vAlign w:val="bottom"/>
            <w:shd w:val="clear" w:color="auto" w:fill="E6E7E8"/>
          </w:tcPr>
          <w:p>
            <w:pPr>
              <w:spacing w:after="0"/>
              <w:rPr>
                <w:sz w:val="20"/>
                <w:szCs w:val="20"/>
                <w:color w:val="auto"/>
              </w:rPr>
            </w:pPr>
          </w:p>
        </w:tc>
        <w:tc>
          <w:tcPr>
            <w:tcW w:w="920" w:type="dxa"/>
            <w:vAlign w:val="bottom"/>
            <w:gridSpan w:val="2"/>
            <w:shd w:val="clear" w:color="auto" w:fill="E6E7E8"/>
          </w:tcPr>
          <w:p>
            <w:pPr>
              <w:jc w:val="right"/>
              <w:ind w:right="160"/>
              <w:spacing w:after="0"/>
              <w:rPr>
                <w:sz w:val="20"/>
                <w:szCs w:val="20"/>
                <w:color w:val="auto"/>
              </w:rPr>
            </w:pPr>
            <w:r>
              <w:rPr>
                <w:rFonts w:ascii="Times New Roman" w:cs="Times New Roman" w:eastAsia="Times New Roman" w:hAnsi="Times New Roman"/>
                <w:sz w:val="18"/>
                <w:szCs w:val="18"/>
                <w:b w:val="1"/>
                <w:bCs w:val="1"/>
                <w:color w:val="231F20"/>
              </w:rPr>
              <w:t>(8,462)</w:t>
            </w:r>
          </w:p>
        </w:tc>
        <w:tc>
          <w:tcPr>
            <w:tcW w:w="180" w:type="dxa"/>
            <w:vAlign w:val="bottom"/>
            <w:shd w:val="clear" w:color="auto" w:fill="E6E7E8"/>
          </w:tcPr>
          <w:p>
            <w:pPr>
              <w:spacing w:after="0"/>
              <w:rPr>
                <w:sz w:val="20"/>
                <w:szCs w:val="20"/>
                <w:color w:val="auto"/>
              </w:rPr>
            </w:pPr>
          </w:p>
        </w:tc>
        <w:tc>
          <w:tcPr>
            <w:tcW w:w="840" w:type="dxa"/>
            <w:vAlign w:val="bottom"/>
            <w:gridSpan w:val="2"/>
            <w:shd w:val="clear" w:color="auto" w:fill="E6E7E8"/>
          </w:tcPr>
          <w:p>
            <w:pPr>
              <w:jc w:val="right"/>
              <w:ind w:right="80"/>
              <w:spacing w:after="0"/>
              <w:rPr>
                <w:sz w:val="20"/>
                <w:szCs w:val="20"/>
                <w:color w:val="auto"/>
              </w:rPr>
            </w:pPr>
            <w:r>
              <w:rPr>
                <w:rFonts w:ascii="Times New Roman" w:cs="Times New Roman" w:eastAsia="Times New Roman" w:hAnsi="Times New Roman"/>
                <w:sz w:val="18"/>
                <w:szCs w:val="18"/>
                <w:color w:val="231F20"/>
              </w:rPr>
              <w:t>(7,823)</w:t>
            </w:r>
          </w:p>
        </w:tc>
        <w:tc>
          <w:tcPr>
            <w:tcW w:w="8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840" w:type="dxa"/>
            <w:vAlign w:val="bottom"/>
            <w:gridSpan w:val="2"/>
            <w:shd w:val="clear" w:color="auto" w:fill="E6E7E8"/>
          </w:tcPr>
          <w:p>
            <w:pPr>
              <w:jc w:val="right"/>
              <w:ind w:right="80"/>
              <w:spacing w:after="0"/>
              <w:rPr>
                <w:sz w:val="20"/>
                <w:szCs w:val="20"/>
                <w:color w:val="auto"/>
              </w:rPr>
            </w:pPr>
            <w:r>
              <w:rPr>
                <w:rFonts w:ascii="Times New Roman" w:cs="Times New Roman" w:eastAsia="Times New Roman" w:hAnsi="Times New Roman"/>
                <w:sz w:val="18"/>
                <w:szCs w:val="18"/>
                <w:b w:val="1"/>
                <w:bCs w:val="1"/>
                <w:color w:val="231F20"/>
              </w:rPr>
              <w:t>(2,936)</w:t>
            </w:r>
          </w:p>
        </w:tc>
        <w:tc>
          <w:tcPr>
            <w:tcW w:w="8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740" w:type="dxa"/>
            <w:vAlign w:val="bottom"/>
            <w:gridSpan w:val="2"/>
            <w:shd w:val="clear" w:color="auto" w:fill="E6E7E8"/>
          </w:tcPr>
          <w:p>
            <w:pPr>
              <w:jc w:val="right"/>
              <w:ind w:right="80"/>
              <w:spacing w:after="0"/>
              <w:rPr>
                <w:sz w:val="20"/>
                <w:szCs w:val="20"/>
                <w:color w:val="auto"/>
              </w:rPr>
            </w:pPr>
            <w:r>
              <w:rPr>
                <w:rFonts w:ascii="Times New Roman" w:cs="Times New Roman" w:eastAsia="Times New Roman" w:hAnsi="Times New Roman"/>
                <w:sz w:val="18"/>
                <w:szCs w:val="18"/>
                <w:color w:val="231F20"/>
              </w:rPr>
              <w:t>(2,526)</w:t>
            </w:r>
          </w:p>
        </w:tc>
        <w:tc>
          <w:tcPr>
            <w:tcW w:w="8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840" w:type="dxa"/>
            <w:vAlign w:val="bottom"/>
            <w:gridSpan w:val="2"/>
            <w:shd w:val="clear" w:color="auto" w:fill="E6E7E8"/>
          </w:tcPr>
          <w:p>
            <w:pPr>
              <w:jc w:val="right"/>
              <w:ind w:right="80"/>
              <w:spacing w:after="0"/>
              <w:rPr>
                <w:sz w:val="20"/>
                <w:szCs w:val="20"/>
                <w:color w:val="auto"/>
              </w:rPr>
            </w:pPr>
            <w:r>
              <w:rPr>
                <w:rFonts w:ascii="Times New Roman" w:cs="Times New Roman" w:eastAsia="Times New Roman" w:hAnsi="Times New Roman"/>
                <w:sz w:val="18"/>
                <w:szCs w:val="18"/>
                <w:b w:val="1"/>
                <w:bCs w:val="1"/>
                <w:color w:val="231F20"/>
              </w:rPr>
              <w:t>(678)</w:t>
            </w:r>
          </w:p>
        </w:tc>
        <w:tc>
          <w:tcPr>
            <w:tcW w:w="8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78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18"/>
                <w:szCs w:val="18"/>
                <w:color w:val="231F20"/>
              </w:rPr>
              <w:t>(679)</w:t>
            </w:r>
          </w:p>
        </w:tc>
        <w:tc>
          <w:tcPr>
            <w:tcW w:w="0" w:type="dxa"/>
            <w:vAlign w:val="bottom"/>
          </w:tcPr>
          <w:p>
            <w:pPr>
              <w:spacing w:after="0"/>
              <w:rPr>
                <w:sz w:val="1"/>
                <w:szCs w:val="1"/>
                <w:color w:val="auto"/>
              </w:rPr>
            </w:pPr>
          </w:p>
        </w:tc>
      </w:tr>
      <w:tr>
        <w:trPr>
          <w:trHeight w:val="228"/>
        </w:trPr>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231F20"/>
            </w:tcBorders>
          </w:tcPr>
          <w:p>
            <w:pPr>
              <w:spacing w:after="0"/>
              <w:rPr>
                <w:sz w:val="19"/>
                <w:szCs w:val="19"/>
                <w:color w:val="auto"/>
              </w:rPr>
            </w:pPr>
          </w:p>
        </w:tc>
        <w:tc>
          <w:tcPr>
            <w:tcW w:w="160" w:type="dxa"/>
            <w:vAlign w:val="bottom"/>
            <w:tcBorders>
              <w:top w:val="single" w:sz="8" w:color="231F20"/>
            </w:tcBorders>
          </w:tcPr>
          <w:p>
            <w:pPr>
              <w:spacing w:after="0"/>
              <w:rPr>
                <w:sz w:val="19"/>
                <w:szCs w:val="19"/>
                <w:color w:val="auto"/>
              </w:rPr>
            </w:pPr>
          </w:p>
        </w:tc>
        <w:tc>
          <w:tcPr>
            <w:tcW w:w="700" w:type="dxa"/>
            <w:vAlign w:val="bottom"/>
            <w:tcBorders>
              <w:top w:val="single" w:sz="8" w:color="231F20"/>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231F20"/>
            </w:tcBorders>
          </w:tcPr>
          <w:p>
            <w:pPr>
              <w:spacing w:after="0"/>
              <w:rPr>
                <w:sz w:val="19"/>
                <w:szCs w:val="19"/>
                <w:color w:val="auto"/>
              </w:rPr>
            </w:pPr>
          </w:p>
        </w:tc>
        <w:tc>
          <w:tcPr>
            <w:tcW w:w="700" w:type="dxa"/>
            <w:vAlign w:val="bottom"/>
            <w:tcBorders>
              <w:top w:val="single" w:sz="8" w:color="231F20"/>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231F20"/>
            </w:tcBorders>
          </w:tcPr>
          <w:p>
            <w:pPr>
              <w:spacing w:after="0"/>
              <w:rPr>
                <w:sz w:val="19"/>
                <w:szCs w:val="19"/>
                <w:color w:val="auto"/>
              </w:rPr>
            </w:pPr>
          </w:p>
        </w:tc>
        <w:tc>
          <w:tcPr>
            <w:tcW w:w="700" w:type="dxa"/>
            <w:vAlign w:val="bottom"/>
            <w:tcBorders>
              <w:top w:val="single" w:sz="8" w:color="231F20"/>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231F20"/>
            </w:tcBorders>
          </w:tcPr>
          <w:p>
            <w:pPr>
              <w:spacing w:after="0"/>
              <w:rPr>
                <w:sz w:val="19"/>
                <w:szCs w:val="19"/>
                <w:color w:val="auto"/>
              </w:rPr>
            </w:pPr>
          </w:p>
        </w:tc>
        <w:tc>
          <w:tcPr>
            <w:tcW w:w="600" w:type="dxa"/>
            <w:vAlign w:val="bottom"/>
            <w:tcBorders>
              <w:top w:val="single" w:sz="8" w:color="231F20"/>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231F20"/>
            </w:tcBorders>
          </w:tcPr>
          <w:p>
            <w:pPr>
              <w:spacing w:after="0"/>
              <w:rPr>
                <w:sz w:val="19"/>
                <w:szCs w:val="19"/>
                <w:color w:val="auto"/>
              </w:rPr>
            </w:pPr>
          </w:p>
        </w:tc>
        <w:tc>
          <w:tcPr>
            <w:tcW w:w="700" w:type="dxa"/>
            <w:vAlign w:val="bottom"/>
            <w:tcBorders>
              <w:top w:val="single" w:sz="8" w:color="231F20"/>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231F20"/>
            </w:tcBorders>
          </w:tcPr>
          <w:p>
            <w:pPr>
              <w:spacing w:after="0"/>
              <w:rPr>
                <w:sz w:val="19"/>
                <w:szCs w:val="19"/>
                <w:color w:val="auto"/>
              </w:rPr>
            </w:pPr>
          </w:p>
        </w:tc>
        <w:tc>
          <w:tcPr>
            <w:tcW w:w="700" w:type="dxa"/>
            <w:vAlign w:val="bottom"/>
            <w:tcBorders>
              <w:top w:val="single" w:sz="8" w:color="231F2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34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19"/>
                <w:szCs w:val="19"/>
                <w:b w:val="1"/>
                <w:bCs w:val="1"/>
                <w:color w:val="231F20"/>
              </w:rPr>
              <w:t>Plan Assets at End of Year</w:t>
            </w:r>
          </w:p>
        </w:tc>
        <w:tc>
          <w:tcPr>
            <w:tcW w:w="20" w:type="dxa"/>
            <w:vAlign w:val="bottom"/>
            <w:shd w:val="clear" w:color="auto" w:fill="E6E7E8"/>
          </w:tcPr>
          <w:p>
            <w:pPr>
              <w:spacing w:after="0"/>
              <w:rPr>
                <w:sz w:val="20"/>
                <w:szCs w:val="20"/>
                <w:color w:val="auto"/>
              </w:rPr>
            </w:pPr>
          </w:p>
        </w:tc>
        <w:tc>
          <w:tcPr>
            <w:tcW w:w="1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163,298</w:t>
            </w:r>
          </w:p>
        </w:tc>
        <w:tc>
          <w:tcPr>
            <w:tcW w:w="220" w:type="dxa"/>
            <w:vAlign w:val="bottom"/>
            <w:shd w:val="clear" w:color="auto" w:fill="E6E7E8"/>
          </w:tcPr>
          <w:p>
            <w:pPr>
              <w:spacing w:after="0"/>
              <w:rPr>
                <w:sz w:val="20"/>
                <w:szCs w:val="20"/>
                <w:color w:val="auto"/>
              </w:rPr>
            </w:pPr>
          </w:p>
        </w:tc>
        <w:tc>
          <w:tcPr>
            <w:tcW w:w="180" w:type="dxa"/>
            <w:vAlign w:val="bottom"/>
            <w:shd w:val="clear" w:color="auto" w:fill="E6E7E8"/>
          </w:tcPr>
          <w:p>
            <w:pPr>
              <w:jc w:val="right"/>
              <w:ind w:right="15"/>
              <w:spacing w:after="0"/>
              <w:rPr>
                <w:sz w:val="20"/>
                <w:szCs w:val="20"/>
                <w:color w:val="auto"/>
              </w:rPr>
            </w:pPr>
            <w:r>
              <w:rPr>
                <w:rFonts w:ascii="Times New Roman" w:cs="Times New Roman" w:eastAsia="Times New Roman" w:hAnsi="Times New Roman"/>
                <w:sz w:val="17"/>
                <w:szCs w:val="17"/>
                <w:color w:val="231F20"/>
                <w:w w:val="70"/>
              </w:rPr>
              <w:t>$</w:t>
            </w: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148,974</w:t>
            </w:r>
          </w:p>
        </w:tc>
        <w:tc>
          <w:tcPr>
            <w:tcW w:w="140" w:type="dxa"/>
            <w:vAlign w:val="bottom"/>
            <w:shd w:val="clear" w:color="auto" w:fill="E6E7E8"/>
          </w:tcPr>
          <w:p>
            <w:pPr>
              <w:spacing w:after="0"/>
              <w:rPr>
                <w:sz w:val="20"/>
                <w:szCs w:val="20"/>
                <w:color w:val="auto"/>
              </w:rPr>
            </w:pPr>
          </w:p>
        </w:tc>
        <w:tc>
          <w:tcPr>
            <w:tcW w:w="260" w:type="dxa"/>
            <w:vAlign w:val="bottom"/>
            <w:gridSpan w:val="2"/>
            <w:shd w:val="clear" w:color="auto" w:fill="E6E7E8"/>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w:t>
            </w: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65,481</w:t>
            </w:r>
          </w:p>
        </w:tc>
        <w:tc>
          <w:tcPr>
            <w:tcW w:w="140" w:type="dxa"/>
            <w:vAlign w:val="bottom"/>
            <w:shd w:val="clear" w:color="auto" w:fill="E6E7E8"/>
          </w:tcPr>
          <w:p>
            <w:pPr>
              <w:spacing w:after="0"/>
              <w:rPr>
                <w:sz w:val="20"/>
                <w:szCs w:val="20"/>
                <w:color w:val="auto"/>
              </w:rPr>
            </w:pPr>
          </w:p>
        </w:tc>
        <w:tc>
          <w:tcPr>
            <w:tcW w:w="360" w:type="dxa"/>
            <w:vAlign w:val="bottom"/>
            <w:gridSpan w:val="2"/>
            <w:shd w:val="clear" w:color="auto" w:fill="E6E7E8"/>
          </w:tcPr>
          <w:p>
            <w:pPr>
              <w:jc w:val="right"/>
              <w:ind w:right="200"/>
              <w:spacing w:after="0"/>
              <w:rPr>
                <w:sz w:val="20"/>
                <w:szCs w:val="20"/>
                <w:color w:val="auto"/>
              </w:rPr>
            </w:pPr>
            <w:r>
              <w:rPr>
                <w:rFonts w:ascii="Times New Roman" w:cs="Times New Roman" w:eastAsia="Times New Roman" w:hAnsi="Times New Roman"/>
                <w:sz w:val="18"/>
                <w:szCs w:val="18"/>
                <w:color w:val="231F20"/>
              </w:rPr>
              <w:t>$</w:t>
            </w:r>
          </w:p>
        </w:tc>
        <w:tc>
          <w:tcPr>
            <w:tcW w:w="6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58,402</w:t>
            </w:r>
          </w:p>
        </w:tc>
        <w:tc>
          <w:tcPr>
            <w:tcW w:w="140" w:type="dxa"/>
            <w:vAlign w:val="bottom"/>
            <w:shd w:val="clear" w:color="auto" w:fill="E6E7E8"/>
          </w:tcPr>
          <w:p>
            <w:pPr>
              <w:spacing w:after="0"/>
              <w:rPr>
                <w:sz w:val="20"/>
                <w:szCs w:val="20"/>
                <w:color w:val="auto"/>
              </w:rPr>
            </w:pPr>
          </w:p>
        </w:tc>
        <w:tc>
          <w:tcPr>
            <w:tcW w:w="260" w:type="dxa"/>
            <w:vAlign w:val="bottom"/>
            <w:gridSpan w:val="2"/>
            <w:shd w:val="clear" w:color="auto" w:fill="E6E7E8"/>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w:t>
            </w: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w:t>
            </w:r>
          </w:p>
        </w:tc>
        <w:tc>
          <w:tcPr>
            <w:tcW w:w="140" w:type="dxa"/>
            <w:vAlign w:val="bottom"/>
            <w:shd w:val="clear" w:color="auto" w:fill="E6E7E8"/>
          </w:tcPr>
          <w:p>
            <w:pPr>
              <w:spacing w:after="0"/>
              <w:rPr>
                <w:sz w:val="20"/>
                <w:szCs w:val="20"/>
                <w:color w:val="auto"/>
              </w:rPr>
            </w:pPr>
          </w:p>
        </w:tc>
        <w:tc>
          <w:tcPr>
            <w:tcW w:w="260" w:type="dxa"/>
            <w:vAlign w:val="bottom"/>
            <w:gridSpan w:val="2"/>
            <w:shd w:val="clear" w:color="auto" w:fill="E6E7E8"/>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443"/>
        </w:trPr>
        <w:tc>
          <w:tcPr>
            <w:tcW w:w="4340" w:type="dxa"/>
            <w:vAlign w:val="bottom"/>
            <w:tcBorders>
              <w:top w:val="single" w:sz="8" w:color="E6E7E8"/>
            </w:tcBorders>
            <w:gridSpan w:val="2"/>
          </w:tcPr>
          <w:p>
            <w:pPr>
              <w:spacing w:after="0"/>
              <w:rPr>
                <w:sz w:val="20"/>
                <w:szCs w:val="20"/>
                <w:color w:val="auto"/>
              </w:rPr>
            </w:pPr>
            <w:r>
              <w:rPr>
                <w:rFonts w:ascii="Times New Roman" w:cs="Times New Roman" w:eastAsia="Times New Roman" w:hAnsi="Times New Roman"/>
                <w:sz w:val="16"/>
                <w:szCs w:val="16"/>
                <w:b w:val="1"/>
                <w:bCs w:val="1"/>
                <w:color w:val="231F20"/>
              </w:rPr>
              <w:t>Change in PBO:</w:t>
            </w:r>
          </w:p>
        </w:tc>
        <w:tc>
          <w:tcPr>
            <w:tcW w:w="20" w:type="dxa"/>
            <w:vAlign w:val="bottom"/>
            <w:tcBorders>
              <w:top w:val="single" w:sz="8" w:color="231F20"/>
            </w:tcBorders>
          </w:tcPr>
          <w:p>
            <w:pPr>
              <w:spacing w:after="0"/>
              <w:rPr>
                <w:sz w:val="24"/>
                <w:szCs w:val="24"/>
                <w:color w:val="auto"/>
              </w:rPr>
            </w:pPr>
          </w:p>
        </w:tc>
        <w:tc>
          <w:tcPr>
            <w:tcW w:w="160" w:type="dxa"/>
            <w:vAlign w:val="bottom"/>
            <w:tcBorders>
              <w:top w:val="single" w:sz="8" w:color="231F20"/>
            </w:tcBorders>
          </w:tcPr>
          <w:p>
            <w:pPr>
              <w:spacing w:after="0"/>
              <w:rPr>
                <w:sz w:val="24"/>
                <w:szCs w:val="24"/>
                <w:color w:val="auto"/>
              </w:rPr>
            </w:pPr>
          </w:p>
        </w:tc>
        <w:tc>
          <w:tcPr>
            <w:tcW w:w="700" w:type="dxa"/>
            <w:vAlign w:val="bottom"/>
            <w:tcBorders>
              <w:top w:val="single" w:sz="8" w:color="231F20"/>
            </w:tcBorders>
          </w:tcPr>
          <w:p>
            <w:pPr>
              <w:spacing w:after="0"/>
              <w:rPr>
                <w:sz w:val="24"/>
                <w:szCs w:val="24"/>
                <w:color w:val="auto"/>
              </w:rPr>
            </w:pPr>
          </w:p>
        </w:tc>
        <w:tc>
          <w:tcPr>
            <w:tcW w:w="220" w:type="dxa"/>
            <w:vAlign w:val="bottom"/>
            <w:tcBorders>
              <w:top w:val="single" w:sz="8" w:color="E6E7E8"/>
            </w:tcBorders>
          </w:tcPr>
          <w:p>
            <w:pPr>
              <w:spacing w:after="0"/>
              <w:rPr>
                <w:sz w:val="24"/>
                <w:szCs w:val="24"/>
                <w:color w:val="auto"/>
              </w:rPr>
            </w:pPr>
          </w:p>
        </w:tc>
        <w:tc>
          <w:tcPr>
            <w:tcW w:w="180" w:type="dxa"/>
            <w:vAlign w:val="bottom"/>
            <w:tcBorders>
              <w:top w:val="single" w:sz="8" w:color="231F20"/>
            </w:tcBorders>
          </w:tcPr>
          <w:p>
            <w:pPr>
              <w:spacing w:after="0"/>
              <w:rPr>
                <w:sz w:val="24"/>
                <w:szCs w:val="24"/>
                <w:color w:val="auto"/>
              </w:rPr>
            </w:pPr>
          </w:p>
        </w:tc>
        <w:tc>
          <w:tcPr>
            <w:tcW w:w="700" w:type="dxa"/>
            <w:vAlign w:val="bottom"/>
            <w:tcBorders>
              <w:top w:val="single" w:sz="8" w:color="231F20"/>
            </w:tcBorders>
          </w:tcPr>
          <w:p>
            <w:pPr>
              <w:spacing w:after="0"/>
              <w:rPr>
                <w:sz w:val="24"/>
                <w:szCs w:val="24"/>
                <w:color w:val="auto"/>
              </w:rPr>
            </w:pPr>
          </w:p>
        </w:tc>
        <w:tc>
          <w:tcPr>
            <w:tcW w:w="140" w:type="dxa"/>
            <w:vAlign w:val="bottom"/>
            <w:tcBorders>
              <w:top w:val="single" w:sz="8" w:color="E6E7E8"/>
            </w:tcBorders>
          </w:tcPr>
          <w:p>
            <w:pPr>
              <w:spacing w:after="0"/>
              <w:rPr>
                <w:sz w:val="24"/>
                <w:szCs w:val="24"/>
                <w:color w:val="auto"/>
              </w:rPr>
            </w:pPr>
          </w:p>
        </w:tc>
        <w:tc>
          <w:tcPr>
            <w:tcW w:w="80" w:type="dxa"/>
            <w:vAlign w:val="bottom"/>
            <w:tcBorders>
              <w:top w:val="single" w:sz="8" w:color="E6E7E8"/>
            </w:tcBorders>
          </w:tcPr>
          <w:p>
            <w:pPr>
              <w:spacing w:after="0"/>
              <w:rPr>
                <w:sz w:val="24"/>
                <w:szCs w:val="24"/>
                <w:color w:val="auto"/>
              </w:rPr>
            </w:pPr>
          </w:p>
        </w:tc>
        <w:tc>
          <w:tcPr>
            <w:tcW w:w="180" w:type="dxa"/>
            <w:vAlign w:val="bottom"/>
            <w:tcBorders>
              <w:top w:val="single" w:sz="8" w:color="231F20"/>
            </w:tcBorders>
          </w:tcPr>
          <w:p>
            <w:pPr>
              <w:spacing w:after="0"/>
              <w:rPr>
                <w:sz w:val="24"/>
                <w:szCs w:val="24"/>
                <w:color w:val="auto"/>
              </w:rPr>
            </w:pPr>
          </w:p>
        </w:tc>
        <w:tc>
          <w:tcPr>
            <w:tcW w:w="700" w:type="dxa"/>
            <w:vAlign w:val="bottom"/>
            <w:tcBorders>
              <w:top w:val="single" w:sz="8" w:color="231F20"/>
            </w:tcBorders>
          </w:tcPr>
          <w:p>
            <w:pPr>
              <w:spacing w:after="0"/>
              <w:rPr>
                <w:sz w:val="24"/>
                <w:szCs w:val="24"/>
                <w:color w:val="auto"/>
              </w:rPr>
            </w:pPr>
          </w:p>
        </w:tc>
        <w:tc>
          <w:tcPr>
            <w:tcW w:w="140" w:type="dxa"/>
            <w:vAlign w:val="bottom"/>
            <w:tcBorders>
              <w:top w:val="single" w:sz="8" w:color="E6E7E8"/>
            </w:tcBorders>
          </w:tcPr>
          <w:p>
            <w:pPr>
              <w:spacing w:after="0"/>
              <w:rPr>
                <w:sz w:val="24"/>
                <w:szCs w:val="24"/>
                <w:color w:val="auto"/>
              </w:rPr>
            </w:pPr>
          </w:p>
        </w:tc>
        <w:tc>
          <w:tcPr>
            <w:tcW w:w="80" w:type="dxa"/>
            <w:vAlign w:val="bottom"/>
            <w:tcBorders>
              <w:top w:val="single" w:sz="8" w:color="E6E7E8"/>
            </w:tcBorders>
          </w:tcPr>
          <w:p>
            <w:pPr>
              <w:spacing w:after="0"/>
              <w:rPr>
                <w:sz w:val="24"/>
                <w:szCs w:val="24"/>
                <w:color w:val="auto"/>
              </w:rPr>
            </w:pPr>
          </w:p>
        </w:tc>
        <w:tc>
          <w:tcPr>
            <w:tcW w:w="280" w:type="dxa"/>
            <w:vAlign w:val="bottom"/>
            <w:tcBorders>
              <w:top w:val="single" w:sz="8" w:color="231F20"/>
            </w:tcBorders>
          </w:tcPr>
          <w:p>
            <w:pPr>
              <w:spacing w:after="0"/>
              <w:rPr>
                <w:sz w:val="24"/>
                <w:szCs w:val="24"/>
                <w:color w:val="auto"/>
              </w:rPr>
            </w:pPr>
          </w:p>
        </w:tc>
        <w:tc>
          <w:tcPr>
            <w:tcW w:w="600" w:type="dxa"/>
            <w:vAlign w:val="bottom"/>
            <w:tcBorders>
              <w:top w:val="single" w:sz="8" w:color="231F20"/>
            </w:tcBorders>
          </w:tcPr>
          <w:p>
            <w:pPr>
              <w:spacing w:after="0"/>
              <w:rPr>
                <w:sz w:val="24"/>
                <w:szCs w:val="24"/>
                <w:color w:val="auto"/>
              </w:rPr>
            </w:pPr>
          </w:p>
        </w:tc>
        <w:tc>
          <w:tcPr>
            <w:tcW w:w="140" w:type="dxa"/>
            <w:vAlign w:val="bottom"/>
            <w:tcBorders>
              <w:top w:val="single" w:sz="8" w:color="E6E7E8"/>
            </w:tcBorders>
          </w:tcPr>
          <w:p>
            <w:pPr>
              <w:spacing w:after="0"/>
              <w:rPr>
                <w:sz w:val="24"/>
                <w:szCs w:val="24"/>
                <w:color w:val="auto"/>
              </w:rPr>
            </w:pPr>
          </w:p>
        </w:tc>
        <w:tc>
          <w:tcPr>
            <w:tcW w:w="80" w:type="dxa"/>
            <w:vAlign w:val="bottom"/>
            <w:tcBorders>
              <w:top w:val="single" w:sz="8" w:color="E6E7E8"/>
            </w:tcBorders>
          </w:tcPr>
          <w:p>
            <w:pPr>
              <w:spacing w:after="0"/>
              <w:rPr>
                <w:sz w:val="24"/>
                <w:szCs w:val="24"/>
                <w:color w:val="auto"/>
              </w:rPr>
            </w:pPr>
          </w:p>
        </w:tc>
        <w:tc>
          <w:tcPr>
            <w:tcW w:w="180" w:type="dxa"/>
            <w:vAlign w:val="bottom"/>
            <w:tcBorders>
              <w:top w:val="single" w:sz="8" w:color="231F20"/>
            </w:tcBorders>
          </w:tcPr>
          <w:p>
            <w:pPr>
              <w:spacing w:after="0"/>
              <w:rPr>
                <w:sz w:val="24"/>
                <w:szCs w:val="24"/>
                <w:color w:val="auto"/>
              </w:rPr>
            </w:pPr>
          </w:p>
        </w:tc>
        <w:tc>
          <w:tcPr>
            <w:tcW w:w="700" w:type="dxa"/>
            <w:vAlign w:val="bottom"/>
            <w:tcBorders>
              <w:top w:val="single" w:sz="8" w:color="231F20"/>
            </w:tcBorders>
          </w:tcPr>
          <w:p>
            <w:pPr>
              <w:spacing w:after="0"/>
              <w:rPr>
                <w:sz w:val="24"/>
                <w:szCs w:val="24"/>
                <w:color w:val="auto"/>
              </w:rPr>
            </w:pPr>
          </w:p>
        </w:tc>
        <w:tc>
          <w:tcPr>
            <w:tcW w:w="140" w:type="dxa"/>
            <w:vAlign w:val="bottom"/>
            <w:tcBorders>
              <w:top w:val="single" w:sz="8" w:color="E6E7E8"/>
            </w:tcBorders>
          </w:tcPr>
          <w:p>
            <w:pPr>
              <w:spacing w:after="0"/>
              <w:rPr>
                <w:sz w:val="24"/>
                <w:szCs w:val="24"/>
                <w:color w:val="auto"/>
              </w:rPr>
            </w:pPr>
          </w:p>
        </w:tc>
        <w:tc>
          <w:tcPr>
            <w:tcW w:w="80" w:type="dxa"/>
            <w:vAlign w:val="bottom"/>
            <w:tcBorders>
              <w:top w:val="single" w:sz="8" w:color="E6E7E8"/>
            </w:tcBorders>
          </w:tcPr>
          <w:p>
            <w:pPr>
              <w:spacing w:after="0"/>
              <w:rPr>
                <w:sz w:val="24"/>
                <w:szCs w:val="24"/>
                <w:color w:val="auto"/>
              </w:rPr>
            </w:pPr>
          </w:p>
        </w:tc>
        <w:tc>
          <w:tcPr>
            <w:tcW w:w="180" w:type="dxa"/>
            <w:vAlign w:val="bottom"/>
            <w:tcBorders>
              <w:top w:val="single" w:sz="8" w:color="231F20"/>
            </w:tcBorders>
          </w:tcPr>
          <w:p>
            <w:pPr>
              <w:spacing w:after="0"/>
              <w:rPr>
                <w:sz w:val="24"/>
                <w:szCs w:val="24"/>
                <w:color w:val="auto"/>
              </w:rPr>
            </w:pPr>
          </w:p>
        </w:tc>
        <w:tc>
          <w:tcPr>
            <w:tcW w:w="700" w:type="dxa"/>
            <w:vAlign w:val="bottom"/>
            <w:tcBorders>
              <w:top w:val="single" w:sz="8" w:color="231F20"/>
            </w:tcBorders>
          </w:tcPr>
          <w:p>
            <w:pPr>
              <w:spacing w:after="0"/>
              <w:rPr>
                <w:sz w:val="24"/>
                <w:szCs w:val="24"/>
                <w:color w:val="auto"/>
              </w:rPr>
            </w:pPr>
          </w:p>
        </w:tc>
        <w:tc>
          <w:tcPr>
            <w:tcW w:w="80" w:type="dxa"/>
            <w:vAlign w:val="bottom"/>
            <w:tcBorders>
              <w:top w:val="single" w:sz="8" w:color="E6E7E8"/>
            </w:tcBorders>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42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360" w:type="dxa"/>
            <w:vAlign w:val="bottom"/>
            <w:gridSpan w:val="3"/>
            <w:shd w:val="clear" w:color="auto" w:fill="E6E7E8"/>
          </w:tcPr>
          <w:p>
            <w:pPr>
              <w:spacing w:after="0"/>
              <w:rPr>
                <w:sz w:val="20"/>
                <w:szCs w:val="20"/>
                <w:color w:val="auto"/>
              </w:rPr>
            </w:pPr>
            <w:r>
              <w:rPr>
                <w:rFonts w:ascii="Times New Roman" w:cs="Times New Roman" w:eastAsia="Times New Roman" w:hAnsi="Times New Roman"/>
                <w:sz w:val="19"/>
                <w:szCs w:val="19"/>
                <w:color w:val="231F20"/>
              </w:rPr>
              <w:t>PBO at Beginning of Year</w:t>
            </w:r>
          </w:p>
        </w:tc>
        <w:tc>
          <w:tcPr>
            <w:tcW w:w="1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148,556</w:t>
            </w:r>
          </w:p>
        </w:tc>
        <w:tc>
          <w:tcPr>
            <w:tcW w:w="220" w:type="dxa"/>
            <w:vAlign w:val="bottom"/>
            <w:shd w:val="clear" w:color="auto" w:fill="E6E7E8"/>
          </w:tcPr>
          <w:p>
            <w:pPr>
              <w:spacing w:after="0"/>
              <w:rPr>
                <w:sz w:val="20"/>
                <w:szCs w:val="20"/>
                <w:color w:val="auto"/>
              </w:rPr>
            </w:pPr>
          </w:p>
        </w:tc>
        <w:tc>
          <w:tcPr>
            <w:tcW w:w="180" w:type="dxa"/>
            <w:vAlign w:val="bottom"/>
            <w:shd w:val="clear" w:color="auto" w:fill="E6E7E8"/>
          </w:tcPr>
          <w:p>
            <w:pPr>
              <w:jc w:val="right"/>
              <w:ind w:right="15"/>
              <w:spacing w:after="0"/>
              <w:rPr>
                <w:sz w:val="20"/>
                <w:szCs w:val="20"/>
                <w:color w:val="auto"/>
              </w:rPr>
            </w:pPr>
            <w:r>
              <w:rPr>
                <w:rFonts w:ascii="Times New Roman" w:cs="Times New Roman" w:eastAsia="Times New Roman" w:hAnsi="Times New Roman"/>
                <w:sz w:val="17"/>
                <w:szCs w:val="17"/>
                <w:color w:val="231F20"/>
                <w:w w:val="70"/>
              </w:rPr>
              <w:t>$</w:t>
            </w: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154,567</w:t>
            </w:r>
          </w:p>
        </w:tc>
        <w:tc>
          <w:tcPr>
            <w:tcW w:w="140" w:type="dxa"/>
            <w:vAlign w:val="bottom"/>
            <w:shd w:val="clear" w:color="auto" w:fill="E6E7E8"/>
          </w:tcPr>
          <w:p>
            <w:pPr>
              <w:spacing w:after="0"/>
              <w:rPr>
                <w:sz w:val="20"/>
                <w:szCs w:val="20"/>
                <w:color w:val="auto"/>
              </w:rPr>
            </w:pPr>
          </w:p>
        </w:tc>
        <w:tc>
          <w:tcPr>
            <w:tcW w:w="260" w:type="dxa"/>
            <w:vAlign w:val="bottom"/>
            <w:gridSpan w:val="2"/>
            <w:shd w:val="clear" w:color="auto" w:fill="E6E7E8"/>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w:t>
            </w: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72,207</w:t>
            </w:r>
          </w:p>
        </w:tc>
        <w:tc>
          <w:tcPr>
            <w:tcW w:w="140" w:type="dxa"/>
            <w:vAlign w:val="bottom"/>
            <w:shd w:val="clear" w:color="auto" w:fill="E6E7E8"/>
          </w:tcPr>
          <w:p>
            <w:pPr>
              <w:spacing w:after="0"/>
              <w:rPr>
                <w:sz w:val="20"/>
                <w:szCs w:val="20"/>
                <w:color w:val="auto"/>
              </w:rPr>
            </w:pPr>
          </w:p>
        </w:tc>
        <w:tc>
          <w:tcPr>
            <w:tcW w:w="360" w:type="dxa"/>
            <w:vAlign w:val="bottom"/>
            <w:gridSpan w:val="2"/>
            <w:shd w:val="clear" w:color="auto" w:fill="E6E7E8"/>
          </w:tcPr>
          <w:p>
            <w:pPr>
              <w:jc w:val="right"/>
              <w:ind w:right="200"/>
              <w:spacing w:after="0"/>
              <w:rPr>
                <w:sz w:val="20"/>
                <w:szCs w:val="20"/>
                <w:color w:val="auto"/>
              </w:rPr>
            </w:pPr>
            <w:r>
              <w:rPr>
                <w:rFonts w:ascii="Times New Roman" w:cs="Times New Roman" w:eastAsia="Times New Roman" w:hAnsi="Times New Roman"/>
                <w:sz w:val="18"/>
                <w:szCs w:val="18"/>
                <w:color w:val="231F20"/>
              </w:rPr>
              <w:t>$</w:t>
            </w:r>
          </w:p>
        </w:tc>
        <w:tc>
          <w:tcPr>
            <w:tcW w:w="6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66,691</w:t>
            </w:r>
          </w:p>
        </w:tc>
        <w:tc>
          <w:tcPr>
            <w:tcW w:w="140" w:type="dxa"/>
            <w:vAlign w:val="bottom"/>
            <w:shd w:val="clear" w:color="auto" w:fill="E6E7E8"/>
          </w:tcPr>
          <w:p>
            <w:pPr>
              <w:spacing w:after="0"/>
              <w:rPr>
                <w:sz w:val="20"/>
                <w:szCs w:val="20"/>
                <w:color w:val="auto"/>
              </w:rPr>
            </w:pPr>
          </w:p>
        </w:tc>
        <w:tc>
          <w:tcPr>
            <w:tcW w:w="260" w:type="dxa"/>
            <w:vAlign w:val="bottom"/>
            <w:gridSpan w:val="2"/>
            <w:shd w:val="clear" w:color="auto" w:fill="E6E7E8"/>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w:t>
            </w: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12,747</w:t>
            </w:r>
          </w:p>
        </w:tc>
        <w:tc>
          <w:tcPr>
            <w:tcW w:w="140" w:type="dxa"/>
            <w:vAlign w:val="bottom"/>
            <w:shd w:val="clear" w:color="auto" w:fill="E6E7E8"/>
          </w:tcPr>
          <w:p>
            <w:pPr>
              <w:spacing w:after="0"/>
              <w:rPr>
                <w:sz w:val="20"/>
                <w:szCs w:val="20"/>
                <w:color w:val="auto"/>
              </w:rPr>
            </w:pPr>
          </w:p>
        </w:tc>
        <w:tc>
          <w:tcPr>
            <w:tcW w:w="260" w:type="dxa"/>
            <w:vAlign w:val="bottom"/>
            <w:gridSpan w:val="2"/>
            <w:shd w:val="clear" w:color="auto" w:fill="E6E7E8"/>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14,854</w:t>
            </w:r>
          </w:p>
        </w:tc>
        <w:tc>
          <w:tcPr>
            <w:tcW w:w="8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360" w:type="dxa"/>
            <w:vAlign w:val="bottom"/>
            <w:gridSpan w:val="3"/>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Service Cost</w:t>
            </w:r>
          </w:p>
        </w:tc>
        <w:tc>
          <w:tcPr>
            <w:tcW w:w="160" w:type="dxa"/>
            <w:vAlign w:val="bottom"/>
            <w:shd w:val="clear" w:color="auto" w:fill="E6E7E8"/>
          </w:tcPr>
          <w:p>
            <w:pPr>
              <w:spacing w:after="0"/>
              <w:rPr>
                <w:sz w:val="20"/>
                <w:szCs w:val="20"/>
                <w:color w:val="auto"/>
              </w:rPr>
            </w:pP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1,743</w:t>
            </w:r>
          </w:p>
        </w:tc>
        <w:tc>
          <w:tcPr>
            <w:tcW w:w="22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1,990</w:t>
            </w:r>
          </w:p>
        </w:tc>
        <w:tc>
          <w:tcPr>
            <w:tcW w:w="14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2,006</w:t>
            </w:r>
          </w:p>
        </w:tc>
        <w:tc>
          <w:tcPr>
            <w:tcW w:w="14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6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1,988</w:t>
            </w:r>
          </w:p>
        </w:tc>
        <w:tc>
          <w:tcPr>
            <w:tcW w:w="14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158</w:t>
            </w:r>
          </w:p>
        </w:tc>
        <w:tc>
          <w:tcPr>
            <w:tcW w:w="14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216</w:t>
            </w:r>
          </w:p>
        </w:tc>
        <w:tc>
          <w:tcPr>
            <w:tcW w:w="8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360" w:type="dxa"/>
            <w:vAlign w:val="bottom"/>
            <w:gridSpan w:val="3"/>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Interest Cost</w:t>
            </w:r>
          </w:p>
        </w:tc>
        <w:tc>
          <w:tcPr>
            <w:tcW w:w="160" w:type="dxa"/>
            <w:vAlign w:val="bottom"/>
            <w:shd w:val="clear" w:color="auto" w:fill="E6E7E8"/>
          </w:tcPr>
          <w:p>
            <w:pPr>
              <w:spacing w:after="0"/>
              <w:rPr>
                <w:sz w:val="20"/>
                <w:szCs w:val="20"/>
                <w:color w:val="auto"/>
              </w:rPr>
            </w:pP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8,065</w:t>
            </w:r>
          </w:p>
        </w:tc>
        <w:tc>
          <w:tcPr>
            <w:tcW w:w="22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7,546</w:t>
            </w:r>
          </w:p>
        </w:tc>
        <w:tc>
          <w:tcPr>
            <w:tcW w:w="14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3,967</w:t>
            </w:r>
          </w:p>
        </w:tc>
        <w:tc>
          <w:tcPr>
            <w:tcW w:w="14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6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3,269</w:t>
            </w:r>
          </w:p>
        </w:tc>
        <w:tc>
          <w:tcPr>
            <w:tcW w:w="14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688</w:t>
            </w:r>
          </w:p>
        </w:tc>
        <w:tc>
          <w:tcPr>
            <w:tcW w:w="14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723</w:t>
            </w:r>
          </w:p>
        </w:tc>
        <w:tc>
          <w:tcPr>
            <w:tcW w:w="8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360" w:type="dxa"/>
            <w:vAlign w:val="bottom"/>
            <w:gridSpan w:val="3"/>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Plan Amendments</w:t>
            </w:r>
          </w:p>
        </w:tc>
        <w:tc>
          <w:tcPr>
            <w:tcW w:w="160" w:type="dxa"/>
            <w:vAlign w:val="bottom"/>
            <w:shd w:val="clear" w:color="auto" w:fill="E6E7E8"/>
          </w:tcPr>
          <w:p>
            <w:pPr>
              <w:spacing w:after="0"/>
              <w:rPr>
                <w:sz w:val="20"/>
                <w:szCs w:val="20"/>
                <w:color w:val="auto"/>
              </w:rPr>
            </w:pP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604</w:t>
            </w:r>
          </w:p>
        </w:tc>
        <w:tc>
          <w:tcPr>
            <w:tcW w:w="22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840" w:type="dxa"/>
            <w:vAlign w:val="bottom"/>
            <w:gridSpan w:val="2"/>
            <w:shd w:val="clear" w:color="auto" w:fill="E6E7E8"/>
          </w:tcPr>
          <w:p>
            <w:pPr>
              <w:jc w:val="right"/>
              <w:ind w:right="140"/>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840" w:type="dxa"/>
            <w:vAlign w:val="bottom"/>
            <w:gridSpan w:val="2"/>
            <w:shd w:val="clear" w:color="auto" w:fill="E6E7E8"/>
          </w:tcPr>
          <w:p>
            <w:pPr>
              <w:jc w:val="right"/>
              <w:ind w:right="140"/>
              <w:spacing w:after="0"/>
              <w:rPr>
                <w:sz w:val="20"/>
                <w:szCs w:val="20"/>
                <w:color w:val="auto"/>
              </w:rPr>
            </w:pPr>
            <w:r>
              <w:rPr>
                <w:rFonts w:ascii="Times New Roman" w:cs="Times New Roman" w:eastAsia="Times New Roman" w:hAnsi="Times New Roman"/>
                <w:sz w:val="18"/>
                <w:szCs w:val="18"/>
                <w:b w:val="1"/>
                <w:bCs w:val="1"/>
                <w:color w:val="231F20"/>
              </w:rPr>
              <w:t>—</w:t>
            </w:r>
          </w:p>
        </w:tc>
        <w:tc>
          <w:tcPr>
            <w:tcW w:w="8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740" w:type="dxa"/>
            <w:vAlign w:val="bottom"/>
            <w:gridSpan w:val="2"/>
            <w:shd w:val="clear" w:color="auto" w:fill="E6E7E8"/>
          </w:tcPr>
          <w:p>
            <w:pPr>
              <w:jc w:val="right"/>
              <w:ind w:right="140"/>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840" w:type="dxa"/>
            <w:vAlign w:val="bottom"/>
            <w:gridSpan w:val="2"/>
            <w:shd w:val="clear" w:color="auto" w:fill="E6E7E8"/>
          </w:tcPr>
          <w:p>
            <w:pPr>
              <w:jc w:val="right"/>
              <w:ind w:right="140"/>
              <w:spacing w:after="0"/>
              <w:rPr>
                <w:sz w:val="20"/>
                <w:szCs w:val="20"/>
                <w:color w:val="auto"/>
              </w:rPr>
            </w:pPr>
            <w:r>
              <w:rPr>
                <w:rFonts w:ascii="Times New Roman" w:cs="Times New Roman" w:eastAsia="Times New Roman" w:hAnsi="Times New Roman"/>
                <w:sz w:val="18"/>
                <w:szCs w:val="18"/>
                <w:b w:val="1"/>
                <w:bCs w:val="1"/>
                <w:color w:val="231F20"/>
              </w:rPr>
              <w:t>—</w:t>
            </w:r>
          </w:p>
        </w:tc>
        <w:tc>
          <w:tcPr>
            <w:tcW w:w="8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780" w:type="dxa"/>
            <w:vAlign w:val="bottom"/>
            <w:gridSpan w:val="2"/>
            <w:shd w:val="clear" w:color="auto" w:fill="E6E7E8"/>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33"/>
        </w:trPr>
        <w:tc>
          <w:tcPr>
            <w:tcW w:w="4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360" w:type="dxa"/>
            <w:vAlign w:val="bottom"/>
            <w:gridSpan w:val="3"/>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Participant Contributions</w:t>
            </w:r>
          </w:p>
        </w:tc>
        <w:tc>
          <w:tcPr>
            <w:tcW w:w="160" w:type="dxa"/>
            <w:vAlign w:val="bottom"/>
            <w:shd w:val="clear" w:color="auto" w:fill="E6E7E8"/>
          </w:tcPr>
          <w:p>
            <w:pPr>
              <w:spacing w:after="0"/>
              <w:rPr>
                <w:sz w:val="20"/>
                <w:szCs w:val="20"/>
                <w:color w:val="auto"/>
              </w:rPr>
            </w:pPr>
          </w:p>
        </w:tc>
        <w:tc>
          <w:tcPr>
            <w:tcW w:w="920" w:type="dxa"/>
            <w:vAlign w:val="bottom"/>
            <w:gridSpan w:val="2"/>
            <w:shd w:val="clear" w:color="auto" w:fill="E6E7E8"/>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w:t>
            </w:r>
          </w:p>
        </w:tc>
        <w:tc>
          <w:tcPr>
            <w:tcW w:w="180" w:type="dxa"/>
            <w:vAlign w:val="bottom"/>
            <w:shd w:val="clear" w:color="auto" w:fill="E6E7E8"/>
          </w:tcPr>
          <w:p>
            <w:pPr>
              <w:spacing w:after="0"/>
              <w:rPr>
                <w:sz w:val="20"/>
                <w:szCs w:val="20"/>
                <w:color w:val="auto"/>
              </w:rPr>
            </w:pPr>
          </w:p>
        </w:tc>
        <w:tc>
          <w:tcPr>
            <w:tcW w:w="840" w:type="dxa"/>
            <w:vAlign w:val="bottom"/>
            <w:gridSpan w:val="2"/>
            <w:shd w:val="clear" w:color="auto" w:fill="E6E7E8"/>
          </w:tcPr>
          <w:p>
            <w:pPr>
              <w:jc w:val="right"/>
              <w:ind w:right="140"/>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317</w:t>
            </w:r>
          </w:p>
        </w:tc>
        <w:tc>
          <w:tcPr>
            <w:tcW w:w="14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6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260</w:t>
            </w:r>
          </w:p>
        </w:tc>
        <w:tc>
          <w:tcPr>
            <w:tcW w:w="14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840" w:type="dxa"/>
            <w:vAlign w:val="bottom"/>
            <w:gridSpan w:val="2"/>
            <w:shd w:val="clear" w:color="auto" w:fill="E6E7E8"/>
          </w:tcPr>
          <w:p>
            <w:pPr>
              <w:jc w:val="right"/>
              <w:ind w:right="140"/>
              <w:spacing w:after="0"/>
              <w:rPr>
                <w:sz w:val="20"/>
                <w:szCs w:val="20"/>
                <w:color w:val="auto"/>
              </w:rPr>
            </w:pPr>
            <w:r>
              <w:rPr>
                <w:rFonts w:ascii="Times New Roman" w:cs="Times New Roman" w:eastAsia="Times New Roman" w:hAnsi="Times New Roman"/>
                <w:sz w:val="18"/>
                <w:szCs w:val="18"/>
                <w:b w:val="1"/>
                <w:bCs w:val="1"/>
                <w:color w:val="231F20"/>
              </w:rPr>
              <w:t>—</w:t>
            </w:r>
          </w:p>
        </w:tc>
        <w:tc>
          <w:tcPr>
            <w:tcW w:w="8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780" w:type="dxa"/>
            <w:vAlign w:val="bottom"/>
            <w:gridSpan w:val="2"/>
            <w:shd w:val="clear" w:color="auto" w:fill="E6E7E8"/>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33"/>
        </w:trPr>
        <w:tc>
          <w:tcPr>
            <w:tcW w:w="4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360" w:type="dxa"/>
            <w:vAlign w:val="bottom"/>
            <w:gridSpan w:val="3"/>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Benefits Paid</w:t>
            </w:r>
          </w:p>
        </w:tc>
        <w:tc>
          <w:tcPr>
            <w:tcW w:w="160" w:type="dxa"/>
            <w:vAlign w:val="bottom"/>
            <w:shd w:val="clear" w:color="auto" w:fill="E6E7E8"/>
          </w:tcPr>
          <w:p>
            <w:pPr>
              <w:spacing w:after="0"/>
              <w:rPr>
                <w:sz w:val="20"/>
                <w:szCs w:val="20"/>
                <w:color w:val="auto"/>
              </w:rPr>
            </w:pPr>
          </w:p>
        </w:tc>
        <w:tc>
          <w:tcPr>
            <w:tcW w:w="920" w:type="dxa"/>
            <w:vAlign w:val="bottom"/>
            <w:gridSpan w:val="2"/>
            <w:shd w:val="clear" w:color="auto" w:fill="E6E7E8"/>
          </w:tcPr>
          <w:p>
            <w:pPr>
              <w:jc w:val="right"/>
              <w:ind w:right="160"/>
              <w:spacing w:after="0"/>
              <w:rPr>
                <w:sz w:val="20"/>
                <w:szCs w:val="20"/>
                <w:color w:val="auto"/>
              </w:rPr>
            </w:pPr>
            <w:r>
              <w:rPr>
                <w:rFonts w:ascii="Times New Roman" w:cs="Times New Roman" w:eastAsia="Times New Roman" w:hAnsi="Times New Roman"/>
                <w:sz w:val="18"/>
                <w:szCs w:val="18"/>
                <w:b w:val="1"/>
                <w:bCs w:val="1"/>
                <w:color w:val="231F20"/>
              </w:rPr>
              <w:t>(8,462)</w:t>
            </w:r>
          </w:p>
        </w:tc>
        <w:tc>
          <w:tcPr>
            <w:tcW w:w="180" w:type="dxa"/>
            <w:vAlign w:val="bottom"/>
            <w:shd w:val="clear" w:color="auto" w:fill="E6E7E8"/>
          </w:tcPr>
          <w:p>
            <w:pPr>
              <w:spacing w:after="0"/>
              <w:rPr>
                <w:sz w:val="20"/>
                <w:szCs w:val="20"/>
                <w:color w:val="auto"/>
              </w:rPr>
            </w:pPr>
          </w:p>
        </w:tc>
        <w:tc>
          <w:tcPr>
            <w:tcW w:w="840" w:type="dxa"/>
            <w:vAlign w:val="bottom"/>
            <w:gridSpan w:val="2"/>
            <w:shd w:val="clear" w:color="auto" w:fill="E6E7E8"/>
          </w:tcPr>
          <w:p>
            <w:pPr>
              <w:jc w:val="right"/>
              <w:ind w:right="80"/>
              <w:spacing w:after="0"/>
              <w:rPr>
                <w:sz w:val="20"/>
                <w:szCs w:val="20"/>
                <w:color w:val="auto"/>
              </w:rPr>
            </w:pPr>
            <w:r>
              <w:rPr>
                <w:rFonts w:ascii="Times New Roman" w:cs="Times New Roman" w:eastAsia="Times New Roman" w:hAnsi="Times New Roman"/>
                <w:sz w:val="18"/>
                <w:szCs w:val="18"/>
                <w:color w:val="231F20"/>
              </w:rPr>
              <w:t>(7,823)</w:t>
            </w:r>
          </w:p>
        </w:tc>
        <w:tc>
          <w:tcPr>
            <w:tcW w:w="8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840" w:type="dxa"/>
            <w:vAlign w:val="bottom"/>
            <w:gridSpan w:val="2"/>
            <w:shd w:val="clear" w:color="auto" w:fill="E6E7E8"/>
          </w:tcPr>
          <w:p>
            <w:pPr>
              <w:jc w:val="right"/>
              <w:ind w:right="80"/>
              <w:spacing w:after="0"/>
              <w:rPr>
                <w:sz w:val="20"/>
                <w:szCs w:val="20"/>
                <w:color w:val="auto"/>
              </w:rPr>
            </w:pPr>
            <w:r>
              <w:rPr>
                <w:rFonts w:ascii="Times New Roman" w:cs="Times New Roman" w:eastAsia="Times New Roman" w:hAnsi="Times New Roman"/>
                <w:sz w:val="18"/>
                <w:szCs w:val="18"/>
                <w:b w:val="1"/>
                <w:bCs w:val="1"/>
                <w:color w:val="231F20"/>
              </w:rPr>
              <w:t>(2,936)</w:t>
            </w:r>
          </w:p>
        </w:tc>
        <w:tc>
          <w:tcPr>
            <w:tcW w:w="8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740" w:type="dxa"/>
            <w:vAlign w:val="bottom"/>
            <w:gridSpan w:val="2"/>
            <w:shd w:val="clear" w:color="auto" w:fill="E6E7E8"/>
          </w:tcPr>
          <w:p>
            <w:pPr>
              <w:jc w:val="right"/>
              <w:ind w:right="80"/>
              <w:spacing w:after="0"/>
              <w:rPr>
                <w:sz w:val="20"/>
                <w:szCs w:val="20"/>
                <w:color w:val="auto"/>
              </w:rPr>
            </w:pPr>
            <w:r>
              <w:rPr>
                <w:rFonts w:ascii="Times New Roman" w:cs="Times New Roman" w:eastAsia="Times New Roman" w:hAnsi="Times New Roman"/>
                <w:sz w:val="18"/>
                <w:szCs w:val="18"/>
                <w:color w:val="231F20"/>
              </w:rPr>
              <w:t>(2,526)</w:t>
            </w:r>
          </w:p>
        </w:tc>
        <w:tc>
          <w:tcPr>
            <w:tcW w:w="8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840" w:type="dxa"/>
            <w:vAlign w:val="bottom"/>
            <w:gridSpan w:val="2"/>
            <w:shd w:val="clear" w:color="auto" w:fill="E6E7E8"/>
          </w:tcPr>
          <w:p>
            <w:pPr>
              <w:jc w:val="right"/>
              <w:ind w:right="80"/>
              <w:spacing w:after="0"/>
              <w:rPr>
                <w:sz w:val="20"/>
                <w:szCs w:val="20"/>
                <w:color w:val="auto"/>
              </w:rPr>
            </w:pPr>
            <w:r>
              <w:rPr>
                <w:rFonts w:ascii="Times New Roman" w:cs="Times New Roman" w:eastAsia="Times New Roman" w:hAnsi="Times New Roman"/>
                <w:sz w:val="18"/>
                <w:szCs w:val="18"/>
                <w:b w:val="1"/>
                <w:bCs w:val="1"/>
                <w:color w:val="231F20"/>
              </w:rPr>
              <w:t>(678)</w:t>
            </w:r>
          </w:p>
        </w:tc>
        <w:tc>
          <w:tcPr>
            <w:tcW w:w="8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78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18"/>
                <w:szCs w:val="18"/>
                <w:color w:val="231F20"/>
              </w:rPr>
              <w:t>(679)</w:t>
            </w:r>
          </w:p>
        </w:tc>
        <w:tc>
          <w:tcPr>
            <w:tcW w:w="0" w:type="dxa"/>
            <w:vAlign w:val="bottom"/>
          </w:tcPr>
          <w:p>
            <w:pPr>
              <w:spacing w:after="0"/>
              <w:rPr>
                <w:sz w:val="1"/>
                <w:szCs w:val="1"/>
                <w:color w:val="auto"/>
              </w:rPr>
            </w:pPr>
          </w:p>
        </w:tc>
      </w:tr>
      <w:tr>
        <w:trPr>
          <w:trHeight w:val="233"/>
        </w:trPr>
        <w:tc>
          <w:tcPr>
            <w:tcW w:w="4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360" w:type="dxa"/>
            <w:vAlign w:val="bottom"/>
            <w:gridSpan w:val="3"/>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Actuarial (Gain) or Loss</w:t>
            </w:r>
          </w:p>
        </w:tc>
        <w:tc>
          <w:tcPr>
            <w:tcW w:w="160" w:type="dxa"/>
            <w:vAlign w:val="bottom"/>
            <w:shd w:val="clear" w:color="auto" w:fill="E6E7E8"/>
          </w:tcPr>
          <w:p>
            <w:pPr>
              <w:spacing w:after="0"/>
              <w:rPr>
                <w:sz w:val="20"/>
                <w:szCs w:val="20"/>
                <w:color w:val="auto"/>
              </w:rPr>
            </w:pP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2,829</w:t>
            </w:r>
          </w:p>
        </w:tc>
        <w:tc>
          <w:tcPr>
            <w:tcW w:w="22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840" w:type="dxa"/>
            <w:vAlign w:val="bottom"/>
            <w:gridSpan w:val="2"/>
            <w:shd w:val="clear" w:color="auto" w:fill="E6E7E8"/>
          </w:tcPr>
          <w:p>
            <w:pPr>
              <w:jc w:val="right"/>
              <w:ind w:right="80"/>
              <w:spacing w:after="0"/>
              <w:rPr>
                <w:sz w:val="20"/>
                <w:szCs w:val="20"/>
                <w:color w:val="auto"/>
              </w:rPr>
            </w:pPr>
            <w:r>
              <w:rPr>
                <w:rFonts w:ascii="Times New Roman" w:cs="Times New Roman" w:eastAsia="Times New Roman" w:hAnsi="Times New Roman"/>
                <w:sz w:val="18"/>
                <w:szCs w:val="18"/>
                <w:color w:val="231F20"/>
              </w:rPr>
              <w:t>(7,724)</w:t>
            </w:r>
          </w:p>
        </w:tc>
        <w:tc>
          <w:tcPr>
            <w:tcW w:w="8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9,987</w:t>
            </w:r>
          </w:p>
        </w:tc>
        <w:tc>
          <w:tcPr>
            <w:tcW w:w="14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6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2,525</w:t>
            </w:r>
          </w:p>
        </w:tc>
        <w:tc>
          <w:tcPr>
            <w:tcW w:w="14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589</w:t>
            </w:r>
          </w:p>
        </w:tc>
        <w:tc>
          <w:tcPr>
            <w:tcW w:w="14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78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18"/>
                <w:szCs w:val="18"/>
                <w:color w:val="231F20"/>
              </w:rPr>
              <w:t>(2,367)</w:t>
            </w:r>
          </w:p>
        </w:tc>
        <w:tc>
          <w:tcPr>
            <w:tcW w:w="0" w:type="dxa"/>
            <w:vAlign w:val="bottom"/>
          </w:tcPr>
          <w:p>
            <w:pPr>
              <w:spacing w:after="0"/>
              <w:rPr>
                <w:sz w:val="1"/>
                <w:szCs w:val="1"/>
                <w:color w:val="auto"/>
              </w:rPr>
            </w:pPr>
          </w:p>
        </w:tc>
      </w:tr>
      <w:tr>
        <w:trPr>
          <w:trHeight w:val="228"/>
        </w:trPr>
        <w:tc>
          <w:tcPr>
            <w:tcW w:w="4240" w:type="dxa"/>
            <w:vAlign w:val="bottom"/>
            <w:tcBorders>
              <w:top w:val="single" w:sz="8" w:color="E6E7E8"/>
            </w:tcBorders>
          </w:tcPr>
          <w:p>
            <w:pPr>
              <w:spacing w:after="0"/>
              <w:rPr>
                <w:sz w:val="19"/>
                <w:szCs w:val="19"/>
                <w:color w:val="auto"/>
              </w:rPr>
            </w:pPr>
          </w:p>
        </w:tc>
        <w:tc>
          <w:tcPr>
            <w:tcW w:w="100" w:type="dxa"/>
            <w:vAlign w:val="bottom"/>
            <w:tcBorders>
              <w:top w:val="single" w:sz="8" w:color="E6E7E8"/>
            </w:tcBorders>
          </w:tcPr>
          <w:p>
            <w:pPr>
              <w:spacing w:after="0"/>
              <w:rPr>
                <w:sz w:val="19"/>
                <w:szCs w:val="19"/>
                <w:color w:val="auto"/>
              </w:rPr>
            </w:pPr>
          </w:p>
        </w:tc>
        <w:tc>
          <w:tcPr>
            <w:tcW w:w="20" w:type="dxa"/>
            <w:vAlign w:val="bottom"/>
            <w:tcBorders>
              <w:top w:val="single" w:sz="8" w:color="231F20"/>
            </w:tcBorders>
          </w:tcPr>
          <w:p>
            <w:pPr>
              <w:spacing w:after="0"/>
              <w:rPr>
                <w:sz w:val="19"/>
                <w:szCs w:val="19"/>
                <w:color w:val="auto"/>
              </w:rPr>
            </w:pPr>
          </w:p>
        </w:tc>
        <w:tc>
          <w:tcPr>
            <w:tcW w:w="160" w:type="dxa"/>
            <w:vAlign w:val="bottom"/>
            <w:tcBorders>
              <w:top w:val="single" w:sz="8" w:color="231F20"/>
            </w:tcBorders>
          </w:tcPr>
          <w:p>
            <w:pPr>
              <w:spacing w:after="0"/>
              <w:rPr>
                <w:sz w:val="19"/>
                <w:szCs w:val="19"/>
                <w:color w:val="auto"/>
              </w:rPr>
            </w:pPr>
          </w:p>
        </w:tc>
        <w:tc>
          <w:tcPr>
            <w:tcW w:w="700" w:type="dxa"/>
            <w:vAlign w:val="bottom"/>
            <w:tcBorders>
              <w:top w:val="single" w:sz="8" w:color="231F20"/>
            </w:tcBorders>
          </w:tcPr>
          <w:p>
            <w:pPr>
              <w:spacing w:after="0"/>
              <w:rPr>
                <w:sz w:val="19"/>
                <w:szCs w:val="19"/>
                <w:color w:val="auto"/>
              </w:rPr>
            </w:pPr>
          </w:p>
        </w:tc>
        <w:tc>
          <w:tcPr>
            <w:tcW w:w="220" w:type="dxa"/>
            <w:vAlign w:val="bottom"/>
            <w:tcBorders>
              <w:top w:val="single" w:sz="8" w:color="E6E7E8"/>
            </w:tcBorders>
          </w:tcPr>
          <w:p>
            <w:pPr>
              <w:spacing w:after="0"/>
              <w:rPr>
                <w:sz w:val="19"/>
                <w:szCs w:val="19"/>
                <w:color w:val="auto"/>
              </w:rPr>
            </w:pPr>
          </w:p>
        </w:tc>
        <w:tc>
          <w:tcPr>
            <w:tcW w:w="180" w:type="dxa"/>
            <w:vAlign w:val="bottom"/>
            <w:tcBorders>
              <w:top w:val="single" w:sz="8" w:color="231F20"/>
            </w:tcBorders>
          </w:tcPr>
          <w:p>
            <w:pPr>
              <w:spacing w:after="0"/>
              <w:rPr>
                <w:sz w:val="19"/>
                <w:szCs w:val="19"/>
                <w:color w:val="auto"/>
              </w:rPr>
            </w:pPr>
          </w:p>
        </w:tc>
        <w:tc>
          <w:tcPr>
            <w:tcW w:w="700" w:type="dxa"/>
            <w:vAlign w:val="bottom"/>
            <w:tcBorders>
              <w:top w:val="single" w:sz="8" w:color="231F20"/>
            </w:tcBorders>
          </w:tcPr>
          <w:p>
            <w:pPr>
              <w:spacing w:after="0"/>
              <w:rPr>
                <w:sz w:val="19"/>
                <w:szCs w:val="19"/>
                <w:color w:val="auto"/>
              </w:rPr>
            </w:pPr>
          </w:p>
        </w:tc>
        <w:tc>
          <w:tcPr>
            <w:tcW w:w="140" w:type="dxa"/>
            <w:vAlign w:val="bottom"/>
            <w:tcBorders>
              <w:top w:val="single" w:sz="8" w:color="E6E7E8"/>
            </w:tcBorders>
          </w:tcPr>
          <w:p>
            <w:pPr>
              <w:spacing w:after="0"/>
              <w:rPr>
                <w:sz w:val="19"/>
                <w:szCs w:val="19"/>
                <w:color w:val="auto"/>
              </w:rPr>
            </w:pPr>
          </w:p>
        </w:tc>
        <w:tc>
          <w:tcPr>
            <w:tcW w:w="80" w:type="dxa"/>
            <w:vAlign w:val="bottom"/>
            <w:tcBorders>
              <w:top w:val="single" w:sz="8" w:color="E6E7E8"/>
            </w:tcBorders>
          </w:tcPr>
          <w:p>
            <w:pPr>
              <w:spacing w:after="0"/>
              <w:rPr>
                <w:sz w:val="19"/>
                <w:szCs w:val="19"/>
                <w:color w:val="auto"/>
              </w:rPr>
            </w:pPr>
          </w:p>
        </w:tc>
        <w:tc>
          <w:tcPr>
            <w:tcW w:w="180" w:type="dxa"/>
            <w:vAlign w:val="bottom"/>
            <w:tcBorders>
              <w:top w:val="single" w:sz="8" w:color="231F20"/>
            </w:tcBorders>
          </w:tcPr>
          <w:p>
            <w:pPr>
              <w:spacing w:after="0"/>
              <w:rPr>
                <w:sz w:val="19"/>
                <w:szCs w:val="19"/>
                <w:color w:val="auto"/>
              </w:rPr>
            </w:pPr>
          </w:p>
        </w:tc>
        <w:tc>
          <w:tcPr>
            <w:tcW w:w="700" w:type="dxa"/>
            <w:vAlign w:val="bottom"/>
            <w:tcBorders>
              <w:top w:val="single" w:sz="8" w:color="231F20"/>
            </w:tcBorders>
          </w:tcPr>
          <w:p>
            <w:pPr>
              <w:spacing w:after="0"/>
              <w:rPr>
                <w:sz w:val="19"/>
                <w:szCs w:val="19"/>
                <w:color w:val="auto"/>
              </w:rPr>
            </w:pPr>
          </w:p>
        </w:tc>
        <w:tc>
          <w:tcPr>
            <w:tcW w:w="140" w:type="dxa"/>
            <w:vAlign w:val="bottom"/>
            <w:tcBorders>
              <w:top w:val="single" w:sz="8" w:color="E6E7E8"/>
            </w:tcBorders>
          </w:tcPr>
          <w:p>
            <w:pPr>
              <w:spacing w:after="0"/>
              <w:rPr>
                <w:sz w:val="19"/>
                <w:szCs w:val="19"/>
                <w:color w:val="auto"/>
              </w:rPr>
            </w:pPr>
          </w:p>
        </w:tc>
        <w:tc>
          <w:tcPr>
            <w:tcW w:w="80" w:type="dxa"/>
            <w:vAlign w:val="bottom"/>
            <w:tcBorders>
              <w:top w:val="single" w:sz="8" w:color="E6E7E8"/>
            </w:tcBorders>
          </w:tcPr>
          <w:p>
            <w:pPr>
              <w:spacing w:after="0"/>
              <w:rPr>
                <w:sz w:val="19"/>
                <w:szCs w:val="19"/>
                <w:color w:val="auto"/>
              </w:rPr>
            </w:pPr>
          </w:p>
        </w:tc>
        <w:tc>
          <w:tcPr>
            <w:tcW w:w="280" w:type="dxa"/>
            <w:vAlign w:val="bottom"/>
            <w:tcBorders>
              <w:top w:val="single" w:sz="8" w:color="231F20"/>
            </w:tcBorders>
          </w:tcPr>
          <w:p>
            <w:pPr>
              <w:spacing w:after="0"/>
              <w:rPr>
                <w:sz w:val="19"/>
                <w:szCs w:val="19"/>
                <w:color w:val="auto"/>
              </w:rPr>
            </w:pPr>
          </w:p>
        </w:tc>
        <w:tc>
          <w:tcPr>
            <w:tcW w:w="600" w:type="dxa"/>
            <w:vAlign w:val="bottom"/>
            <w:tcBorders>
              <w:top w:val="single" w:sz="8" w:color="231F20"/>
            </w:tcBorders>
          </w:tcPr>
          <w:p>
            <w:pPr>
              <w:spacing w:after="0"/>
              <w:rPr>
                <w:sz w:val="19"/>
                <w:szCs w:val="19"/>
                <w:color w:val="auto"/>
              </w:rPr>
            </w:pPr>
          </w:p>
        </w:tc>
        <w:tc>
          <w:tcPr>
            <w:tcW w:w="140" w:type="dxa"/>
            <w:vAlign w:val="bottom"/>
            <w:tcBorders>
              <w:top w:val="single" w:sz="8" w:color="E6E7E8"/>
            </w:tcBorders>
          </w:tcPr>
          <w:p>
            <w:pPr>
              <w:spacing w:after="0"/>
              <w:rPr>
                <w:sz w:val="19"/>
                <w:szCs w:val="19"/>
                <w:color w:val="auto"/>
              </w:rPr>
            </w:pPr>
          </w:p>
        </w:tc>
        <w:tc>
          <w:tcPr>
            <w:tcW w:w="80" w:type="dxa"/>
            <w:vAlign w:val="bottom"/>
            <w:tcBorders>
              <w:top w:val="single" w:sz="8" w:color="E6E7E8"/>
            </w:tcBorders>
          </w:tcPr>
          <w:p>
            <w:pPr>
              <w:spacing w:after="0"/>
              <w:rPr>
                <w:sz w:val="19"/>
                <w:szCs w:val="19"/>
                <w:color w:val="auto"/>
              </w:rPr>
            </w:pPr>
          </w:p>
        </w:tc>
        <w:tc>
          <w:tcPr>
            <w:tcW w:w="180" w:type="dxa"/>
            <w:vAlign w:val="bottom"/>
            <w:tcBorders>
              <w:top w:val="single" w:sz="8" w:color="231F20"/>
            </w:tcBorders>
          </w:tcPr>
          <w:p>
            <w:pPr>
              <w:spacing w:after="0"/>
              <w:rPr>
                <w:sz w:val="19"/>
                <w:szCs w:val="19"/>
                <w:color w:val="auto"/>
              </w:rPr>
            </w:pPr>
          </w:p>
        </w:tc>
        <w:tc>
          <w:tcPr>
            <w:tcW w:w="700" w:type="dxa"/>
            <w:vAlign w:val="bottom"/>
            <w:tcBorders>
              <w:top w:val="single" w:sz="8" w:color="231F20"/>
            </w:tcBorders>
          </w:tcPr>
          <w:p>
            <w:pPr>
              <w:spacing w:after="0"/>
              <w:rPr>
                <w:sz w:val="19"/>
                <w:szCs w:val="19"/>
                <w:color w:val="auto"/>
              </w:rPr>
            </w:pPr>
          </w:p>
        </w:tc>
        <w:tc>
          <w:tcPr>
            <w:tcW w:w="140" w:type="dxa"/>
            <w:vAlign w:val="bottom"/>
            <w:tcBorders>
              <w:top w:val="single" w:sz="8" w:color="E6E7E8"/>
            </w:tcBorders>
          </w:tcPr>
          <w:p>
            <w:pPr>
              <w:spacing w:after="0"/>
              <w:rPr>
                <w:sz w:val="19"/>
                <w:szCs w:val="19"/>
                <w:color w:val="auto"/>
              </w:rPr>
            </w:pPr>
          </w:p>
        </w:tc>
        <w:tc>
          <w:tcPr>
            <w:tcW w:w="80" w:type="dxa"/>
            <w:vAlign w:val="bottom"/>
            <w:tcBorders>
              <w:top w:val="single" w:sz="8" w:color="E6E7E8"/>
            </w:tcBorders>
          </w:tcPr>
          <w:p>
            <w:pPr>
              <w:spacing w:after="0"/>
              <w:rPr>
                <w:sz w:val="19"/>
                <w:szCs w:val="19"/>
                <w:color w:val="auto"/>
              </w:rPr>
            </w:pPr>
          </w:p>
        </w:tc>
        <w:tc>
          <w:tcPr>
            <w:tcW w:w="180" w:type="dxa"/>
            <w:vAlign w:val="bottom"/>
            <w:tcBorders>
              <w:top w:val="single" w:sz="8" w:color="231F20"/>
            </w:tcBorders>
          </w:tcPr>
          <w:p>
            <w:pPr>
              <w:spacing w:after="0"/>
              <w:rPr>
                <w:sz w:val="19"/>
                <w:szCs w:val="19"/>
                <w:color w:val="auto"/>
              </w:rPr>
            </w:pPr>
          </w:p>
        </w:tc>
        <w:tc>
          <w:tcPr>
            <w:tcW w:w="700" w:type="dxa"/>
            <w:vAlign w:val="bottom"/>
            <w:tcBorders>
              <w:top w:val="single" w:sz="8" w:color="231F20"/>
            </w:tcBorders>
          </w:tcPr>
          <w:p>
            <w:pPr>
              <w:spacing w:after="0"/>
              <w:rPr>
                <w:sz w:val="19"/>
                <w:szCs w:val="19"/>
                <w:color w:val="auto"/>
              </w:rPr>
            </w:pPr>
          </w:p>
        </w:tc>
        <w:tc>
          <w:tcPr>
            <w:tcW w:w="80" w:type="dxa"/>
            <w:vAlign w:val="bottom"/>
            <w:tcBorders>
              <w:top w:val="single" w:sz="8" w:color="E6E7E8"/>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360" w:type="dxa"/>
            <w:vAlign w:val="bottom"/>
            <w:gridSpan w:val="3"/>
            <w:shd w:val="clear" w:color="auto" w:fill="E6E7E8"/>
          </w:tcPr>
          <w:p>
            <w:pPr>
              <w:spacing w:after="0"/>
              <w:rPr>
                <w:sz w:val="20"/>
                <w:szCs w:val="20"/>
                <w:color w:val="auto"/>
              </w:rPr>
            </w:pPr>
            <w:r>
              <w:rPr>
                <w:rFonts w:ascii="Times New Roman" w:cs="Times New Roman" w:eastAsia="Times New Roman" w:hAnsi="Times New Roman"/>
                <w:sz w:val="19"/>
                <w:szCs w:val="19"/>
                <w:b w:val="1"/>
                <w:bCs w:val="1"/>
                <w:color w:val="231F20"/>
              </w:rPr>
              <w:t>PBO at End of Year</w:t>
            </w:r>
          </w:p>
        </w:tc>
        <w:tc>
          <w:tcPr>
            <w:tcW w:w="1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153,335</w:t>
            </w:r>
          </w:p>
        </w:tc>
        <w:tc>
          <w:tcPr>
            <w:tcW w:w="220" w:type="dxa"/>
            <w:vAlign w:val="bottom"/>
            <w:shd w:val="clear" w:color="auto" w:fill="E6E7E8"/>
          </w:tcPr>
          <w:p>
            <w:pPr>
              <w:spacing w:after="0"/>
              <w:rPr>
                <w:sz w:val="20"/>
                <w:szCs w:val="20"/>
                <w:color w:val="auto"/>
              </w:rPr>
            </w:pPr>
          </w:p>
        </w:tc>
        <w:tc>
          <w:tcPr>
            <w:tcW w:w="180" w:type="dxa"/>
            <w:vAlign w:val="bottom"/>
            <w:shd w:val="clear" w:color="auto" w:fill="E6E7E8"/>
          </w:tcPr>
          <w:p>
            <w:pPr>
              <w:jc w:val="right"/>
              <w:ind w:right="15"/>
              <w:spacing w:after="0"/>
              <w:rPr>
                <w:sz w:val="20"/>
                <w:szCs w:val="20"/>
                <w:color w:val="auto"/>
              </w:rPr>
            </w:pPr>
            <w:r>
              <w:rPr>
                <w:rFonts w:ascii="Times New Roman" w:cs="Times New Roman" w:eastAsia="Times New Roman" w:hAnsi="Times New Roman"/>
                <w:sz w:val="17"/>
                <w:szCs w:val="17"/>
                <w:color w:val="231F20"/>
                <w:w w:val="70"/>
              </w:rPr>
              <w:t>$</w:t>
            </w: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148,556</w:t>
            </w:r>
          </w:p>
        </w:tc>
        <w:tc>
          <w:tcPr>
            <w:tcW w:w="140" w:type="dxa"/>
            <w:vAlign w:val="bottom"/>
            <w:shd w:val="clear" w:color="auto" w:fill="E6E7E8"/>
          </w:tcPr>
          <w:p>
            <w:pPr>
              <w:spacing w:after="0"/>
              <w:rPr>
                <w:sz w:val="20"/>
                <w:szCs w:val="20"/>
                <w:color w:val="auto"/>
              </w:rPr>
            </w:pPr>
          </w:p>
        </w:tc>
        <w:tc>
          <w:tcPr>
            <w:tcW w:w="260" w:type="dxa"/>
            <w:vAlign w:val="bottom"/>
            <w:gridSpan w:val="2"/>
            <w:shd w:val="clear" w:color="auto" w:fill="E6E7E8"/>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w:t>
            </w: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85,548</w:t>
            </w:r>
          </w:p>
        </w:tc>
        <w:tc>
          <w:tcPr>
            <w:tcW w:w="140" w:type="dxa"/>
            <w:vAlign w:val="bottom"/>
            <w:shd w:val="clear" w:color="auto" w:fill="E6E7E8"/>
          </w:tcPr>
          <w:p>
            <w:pPr>
              <w:spacing w:after="0"/>
              <w:rPr>
                <w:sz w:val="20"/>
                <w:szCs w:val="20"/>
                <w:color w:val="auto"/>
              </w:rPr>
            </w:pPr>
          </w:p>
        </w:tc>
        <w:tc>
          <w:tcPr>
            <w:tcW w:w="360" w:type="dxa"/>
            <w:vAlign w:val="bottom"/>
            <w:gridSpan w:val="2"/>
            <w:shd w:val="clear" w:color="auto" w:fill="E6E7E8"/>
          </w:tcPr>
          <w:p>
            <w:pPr>
              <w:jc w:val="right"/>
              <w:ind w:right="200"/>
              <w:spacing w:after="0"/>
              <w:rPr>
                <w:sz w:val="20"/>
                <w:szCs w:val="20"/>
                <w:color w:val="auto"/>
              </w:rPr>
            </w:pPr>
            <w:r>
              <w:rPr>
                <w:rFonts w:ascii="Times New Roman" w:cs="Times New Roman" w:eastAsia="Times New Roman" w:hAnsi="Times New Roman"/>
                <w:sz w:val="18"/>
                <w:szCs w:val="18"/>
                <w:color w:val="231F20"/>
              </w:rPr>
              <w:t>$</w:t>
            </w:r>
          </w:p>
        </w:tc>
        <w:tc>
          <w:tcPr>
            <w:tcW w:w="6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72,207</w:t>
            </w:r>
          </w:p>
        </w:tc>
        <w:tc>
          <w:tcPr>
            <w:tcW w:w="140" w:type="dxa"/>
            <w:vAlign w:val="bottom"/>
            <w:shd w:val="clear" w:color="auto" w:fill="E6E7E8"/>
          </w:tcPr>
          <w:p>
            <w:pPr>
              <w:spacing w:after="0"/>
              <w:rPr>
                <w:sz w:val="20"/>
                <w:szCs w:val="20"/>
                <w:color w:val="auto"/>
              </w:rPr>
            </w:pPr>
          </w:p>
        </w:tc>
        <w:tc>
          <w:tcPr>
            <w:tcW w:w="260" w:type="dxa"/>
            <w:vAlign w:val="bottom"/>
            <w:gridSpan w:val="2"/>
            <w:shd w:val="clear" w:color="auto" w:fill="E6E7E8"/>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w:t>
            </w: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13,504</w:t>
            </w:r>
          </w:p>
        </w:tc>
        <w:tc>
          <w:tcPr>
            <w:tcW w:w="140" w:type="dxa"/>
            <w:vAlign w:val="bottom"/>
            <w:shd w:val="clear" w:color="auto" w:fill="E6E7E8"/>
          </w:tcPr>
          <w:p>
            <w:pPr>
              <w:spacing w:after="0"/>
              <w:rPr>
                <w:sz w:val="20"/>
                <w:szCs w:val="20"/>
                <w:color w:val="auto"/>
              </w:rPr>
            </w:pPr>
          </w:p>
        </w:tc>
        <w:tc>
          <w:tcPr>
            <w:tcW w:w="260" w:type="dxa"/>
            <w:vAlign w:val="bottom"/>
            <w:gridSpan w:val="2"/>
            <w:shd w:val="clear" w:color="auto" w:fill="E6E7E8"/>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12,747</w:t>
            </w:r>
          </w:p>
        </w:tc>
        <w:tc>
          <w:tcPr>
            <w:tcW w:w="8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40" w:type="dxa"/>
            <w:vAlign w:val="bottom"/>
            <w:tcBorders>
              <w:top w:val="single" w:sz="8" w:color="E6E7E8"/>
            </w:tcBorders>
          </w:tcPr>
          <w:p>
            <w:pPr>
              <w:spacing w:after="0"/>
              <w:rPr>
                <w:sz w:val="19"/>
                <w:szCs w:val="19"/>
                <w:color w:val="auto"/>
              </w:rPr>
            </w:pPr>
          </w:p>
        </w:tc>
        <w:tc>
          <w:tcPr>
            <w:tcW w:w="100" w:type="dxa"/>
            <w:vAlign w:val="bottom"/>
            <w:tcBorders>
              <w:top w:val="single" w:sz="8" w:color="E6E7E8"/>
            </w:tcBorders>
          </w:tcPr>
          <w:p>
            <w:pPr>
              <w:spacing w:after="0"/>
              <w:rPr>
                <w:sz w:val="19"/>
                <w:szCs w:val="19"/>
                <w:color w:val="auto"/>
              </w:rPr>
            </w:pPr>
          </w:p>
        </w:tc>
        <w:tc>
          <w:tcPr>
            <w:tcW w:w="20" w:type="dxa"/>
            <w:vAlign w:val="bottom"/>
            <w:tcBorders>
              <w:top w:val="single" w:sz="8" w:color="231F20"/>
            </w:tcBorders>
          </w:tcPr>
          <w:p>
            <w:pPr>
              <w:spacing w:after="0"/>
              <w:rPr>
                <w:sz w:val="19"/>
                <w:szCs w:val="19"/>
                <w:color w:val="auto"/>
              </w:rPr>
            </w:pPr>
          </w:p>
        </w:tc>
        <w:tc>
          <w:tcPr>
            <w:tcW w:w="160" w:type="dxa"/>
            <w:vAlign w:val="bottom"/>
            <w:tcBorders>
              <w:top w:val="single" w:sz="8" w:color="231F20"/>
            </w:tcBorders>
          </w:tcPr>
          <w:p>
            <w:pPr>
              <w:spacing w:after="0"/>
              <w:rPr>
                <w:sz w:val="19"/>
                <w:szCs w:val="19"/>
                <w:color w:val="auto"/>
              </w:rPr>
            </w:pPr>
          </w:p>
        </w:tc>
        <w:tc>
          <w:tcPr>
            <w:tcW w:w="700" w:type="dxa"/>
            <w:vAlign w:val="bottom"/>
            <w:tcBorders>
              <w:top w:val="single" w:sz="8" w:color="231F20"/>
            </w:tcBorders>
          </w:tcPr>
          <w:p>
            <w:pPr>
              <w:spacing w:after="0"/>
              <w:rPr>
                <w:sz w:val="19"/>
                <w:szCs w:val="19"/>
                <w:color w:val="auto"/>
              </w:rPr>
            </w:pPr>
          </w:p>
        </w:tc>
        <w:tc>
          <w:tcPr>
            <w:tcW w:w="220" w:type="dxa"/>
            <w:vAlign w:val="bottom"/>
            <w:tcBorders>
              <w:top w:val="single" w:sz="8" w:color="E6E7E8"/>
            </w:tcBorders>
          </w:tcPr>
          <w:p>
            <w:pPr>
              <w:spacing w:after="0"/>
              <w:rPr>
                <w:sz w:val="19"/>
                <w:szCs w:val="19"/>
                <w:color w:val="auto"/>
              </w:rPr>
            </w:pPr>
          </w:p>
        </w:tc>
        <w:tc>
          <w:tcPr>
            <w:tcW w:w="180" w:type="dxa"/>
            <w:vAlign w:val="bottom"/>
            <w:tcBorders>
              <w:top w:val="single" w:sz="8" w:color="231F20"/>
            </w:tcBorders>
          </w:tcPr>
          <w:p>
            <w:pPr>
              <w:spacing w:after="0"/>
              <w:rPr>
                <w:sz w:val="19"/>
                <w:szCs w:val="19"/>
                <w:color w:val="auto"/>
              </w:rPr>
            </w:pPr>
          </w:p>
        </w:tc>
        <w:tc>
          <w:tcPr>
            <w:tcW w:w="700" w:type="dxa"/>
            <w:vAlign w:val="bottom"/>
            <w:tcBorders>
              <w:top w:val="single" w:sz="8" w:color="231F20"/>
            </w:tcBorders>
          </w:tcPr>
          <w:p>
            <w:pPr>
              <w:spacing w:after="0"/>
              <w:rPr>
                <w:sz w:val="19"/>
                <w:szCs w:val="19"/>
                <w:color w:val="auto"/>
              </w:rPr>
            </w:pPr>
          </w:p>
        </w:tc>
        <w:tc>
          <w:tcPr>
            <w:tcW w:w="140" w:type="dxa"/>
            <w:vAlign w:val="bottom"/>
            <w:tcBorders>
              <w:top w:val="single" w:sz="8" w:color="E6E7E8"/>
            </w:tcBorders>
          </w:tcPr>
          <w:p>
            <w:pPr>
              <w:spacing w:after="0"/>
              <w:rPr>
                <w:sz w:val="19"/>
                <w:szCs w:val="19"/>
                <w:color w:val="auto"/>
              </w:rPr>
            </w:pPr>
          </w:p>
        </w:tc>
        <w:tc>
          <w:tcPr>
            <w:tcW w:w="80" w:type="dxa"/>
            <w:vAlign w:val="bottom"/>
            <w:tcBorders>
              <w:top w:val="single" w:sz="8" w:color="E6E7E8"/>
            </w:tcBorders>
          </w:tcPr>
          <w:p>
            <w:pPr>
              <w:spacing w:after="0"/>
              <w:rPr>
                <w:sz w:val="19"/>
                <w:szCs w:val="19"/>
                <w:color w:val="auto"/>
              </w:rPr>
            </w:pPr>
          </w:p>
        </w:tc>
        <w:tc>
          <w:tcPr>
            <w:tcW w:w="180" w:type="dxa"/>
            <w:vAlign w:val="bottom"/>
            <w:tcBorders>
              <w:top w:val="single" w:sz="8" w:color="231F20"/>
            </w:tcBorders>
          </w:tcPr>
          <w:p>
            <w:pPr>
              <w:spacing w:after="0"/>
              <w:rPr>
                <w:sz w:val="19"/>
                <w:szCs w:val="19"/>
                <w:color w:val="auto"/>
              </w:rPr>
            </w:pPr>
          </w:p>
        </w:tc>
        <w:tc>
          <w:tcPr>
            <w:tcW w:w="700" w:type="dxa"/>
            <w:vAlign w:val="bottom"/>
            <w:tcBorders>
              <w:top w:val="single" w:sz="8" w:color="231F20"/>
            </w:tcBorders>
          </w:tcPr>
          <w:p>
            <w:pPr>
              <w:spacing w:after="0"/>
              <w:rPr>
                <w:sz w:val="19"/>
                <w:szCs w:val="19"/>
                <w:color w:val="auto"/>
              </w:rPr>
            </w:pPr>
          </w:p>
        </w:tc>
        <w:tc>
          <w:tcPr>
            <w:tcW w:w="140" w:type="dxa"/>
            <w:vAlign w:val="bottom"/>
            <w:tcBorders>
              <w:top w:val="single" w:sz="8" w:color="E6E7E8"/>
            </w:tcBorders>
          </w:tcPr>
          <w:p>
            <w:pPr>
              <w:spacing w:after="0"/>
              <w:rPr>
                <w:sz w:val="19"/>
                <w:szCs w:val="19"/>
                <w:color w:val="auto"/>
              </w:rPr>
            </w:pPr>
          </w:p>
        </w:tc>
        <w:tc>
          <w:tcPr>
            <w:tcW w:w="80" w:type="dxa"/>
            <w:vAlign w:val="bottom"/>
            <w:tcBorders>
              <w:top w:val="single" w:sz="8" w:color="E6E7E8"/>
            </w:tcBorders>
          </w:tcPr>
          <w:p>
            <w:pPr>
              <w:spacing w:after="0"/>
              <w:rPr>
                <w:sz w:val="19"/>
                <w:szCs w:val="19"/>
                <w:color w:val="auto"/>
              </w:rPr>
            </w:pPr>
          </w:p>
        </w:tc>
        <w:tc>
          <w:tcPr>
            <w:tcW w:w="280" w:type="dxa"/>
            <w:vAlign w:val="bottom"/>
            <w:tcBorders>
              <w:top w:val="single" w:sz="8" w:color="231F20"/>
            </w:tcBorders>
          </w:tcPr>
          <w:p>
            <w:pPr>
              <w:spacing w:after="0"/>
              <w:rPr>
                <w:sz w:val="19"/>
                <w:szCs w:val="19"/>
                <w:color w:val="auto"/>
              </w:rPr>
            </w:pPr>
          </w:p>
        </w:tc>
        <w:tc>
          <w:tcPr>
            <w:tcW w:w="600" w:type="dxa"/>
            <w:vAlign w:val="bottom"/>
            <w:tcBorders>
              <w:top w:val="single" w:sz="8" w:color="231F20"/>
            </w:tcBorders>
          </w:tcPr>
          <w:p>
            <w:pPr>
              <w:spacing w:after="0"/>
              <w:rPr>
                <w:sz w:val="19"/>
                <w:szCs w:val="19"/>
                <w:color w:val="auto"/>
              </w:rPr>
            </w:pPr>
          </w:p>
        </w:tc>
        <w:tc>
          <w:tcPr>
            <w:tcW w:w="140" w:type="dxa"/>
            <w:vAlign w:val="bottom"/>
            <w:tcBorders>
              <w:top w:val="single" w:sz="8" w:color="E6E7E8"/>
            </w:tcBorders>
          </w:tcPr>
          <w:p>
            <w:pPr>
              <w:spacing w:after="0"/>
              <w:rPr>
                <w:sz w:val="19"/>
                <w:szCs w:val="19"/>
                <w:color w:val="auto"/>
              </w:rPr>
            </w:pPr>
          </w:p>
        </w:tc>
        <w:tc>
          <w:tcPr>
            <w:tcW w:w="80" w:type="dxa"/>
            <w:vAlign w:val="bottom"/>
            <w:tcBorders>
              <w:top w:val="single" w:sz="8" w:color="E6E7E8"/>
            </w:tcBorders>
          </w:tcPr>
          <w:p>
            <w:pPr>
              <w:spacing w:after="0"/>
              <w:rPr>
                <w:sz w:val="19"/>
                <w:szCs w:val="19"/>
                <w:color w:val="auto"/>
              </w:rPr>
            </w:pPr>
          </w:p>
        </w:tc>
        <w:tc>
          <w:tcPr>
            <w:tcW w:w="180" w:type="dxa"/>
            <w:vAlign w:val="bottom"/>
            <w:tcBorders>
              <w:top w:val="single" w:sz="8" w:color="231F20"/>
            </w:tcBorders>
          </w:tcPr>
          <w:p>
            <w:pPr>
              <w:spacing w:after="0"/>
              <w:rPr>
                <w:sz w:val="19"/>
                <w:szCs w:val="19"/>
                <w:color w:val="auto"/>
              </w:rPr>
            </w:pPr>
          </w:p>
        </w:tc>
        <w:tc>
          <w:tcPr>
            <w:tcW w:w="700" w:type="dxa"/>
            <w:vAlign w:val="bottom"/>
            <w:tcBorders>
              <w:top w:val="single" w:sz="8" w:color="231F20"/>
            </w:tcBorders>
          </w:tcPr>
          <w:p>
            <w:pPr>
              <w:spacing w:after="0"/>
              <w:rPr>
                <w:sz w:val="19"/>
                <w:szCs w:val="19"/>
                <w:color w:val="auto"/>
              </w:rPr>
            </w:pPr>
          </w:p>
        </w:tc>
        <w:tc>
          <w:tcPr>
            <w:tcW w:w="140" w:type="dxa"/>
            <w:vAlign w:val="bottom"/>
            <w:tcBorders>
              <w:top w:val="single" w:sz="8" w:color="E6E7E8"/>
            </w:tcBorders>
          </w:tcPr>
          <w:p>
            <w:pPr>
              <w:spacing w:after="0"/>
              <w:rPr>
                <w:sz w:val="19"/>
                <w:szCs w:val="19"/>
                <w:color w:val="auto"/>
              </w:rPr>
            </w:pPr>
          </w:p>
        </w:tc>
        <w:tc>
          <w:tcPr>
            <w:tcW w:w="80" w:type="dxa"/>
            <w:vAlign w:val="bottom"/>
            <w:tcBorders>
              <w:top w:val="single" w:sz="8" w:color="E6E7E8"/>
            </w:tcBorders>
          </w:tcPr>
          <w:p>
            <w:pPr>
              <w:spacing w:after="0"/>
              <w:rPr>
                <w:sz w:val="19"/>
                <w:szCs w:val="19"/>
                <w:color w:val="auto"/>
              </w:rPr>
            </w:pPr>
          </w:p>
        </w:tc>
        <w:tc>
          <w:tcPr>
            <w:tcW w:w="180" w:type="dxa"/>
            <w:vAlign w:val="bottom"/>
            <w:tcBorders>
              <w:top w:val="single" w:sz="8" w:color="231F20"/>
            </w:tcBorders>
          </w:tcPr>
          <w:p>
            <w:pPr>
              <w:spacing w:after="0"/>
              <w:rPr>
                <w:sz w:val="19"/>
                <w:szCs w:val="19"/>
                <w:color w:val="auto"/>
              </w:rPr>
            </w:pPr>
          </w:p>
        </w:tc>
        <w:tc>
          <w:tcPr>
            <w:tcW w:w="700" w:type="dxa"/>
            <w:vAlign w:val="bottom"/>
            <w:tcBorders>
              <w:top w:val="single" w:sz="8" w:color="231F20"/>
            </w:tcBorders>
          </w:tcPr>
          <w:p>
            <w:pPr>
              <w:spacing w:after="0"/>
              <w:rPr>
                <w:sz w:val="19"/>
                <w:szCs w:val="19"/>
                <w:color w:val="auto"/>
              </w:rPr>
            </w:pPr>
          </w:p>
        </w:tc>
        <w:tc>
          <w:tcPr>
            <w:tcW w:w="80" w:type="dxa"/>
            <w:vAlign w:val="bottom"/>
            <w:tcBorders>
              <w:top w:val="single" w:sz="8" w:color="E6E7E8"/>
            </w:tcBorders>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360" w:type="dxa"/>
            <w:vAlign w:val="bottom"/>
            <w:gridSpan w:val="3"/>
            <w:shd w:val="clear" w:color="auto" w:fill="E6E7E8"/>
          </w:tcPr>
          <w:p>
            <w:pPr>
              <w:spacing w:after="0"/>
              <w:rPr>
                <w:sz w:val="20"/>
                <w:szCs w:val="20"/>
                <w:color w:val="auto"/>
              </w:rPr>
            </w:pPr>
            <w:r>
              <w:rPr>
                <w:rFonts w:ascii="Times New Roman" w:cs="Times New Roman" w:eastAsia="Times New Roman" w:hAnsi="Times New Roman"/>
                <w:sz w:val="19"/>
                <w:szCs w:val="19"/>
                <w:b w:val="1"/>
                <w:bCs w:val="1"/>
                <w:color w:val="231F20"/>
              </w:rPr>
              <w:t>Funded Status: Assets vs PBO</w:t>
            </w:r>
          </w:p>
        </w:tc>
        <w:tc>
          <w:tcPr>
            <w:tcW w:w="1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b w:val="1"/>
                <w:bCs w:val="1"/>
                <w:color w:val="231F20"/>
              </w:rPr>
              <w:t>9,963</w:t>
            </w:r>
          </w:p>
        </w:tc>
        <w:tc>
          <w:tcPr>
            <w:tcW w:w="220" w:type="dxa"/>
            <w:vAlign w:val="bottom"/>
            <w:shd w:val="clear" w:color="auto" w:fill="E6E7E8"/>
          </w:tcPr>
          <w:p>
            <w:pPr>
              <w:spacing w:after="0"/>
              <w:rPr>
                <w:sz w:val="21"/>
                <w:szCs w:val="21"/>
                <w:color w:val="auto"/>
              </w:rPr>
            </w:pPr>
          </w:p>
        </w:tc>
        <w:tc>
          <w:tcPr>
            <w:tcW w:w="180" w:type="dxa"/>
            <w:vAlign w:val="bottom"/>
            <w:shd w:val="clear" w:color="auto" w:fill="E6E7E8"/>
          </w:tcPr>
          <w:p>
            <w:pPr>
              <w:jc w:val="right"/>
              <w:ind w:right="15"/>
              <w:spacing w:after="0"/>
              <w:rPr>
                <w:sz w:val="20"/>
                <w:szCs w:val="20"/>
                <w:color w:val="auto"/>
              </w:rPr>
            </w:pPr>
            <w:r>
              <w:rPr>
                <w:rFonts w:ascii="Times New Roman" w:cs="Times New Roman" w:eastAsia="Times New Roman" w:hAnsi="Times New Roman"/>
                <w:sz w:val="17"/>
                <w:szCs w:val="17"/>
                <w:color w:val="231F20"/>
                <w:w w:val="70"/>
              </w:rPr>
              <w:t>$</w:t>
            </w: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418</w:t>
            </w:r>
          </w:p>
        </w:tc>
        <w:tc>
          <w:tcPr>
            <w:tcW w:w="140" w:type="dxa"/>
            <w:vAlign w:val="bottom"/>
            <w:shd w:val="clear" w:color="auto" w:fill="E6E7E8"/>
          </w:tcPr>
          <w:p>
            <w:pPr>
              <w:spacing w:after="0"/>
              <w:rPr>
                <w:sz w:val="21"/>
                <w:szCs w:val="21"/>
                <w:color w:val="auto"/>
              </w:rPr>
            </w:pPr>
          </w:p>
        </w:tc>
        <w:tc>
          <w:tcPr>
            <w:tcW w:w="260" w:type="dxa"/>
            <w:vAlign w:val="bottom"/>
            <w:gridSpan w:val="2"/>
            <w:shd w:val="clear" w:color="auto" w:fill="E6E7E8"/>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w:t>
            </w:r>
          </w:p>
        </w:tc>
        <w:tc>
          <w:tcPr>
            <w:tcW w:w="840" w:type="dxa"/>
            <w:vAlign w:val="bottom"/>
            <w:gridSpan w:val="2"/>
            <w:shd w:val="clear" w:color="auto" w:fill="E6E7E8"/>
          </w:tcPr>
          <w:p>
            <w:pPr>
              <w:jc w:val="right"/>
              <w:ind w:right="80"/>
              <w:spacing w:after="0"/>
              <w:rPr>
                <w:sz w:val="20"/>
                <w:szCs w:val="20"/>
                <w:color w:val="auto"/>
              </w:rPr>
            </w:pPr>
            <w:r>
              <w:rPr>
                <w:rFonts w:ascii="Times New Roman" w:cs="Times New Roman" w:eastAsia="Times New Roman" w:hAnsi="Times New Roman"/>
                <w:sz w:val="18"/>
                <w:szCs w:val="18"/>
                <w:b w:val="1"/>
                <w:bCs w:val="1"/>
                <w:color w:val="231F20"/>
              </w:rPr>
              <w:t>(20,067)</w:t>
            </w:r>
          </w:p>
        </w:tc>
        <w:tc>
          <w:tcPr>
            <w:tcW w:w="360" w:type="dxa"/>
            <w:vAlign w:val="bottom"/>
            <w:gridSpan w:val="2"/>
            <w:shd w:val="clear" w:color="auto" w:fill="E6E7E8"/>
          </w:tcPr>
          <w:p>
            <w:pPr>
              <w:jc w:val="right"/>
              <w:ind w:right="200"/>
              <w:spacing w:after="0"/>
              <w:rPr>
                <w:sz w:val="20"/>
                <w:szCs w:val="20"/>
                <w:color w:val="auto"/>
              </w:rPr>
            </w:pPr>
            <w:r>
              <w:rPr>
                <w:rFonts w:ascii="Times New Roman" w:cs="Times New Roman" w:eastAsia="Times New Roman" w:hAnsi="Times New Roman"/>
                <w:sz w:val="18"/>
                <w:szCs w:val="18"/>
                <w:color w:val="231F20"/>
              </w:rPr>
              <w:t>$</w:t>
            </w:r>
          </w:p>
        </w:tc>
        <w:tc>
          <w:tcPr>
            <w:tcW w:w="740" w:type="dxa"/>
            <w:vAlign w:val="bottom"/>
            <w:gridSpan w:val="2"/>
            <w:shd w:val="clear" w:color="auto" w:fill="E6E7E8"/>
          </w:tcPr>
          <w:p>
            <w:pPr>
              <w:jc w:val="right"/>
              <w:ind w:right="80"/>
              <w:spacing w:after="0"/>
              <w:rPr>
                <w:sz w:val="20"/>
                <w:szCs w:val="20"/>
                <w:color w:val="auto"/>
              </w:rPr>
            </w:pPr>
            <w:r>
              <w:rPr>
                <w:rFonts w:ascii="Times New Roman" w:cs="Times New Roman" w:eastAsia="Times New Roman" w:hAnsi="Times New Roman"/>
                <w:sz w:val="18"/>
                <w:szCs w:val="18"/>
                <w:color w:val="231F20"/>
              </w:rPr>
              <w:t>(13,805)</w:t>
            </w:r>
          </w:p>
        </w:tc>
        <w:tc>
          <w:tcPr>
            <w:tcW w:w="260" w:type="dxa"/>
            <w:vAlign w:val="bottom"/>
            <w:gridSpan w:val="2"/>
            <w:shd w:val="clear" w:color="auto" w:fill="E6E7E8"/>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w:t>
            </w:r>
          </w:p>
        </w:tc>
        <w:tc>
          <w:tcPr>
            <w:tcW w:w="840" w:type="dxa"/>
            <w:vAlign w:val="bottom"/>
            <w:gridSpan w:val="2"/>
            <w:shd w:val="clear" w:color="auto" w:fill="E6E7E8"/>
          </w:tcPr>
          <w:p>
            <w:pPr>
              <w:jc w:val="right"/>
              <w:ind w:right="80"/>
              <w:spacing w:after="0"/>
              <w:rPr>
                <w:sz w:val="20"/>
                <w:szCs w:val="20"/>
                <w:color w:val="auto"/>
              </w:rPr>
            </w:pPr>
            <w:r>
              <w:rPr>
                <w:rFonts w:ascii="Times New Roman" w:cs="Times New Roman" w:eastAsia="Times New Roman" w:hAnsi="Times New Roman"/>
                <w:sz w:val="18"/>
                <w:szCs w:val="18"/>
                <w:b w:val="1"/>
                <w:bCs w:val="1"/>
                <w:color w:val="231F20"/>
              </w:rPr>
              <w:t>(13,504)</w:t>
            </w:r>
          </w:p>
        </w:tc>
        <w:tc>
          <w:tcPr>
            <w:tcW w:w="260" w:type="dxa"/>
            <w:vAlign w:val="bottom"/>
            <w:gridSpan w:val="2"/>
            <w:shd w:val="clear" w:color="auto" w:fill="E6E7E8"/>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c>
          <w:tcPr>
            <w:tcW w:w="78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18"/>
                <w:szCs w:val="18"/>
                <w:color w:val="231F20"/>
              </w:rPr>
              <w:t>(12,747)</w:t>
            </w:r>
          </w:p>
        </w:tc>
        <w:tc>
          <w:tcPr>
            <w:tcW w:w="0" w:type="dxa"/>
            <w:vAlign w:val="bottom"/>
          </w:tcPr>
          <w:p>
            <w:pPr>
              <w:spacing w:after="0"/>
              <w:rPr>
                <w:sz w:val="1"/>
                <w:szCs w:val="1"/>
                <w:color w:val="auto"/>
              </w:rPr>
            </w:pPr>
          </w:p>
        </w:tc>
      </w:tr>
      <w:tr>
        <w:trPr>
          <w:trHeight w:val="20"/>
        </w:trPr>
        <w:tc>
          <w:tcPr>
            <w:tcW w:w="4240" w:type="dxa"/>
            <w:vAlign w:val="bottom"/>
            <w:tcBorders>
              <w:top w:val="single" w:sz="8" w:color="E6E7E8"/>
            </w:tcBorders>
          </w:tcPr>
          <w:p>
            <w:pPr>
              <w:spacing w:after="0" w:line="20" w:lineRule="exact"/>
              <w:rPr>
                <w:sz w:val="1"/>
                <w:szCs w:val="1"/>
                <w:color w:val="auto"/>
              </w:rPr>
            </w:pPr>
          </w:p>
        </w:tc>
        <w:tc>
          <w:tcPr>
            <w:tcW w:w="100" w:type="dxa"/>
            <w:vAlign w:val="bottom"/>
            <w:tcBorders>
              <w:top w:val="single" w:sz="8" w:color="E6E7E8"/>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Borders>
              <w:top w:val="single" w:sz="8" w:color="E6E7E8"/>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Borders>
              <w:top w:val="single" w:sz="8" w:color="E6E7E8"/>
            </w:tcBorders>
          </w:tcPr>
          <w:p>
            <w:pPr>
              <w:spacing w:after="0" w:line="20" w:lineRule="exact"/>
              <w:rPr>
                <w:sz w:val="1"/>
                <w:szCs w:val="1"/>
                <w:color w:val="auto"/>
              </w:rPr>
            </w:pPr>
          </w:p>
        </w:tc>
        <w:tc>
          <w:tcPr>
            <w:tcW w:w="80" w:type="dxa"/>
            <w:vAlign w:val="bottom"/>
            <w:tcBorders>
              <w:top w:val="single" w:sz="8" w:color="E6E7E8"/>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Borders>
              <w:top w:val="single" w:sz="8" w:color="E6E7E8"/>
            </w:tcBorders>
          </w:tcPr>
          <w:p>
            <w:pPr>
              <w:spacing w:after="0" w:line="20" w:lineRule="exact"/>
              <w:rPr>
                <w:sz w:val="1"/>
                <w:szCs w:val="1"/>
                <w:color w:val="auto"/>
              </w:rPr>
            </w:pPr>
          </w:p>
        </w:tc>
        <w:tc>
          <w:tcPr>
            <w:tcW w:w="80" w:type="dxa"/>
            <w:vAlign w:val="bottom"/>
            <w:tcBorders>
              <w:top w:val="single" w:sz="8" w:color="E6E7E8"/>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Borders>
              <w:top w:val="single" w:sz="8" w:color="E6E7E8"/>
            </w:tcBorders>
          </w:tcPr>
          <w:p>
            <w:pPr>
              <w:spacing w:after="0" w:line="20" w:lineRule="exact"/>
              <w:rPr>
                <w:sz w:val="1"/>
                <w:szCs w:val="1"/>
                <w:color w:val="auto"/>
              </w:rPr>
            </w:pPr>
          </w:p>
        </w:tc>
        <w:tc>
          <w:tcPr>
            <w:tcW w:w="80" w:type="dxa"/>
            <w:vAlign w:val="bottom"/>
            <w:tcBorders>
              <w:top w:val="single" w:sz="8" w:color="E6E7E8"/>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Borders>
              <w:top w:val="single" w:sz="8" w:color="E6E7E8"/>
            </w:tcBorders>
          </w:tcPr>
          <w:p>
            <w:pPr>
              <w:spacing w:after="0" w:line="20" w:lineRule="exact"/>
              <w:rPr>
                <w:sz w:val="1"/>
                <w:szCs w:val="1"/>
                <w:color w:val="auto"/>
              </w:rPr>
            </w:pPr>
          </w:p>
        </w:tc>
        <w:tc>
          <w:tcPr>
            <w:tcW w:w="80" w:type="dxa"/>
            <w:vAlign w:val="bottom"/>
            <w:tcBorders>
              <w:top w:val="single" w:sz="8" w:color="E6E7E8"/>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6E7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ind w:right="80" w:firstLine="612"/>
        <w:spacing w:after="0" w:line="249" w:lineRule="auto"/>
        <w:rPr>
          <w:sz w:val="20"/>
          <w:szCs w:val="20"/>
          <w:color w:val="auto"/>
        </w:rPr>
      </w:pPr>
      <w:r>
        <w:rPr>
          <w:rFonts w:ascii="Times New Roman" w:cs="Times New Roman" w:eastAsia="Times New Roman" w:hAnsi="Times New Roman"/>
          <w:sz w:val="21"/>
          <w:szCs w:val="21"/>
          <w:color w:val="231F20"/>
        </w:rPr>
        <w:t>The increase in the PBO for the Pension and SERP plans as of December 31, 2025 compared to December 31, 2024 primarily reflects a decrease in the assumed discount rate as of December 31, 2025 and normal changes in service cost, interest cost and demographic data. The increase in the PBO for the PBOP plan as of December 31, 2025 compared to December 31, 2024 primarily reflects an increase in medical costs, a decrease in the assumed discount rate and normal changes in service cost and interest cost, partially offset by a decrease in demographic data as of December 31, 2025.</w:t>
      </w:r>
    </w:p>
    <w:p>
      <w:pPr>
        <w:spacing w:after="0" w:line="195" w:lineRule="exact"/>
        <w:rPr>
          <w:sz w:val="20"/>
          <w:szCs w:val="20"/>
          <w:color w:val="auto"/>
        </w:rPr>
      </w:pPr>
    </w:p>
    <w:p>
      <w:pPr>
        <w:ind w:right="80" w:firstLine="612"/>
        <w:spacing w:after="0" w:line="253" w:lineRule="auto"/>
        <w:rPr>
          <w:sz w:val="20"/>
          <w:szCs w:val="20"/>
          <w:color w:val="auto"/>
        </w:rPr>
      </w:pPr>
      <w:r>
        <w:rPr>
          <w:rFonts w:ascii="Times New Roman" w:cs="Times New Roman" w:eastAsia="Times New Roman" w:hAnsi="Times New Roman"/>
          <w:sz w:val="21"/>
          <w:szCs w:val="21"/>
          <w:color w:val="231F20"/>
        </w:rPr>
        <w:t>The funded status of the Pension, PBOP and SERP Plans is calculated based on the difference between the benefit obligation and the fair value of plan assets and is recorded on the balance sheets as an asset or a liability. Because the Company recovers the retiree benefit costs from customers through rates, regulatory assets are recorded in lieu of an adjustment to Accumulated Other Comprehensive Income/(Loss).</w:t>
      </w:r>
    </w:p>
    <w:p>
      <w:pPr>
        <w:spacing w:after="0" w:line="188" w:lineRule="exact"/>
        <w:rPr>
          <w:sz w:val="20"/>
          <w:szCs w:val="20"/>
          <w:color w:val="auto"/>
        </w:rPr>
      </w:pPr>
    </w:p>
    <w:p>
      <w:pPr>
        <w:ind w:right="40" w:firstLine="612"/>
        <w:spacing w:after="0" w:line="249" w:lineRule="auto"/>
        <w:rPr>
          <w:sz w:val="20"/>
          <w:szCs w:val="20"/>
          <w:color w:val="auto"/>
        </w:rPr>
      </w:pPr>
      <w:r>
        <w:rPr>
          <w:rFonts w:ascii="Times New Roman" w:cs="Times New Roman" w:eastAsia="Times New Roman" w:hAnsi="Times New Roman"/>
          <w:sz w:val="21"/>
          <w:szCs w:val="21"/>
          <w:color w:val="231F20"/>
        </w:rPr>
        <w:t>The Company has recorded on its consolidated balance sheets as a liability the underfunded status of its and its subsidiaries’ retirement benefit obligations based on the projected benefit obligation. The Company has recognized Regulatory Assets, net of deferred tax benefits, of $13.7 million and $14.4 million at December 31, 2025 and 2024, respectively, to account for the future collection of these plan obligations in electric and gas rates. These amounts are recovered primarily over the average remaining service periods or life expectancies of employees covered by the benefit plans.</w:t>
      </w:r>
    </w:p>
    <w:p>
      <w:pPr>
        <w:spacing w:after="0" w:line="195" w:lineRule="exact"/>
        <w:rPr>
          <w:sz w:val="20"/>
          <w:szCs w:val="20"/>
          <w:color w:val="auto"/>
        </w:rPr>
      </w:pPr>
    </w:p>
    <w:p>
      <w:pPr>
        <w:ind w:right="100" w:firstLine="612"/>
        <w:spacing w:after="0" w:line="279" w:lineRule="auto"/>
        <w:rPr>
          <w:sz w:val="20"/>
          <w:szCs w:val="20"/>
          <w:color w:val="auto"/>
        </w:rPr>
      </w:pPr>
      <w:r>
        <w:rPr>
          <w:rFonts w:ascii="Times New Roman" w:cs="Times New Roman" w:eastAsia="Times New Roman" w:hAnsi="Times New Roman"/>
          <w:sz w:val="21"/>
          <w:szCs w:val="21"/>
          <w:color w:val="231F20"/>
        </w:rPr>
        <w:t>The Accumulated Benefit Obligation (ABO) is required to be disclosed for all plans where the ABO is in excess of plan assets. The difference between the PBO and the ABO is that the PBO includes projected compensation increases. The ABO for</w:t>
      </w:r>
    </w:p>
    <w:p>
      <w:pPr>
        <w:sectPr>
          <w:pgSz w:w="12240" w:h="15840" w:orient="portrait"/>
          <w:cols w:equalWidth="0" w:num="1">
            <w:col w:w="10800"/>
          </w:cols>
          <w:pgMar w:left="720" w:top="928" w:right="720" w:bottom="188" w:gutter="0" w:footer="0" w:header="0"/>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88</w:t>
      </w:r>
    </w:p>
    <w:p>
      <w:pPr>
        <w:sectPr>
          <w:pgSz w:w="12240" w:h="15840" w:orient="portrait"/>
          <w:cols w:equalWidth="0" w:num="1">
            <w:col w:w="10800"/>
          </w:cols>
          <w:pgMar w:left="720" w:top="928" w:right="720" w:bottom="188" w:gutter="0" w:footer="0" w:header="0"/>
          <w:type w:val="continuous"/>
        </w:sectPr>
      </w:pPr>
    </w:p>
    <w:bookmarkStart w:id="108" w:name="page109"/>
    <w:bookmarkEnd w:id="108"/>
    <w:p>
      <w:pPr>
        <w:ind w:right="160"/>
        <w:spacing w:after="0" w:line="259" w:lineRule="auto"/>
        <w:rPr>
          <w:sz w:val="20"/>
          <w:szCs w:val="20"/>
          <w:color w:val="auto"/>
        </w:rPr>
      </w:pPr>
      <w:r>
        <w:rPr>
          <w:rFonts w:ascii="Times New Roman" w:cs="Times New Roman" w:eastAsia="Times New Roman" w:hAnsi="Times New Roman"/>
          <w:sz w:val="21"/>
          <w:szCs w:val="21"/>
          <w:color w:val="231F20"/>
        </w:rPr>
        <w:t>the Pension Plan was $146.7 million and $141.6 million as of December 31, 2025 and 2024, respectively. The ABO for the SERP was $ 13.3 million and $12.4 million as of December 31, 2025 and 2024, respectively. For the PBOP Plan, the ABO and PBO are the same. (See Note 1 (Summary of Significant Accounting Policies) for further discussion of SERP funding.)</w:t>
      </w:r>
    </w:p>
    <w:p>
      <w:pPr>
        <w:spacing w:after="0" w:line="183" w:lineRule="exact"/>
        <w:rPr>
          <w:sz w:val="20"/>
          <w:szCs w:val="20"/>
          <w:color w:val="auto"/>
        </w:rPr>
      </w:pPr>
    </w:p>
    <w:p>
      <w:pPr>
        <w:jc w:val="both"/>
        <w:ind w:right="400" w:firstLine="612"/>
        <w:spacing w:after="0" w:line="259" w:lineRule="auto"/>
        <w:rPr>
          <w:sz w:val="20"/>
          <w:szCs w:val="20"/>
          <w:color w:val="auto"/>
        </w:rPr>
      </w:pPr>
      <w:r>
        <w:rPr>
          <w:rFonts w:ascii="Times New Roman" w:cs="Times New Roman" w:eastAsia="Times New Roman" w:hAnsi="Times New Roman"/>
          <w:sz w:val="21"/>
          <w:szCs w:val="21"/>
          <w:color w:val="231F20"/>
        </w:rPr>
        <w:t>The Company, along with its subsidiaries, expects to continue to make contributions to its Pension Plan in 2025 and future years at minimum required and discretionary funding levels consistent with the amounts recovered in the distribution utilities’ rates for these Pension Plan costs.</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231F20"/>
        </w:rPr>
        <w:t>The following table represents employer contributions, participant contributions and benefit payments (000’s).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231F20"/>
              </w:rPr>
              <w:t>Pension Plan</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231F20"/>
              </w:rPr>
              <w:t>PBOP Plan</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231F20"/>
              </w:rPr>
              <w:t>SERP</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560" w:type="dxa"/>
            <w:vAlign w:val="bottom"/>
            <w:tcBorders>
              <w:bottom w:val="single" w:sz="8" w:color="E6E7E8"/>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580" w:type="dxa"/>
            <w:vAlign w:val="bottom"/>
            <w:tcBorders>
              <w:bottom w:val="single" w:sz="8" w:color="231F20"/>
            </w:tcBorders>
          </w:tcPr>
          <w:p>
            <w:pPr>
              <w:jc w:val="right"/>
              <w:ind w:right="129"/>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60" w:type="dxa"/>
            <w:vAlign w:val="bottom"/>
            <w:tcBorders>
              <w:bottom w:val="single" w:sz="8" w:color="E6E7E8"/>
            </w:tcBorders>
          </w:tcPr>
          <w:p>
            <w:pPr>
              <w:spacing w:after="0"/>
              <w:rPr>
                <w:sz w:val="17"/>
                <w:szCs w:val="17"/>
                <w:color w:val="auto"/>
              </w:rPr>
            </w:pPr>
          </w:p>
        </w:tc>
        <w:tc>
          <w:tcPr>
            <w:tcW w:w="140" w:type="dxa"/>
            <w:vAlign w:val="bottom"/>
            <w:tcBorders>
              <w:bottom w:val="single" w:sz="8" w:color="E6E7E8"/>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580" w:type="dxa"/>
            <w:vAlign w:val="bottom"/>
            <w:tcBorders>
              <w:bottom w:val="single" w:sz="8" w:color="231F20"/>
            </w:tcBorders>
          </w:tcPr>
          <w:p>
            <w:pPr>
              <w:jc w:val="right"/>
              <w:ind w:right="109"/>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00" w:type="dxa"/>
            <w:vAlign w:val="bottom"/>
            <w:tcBorders>
              <w:bottom w:val="single" w:sz="8" w:color="E6E7E8"/>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580" w:type="dxa"/>
            <w:vAlign w:val="bottom"/>
            <w:tcBorders>
              <w:bottom w:val="single" w:sz="8" w:color="231F20"/>
            </w:tcBorders>
          </w:tcPr>
          <w:p>
            <w:pPr>
              <w:jc w:val="right"/>
              <w:ind w:right="129"/>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00" w:type="dxa"/>
            <w:vAlign w:val="bottom"/>
            <w:tcBorders>
              <w:bottom w:val="single" w:sz="8" w:color="E6E7E8"/>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580" w:type="dxa"/>
            <w:vAlign w:val="bottom"/>
            <w:tcBorders>
              <w:bottom w:val="single" w:sz="8" w:color="231F20"/>
            </w:tcBorders>
          </w:tcPr>
          <w:p>
            <w:pPr>
              <w:jc w:val="right"/>
              <w:ind w:right="109"/>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00" w:type="dxa"/>
            <w:vAlign w:val="bottom"/>
            <w:tcBorders>
              <w:bottom w:val="single" w:sz="8" w:color="E6E7E8"/>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580" w:type="dxa"/>
            <w:vAlign w:val="bottom"/>
            <w:tcBorders>
              <w:bottom w:val="single" w:sz="8" w:color="231F20"/>
            </w:tcBorders>
          </w:tcPr>
          <w:p>
            <w:pPr>
              <w:jc w:val="right"/>
              <w:ind w:right="109"/>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00" w:type="dxa"/>
            <w:vAlign w:val="bottom"/>
            <w:tcBorders>
              <w:bottom w:val="single" w:sz="8" w:color="E6E7E8"/>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580" w:type="dxa"/>
            <w:vAlign w:val="bottom"/>
            <w:tcBorders>
              <w:bottom w:val="single" w:sz="8" w:color="231F20"/>
            </w:tcBorders>
          </w:tcPr>
          <w:p>
            <w:pPr>
              <w:jc w:val="right"/>
              <w:ind w:right="109"/>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00" w:type="dxa"/>
            <w:vAlign w:val="bottom"/>
            <w:tcBorders>
              <w:bottom w:val="single" w:sz="8" w:color="E6E7E8"/>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580" w:type="dxa"/>
            <w:vAlign w:val="bottom"/>
            <w:tcBorders>
              <w:bottom w:val="single" w:sz="8" w:color="231F20"/>
            </w:tcBorders>
          </w:tcPr>
          <w:p>
            <w:pPr>
              <w:jc w:val="right"/>
              <w:ind w:right="109"/>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00" w:type="dxa"/>
            <w:vAlign w:val="bottom"/>
            <w:tcBorders>
              <w:bottom w:val="single" w:sz="8" w:color="E6E7E8"/>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600" w:type="dxa"/>
            <w:vAlign w:val="bottom"/>
            <w:tcBorders>
              <w:bottom w:val="single" w:sz="8" w:color="231F20"/>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00" w:type="dxa"/>
            <w:vAlign w:val="bottom"/>
            <w:tcBorders>
              <w:bottom w:val="single" w:sz="8" w:color="E6E7E8"/>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580" w:type="dxa"/>
            <w:vAlign w:val="bottom"/>
            <w:tcBorders>
              <w:bottom w:val="single" w:sz="8" w:color="231F20"/>
            </w:tcBorders>
          </w:tcPr>
          <w:p>
            <w:pPr>
              <w:jc w:val="right"/>
              <w:ind w:right="109"/>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Borders>
              <w:bottom w:val="single" w:sz="8" w:color="E6E7E8"/>
            </w:tcBorders>
          </w:tcPr>
          <w:p>
            <w:pPr>
              <w:spacing w:after="0"/>
              <w:rPr>
                <w:sz w:val="17"/>
                <w:szCs w:val="17"/>
                <w:color w:val="auto"/>
              </w:rPr>
            </w:pPr>
          </w:p>
        </w:tc>
      </w:tr>
      <w:tr>
        <w:trPr>
          <w:trHeight w:val="213"/>
        </w:trPr>
        <w:tc>
          <w:tcPr>
            <w:tcW w:w="2560" w:type="dxa"/>
            <w:vAlign w:val="bottom"/>
            <w:shd w:val="clear" w:color="auto" w:fill="E6E7E8"/>
          </w:tcPr>
          <w:p>
            <w:pPr>
              <w:spacing w:after="0" w:line="214" w:lineRule="exact"/>
              <w:rPr>
                <w:sz w:val="20"/>
                <w:szCs w:val="20"/>
                <w:color w:val="auto"/>
              </w:rPr>
            </w:pPr>
            <w:r>
              <w:rPr>
                <w:rFonts w:ascii="Times New Roman" w:cs="Times New Roman" w:eastAsia="Times New Roman" w:hAnsi="Times New Roman"/>
                <w:sz w:val="19"/>
                <w:szCs w:val="19"/>
                <w:color w:val="231F20"/>
              </w:rPr>
              <w:t>Employer Contributions</w:t>
            </w:r>
          </w:p>
        </w:tc>
        <w:tc>
          <w:tcPr>
            <w:tcW w:w="160" w:type="dxa"/>
            <w:vAlign w:val="bottom"/>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w w:val="83"/>
                <w:shd w:val="clear" w:color="auto" w:fill="E6E7E8"/>
              </w:rPr>
              <w:t>$</w:t>
            </w:r>
          </w:p>
        </w:tc>
        <w:tc>
          <w:tcPr>
            <w:tcW w:w="580" w:type="dxa"/>
            <w:vAlign w:val="bottom"/>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shd w:val="clear" w:color="auto" w:fill="E6E7E8"/>
              </w:rPr>
              <w:t>3,950</w:t>
            </w:r>
          </w:p>
        </w:tc>
        <w:tc>
          <w:tcPr>
            <w:tcW w:w="60" w:type="dxa"/>
            <w:vAlign w:val="bottom"/>
            <w:shd w:val="clear" w:color="auto" w:fill="E6E7E8"/>
          </w:tcPr>
          <w:p>
            <w:pPr>
              <w:spacing w:after="0"/>
              <w:rPr>
                <w:sz w:val="18"/>
                <w:szCs w:val="18"/>
                <w:color w:val="auto"/>
              </w:rPr>
            </w:pPr>
          </w:p>
        </w:tc>
        <w:tc>
          <w:tcPr>
            <w:tcW w:w="140" w:type="dxa"/>
            <w:vAlign w:val="bottom"/>
            <w:shd w:val="clear" w:color="auto" w:fill="E6E7E8"/>
          </w:tcPr>
          <w:p>
            <w:pPr>
              <w:spacing w:after="0"/>
              <w:rPr>
                <w:sz w:val="18"/>
                <w:szCs w:val="18"/>
                <w:color w:val="auto"/>
              </w:rPr>
            </w:pPr>
          </w:p>
        </w:tc>
        <w:tc>
          <w:tcPr>
            <w:tcW w:w="14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6E7E8"/>
              </w:rPr>
              <w:t>$</w:t>
            </w:r>
          </w:p>
        </w:tc>
        <w:tc>
          <w:tcPr>
            <w:tcW w:w="580" w:type="dxa"/>
            <w:vAlign w:val="bottom"/>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shd w:val="clear" w:color="auto" w:fill="E6E7E8"/>
              </w:rPr>
              <w:t>3,758</w:t>
            </w:r>
          </w:p>
        </w:tc>
        <w:tc>
          <w:tcPr>
            <w:tcW w:w="200" w:type="dxa"/>
            <w:vAlign w:val="bottom"/>
            <w:shd w:val="clear" w:color="auto" w:fill="E6E7E8"/>
          </w:tcPr>
          <w:p>
            <w:pPr>
              <w:spacing w:after="0"/>
              <w:rPr>
                <w:sz w:val="18"/>
                <w:szCs w:val="18"/>
                <w:color w:val="auto"/>
              </w:rPr>
            </w:pPr>
          </w:p>
        </w:tc>
        <w:tc>
          <w:tcPr>
            <w:tcW w:w="160" w:type="dxa"/>
            <w:vAlign w:val="bottom"/>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w w:val="83"/>
                <w:shd w:val="clear" w:color="auto" w:fill="E6E7E8"/>
              </w:rPr>
              <w:t>$</w:t>
            </w:r>
          </w:p>
        </w:tc>
        <w:tc>
          <w:tcPr>
            <w:tcW w:w="580" w:type="dxa"/>
            <w:vAlign w:val="bottom"/>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shd w:val="clear" w:color="auto" w:fill="E6E7E8"/>
              </w:rPr>
              <w:t>3,850</w:t>
            </w:r>
          </w:p>
        </w:tc>
        <w:tc>
          <w:tcPr>
            <w:tcW w:w="200" w:type="dxa"/>
            <w:vAlign w:val="bottom"/>
            <w:shd w:val="clear" w:color="auto" w:fill="E6E7E8"/>
          </w:tcPr>
          <w:p>
            <w:pPr>
              <w:spacing w:after="0"/>
              <w:rPr>
                <w:sz w:val="18"/>
                <w:szCs w:val="18"/>
                <w:color w:val="auto"/>
              </w:rPr>
            </w:pPr>
          </w:p>
        </w:tc>
        <w:tc>
          <w:tcPr>
            <w:tcW w:w="140" w:type="dxa"/>
            <w:vAlign w:val="bottom"/>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w w:val="83"/>
                <w:shd w:val="clear" w:color="auto" w:fill="E6E7E8"/>
              </w:rPr>
              <w:t>$</w:t>
            </w:r>
          </w:p>
        </w:tc>
        <w:tc>
          <w:tcPr>
            <w:tcW w:w="580" w:type="dxa"/>
            <w:vAlign w:val="bottom"/>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shd w:val="clear" w:color="auto" w:fill="E6E7E8"/>
              </w:rPr>
              <w:t>2,285</w:t>
            </w:r>
          </w:p>
        </w:tc>
        <w:tc>
          <w:tcPr>
            <w:tcW w:w="200" w:type="dxa"/>
            <w:vAlign w:val="bottom"/>
            <w:shd w:val="clear" w:color="auto" w:fill="E6E7E8"/>
          </w:tcPr>
          <w:p>
            <w:pPr>
              <w:spacing w:after="0"/>
              <w:rPr>
                <w:sz w:val="18"/>
                <w:szCs w:val="18"/>
                <w:color w:val="auto"/>
              </w:rPr>
            </w:pPr>
          </w:p>
        </w:tc>
        <w:tc>
          <w:tcPr>
            <w:tcW w:w="160" w:type="dxa"/>
            <w:vAlign w:val="bottom"/>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w w:val="83"/>
                <w:shd w:val="clear" w:color="auto" w:fill="E6E7E8"/>
              </w:rPr>
              <w:t>$</w:t>
            </w:r>
          </w:p>
        </w:tc>
        <w:tc>
          <w:tcPr>
            <w:tcW w:w="580" w:type="dxa"/>
            <w:vAlign w:val="bottom"/>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shd w:val="clear" w:color="auto" w:fill="E6E7E8"/>
              </w:rPr>
              <w:t>2,552</w:t>
            </w:r>
          </w:p>
        </w:tc>
        <w:tc>
          <w:tcPr>
            <w:tcW w:w="200" w:type="dxa"/>
            <w:vAlign w:val="bottom"/>
            <w:shd w:val="clear" w:color="auto" w:fill="E6E7E8"/>
          </w:tcPr>
          <w:p>
            <w:pPr>
              <w:spacing w:after="0"/>
              <w:rPr>
                <w:sz w:val="18"/>
                <w:szCs w:val="18"/>
                <w:color w:val="auto"/>
              </w:rPr>
            </w:pPr>
          </w:p>
        </w:tc>
        <w:tc>
          <w:tcPr>
            <w:tcW w:w="140" w:type="dxa"/>
            <w:vAlign w:val="bottom"/>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w w:val="83"/>
                <w:shd w:val="clear" w:color="auto" w:fill="E6E7E8"/>
              </w:rPr>
              <w:t>$</w:t>
            </w:r>
          </w:p>
        </w:tc>
        <w:tc>
          <w:tcPr>
            <w:tcW w:w="580" w:type="dxa"/>
            <w:vAlign w:val="bottom"/>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shd w:val="clear" w:color="auto" w:fill="E6E7E8"/>
              </w:rPr>
              <w:t>2,790</w:t>
            </w:r>
          </w:p>
        </w:tc>
        <w:tc>
          <w:tcPr>
            <w:tcW w:w="200" w:type="dxa"/>
            <w:vAlign w:val="bottom"/>
            <w:shd w:val="clear" w:color="auto" w:fill="E6E7E8"/>
          </w:tcPr>
          <w:p>
            <w:pPr>
              <w:spacing w:after="0"/>
              <w:rPr>
                <w:sz w:val="18"/>
                <w:szCs w:val="18"/>
                <w:color w:val="auto"/>
              </w:rPr>
            </w:pPr>
          </w:p>
        </w:tc>
        <w:tc>
          <w:tcPr>
            <w:tcW w:w="160" w:type="dxa"/>
            <w:vAlign w:val="bottom"/>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w w:val="83"/>
                <w:shd w:val="clear" w:color="auto" w:fill="E6E7E8"/>
              </w:rPr>
              <w:t>$</w:t>
            </w:r>
          </w:p>
        </w:tc>
        <w:tc>
          <w:tcPr>
            <w:tcW w:w="580" w:type="dxa"/>
            <w:vAlign w:val="bottom"/>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shd w:val="clear" w:color="auto" w:fill="E6E7E8"/>
              </w:rPr>
              <w:t>678</w:t>
            </w:r>
          </w:p>
        </w:tc>
        <w:tc>
          <w:tcPr>
            <w:tcW w:w="200" w:type="dxa"/>
            <w:vAlign w:val="bottom"/>
            <w:shd w:val="clear" w:color="auto" w:fill="E6E7E8"/>
          </w:tcPr>
          <w:p>
            <w:pPr>
              <w:spacing w:after="0"/>
              <w:rPr>
                <w:sz w:val="18"/>
                <w:szCs w:val="18"/>
                <w:color w:val="auto"/>
              </w:rPr>
            </w:pPr>
          </w:p>
        </w:tc>
        <w:tc>
          <w:tcPr>
            <w:tcW w:w="120" w:type="dxa"/>
            <w:vAlign w:val="bottom"/>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w w:val="83"/>
              </w:rPr>
              <w:t>$</w:t>
            </w:r>
          </w:p>
        </w:tc>
        <w:tc>
          <w:tcPr>
            <w:tcW w:w="600" w:type="dxa"/>
            <w:vAlign w:val="bottom"/>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679</w:t>
            </w:r>
          </w:p>
        </w:tc>
        <w:tc>
          <w:tcPr>
            <w:tcW w:w="200" w:type="dxa"/>
            <w:vAlign w:val="bottom"/>
            <w:shd w:val="clear" w:color="auto" w:fill="E6E7E8"/>
          </w:tcPr>
          <w:p>
            <w:pPr>
              <w:spacing w:after="0"/>
              <w:rPr>
                <w:sz w:val="18"/>
                <w:szCs w:val="18"/>
                <w:color w:val="auto"/>
              </w:rPr>
            </w:pPr>
          </w:p>
        </w:tc>
        <w:tc>
          <w:tcPr>
            <w:tcW w:w="160" w:type="dxa"/>
            <w:vAlign w:val="bottom"/>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w w:val="83"/>
              </w:rPr>
              <w:t>$</w:t>
            </w:r>
          </w:p>
        </w:tc>
        <w:tc>
          <w:tcPr>
            <w:tcW w:w="580" w:type="dxa"/>
            <w:vAlign w:val="bottom"/>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665</w:t>
            </w:r>
          </w:p>
        </w:tc>
        <w:tc>
          <w:tcPr>
            <w:tcW w:w="60" w:type="dxa"/>
            <w:vAlign w:val="bottom"/>
            <w:shd w:val="clear" w:color="auto" w:fill="E6E7E8"/>
          </w:tcPr>
          <w:p>
            <w:pPr>
              <w:spacing w:after="0"/>
              <w:rPr>
                <w:sz w:val="18"/>
                <w:szCs w:val="18"/>
                <w:color w:val="auto"/>
              </w:rPr>
            </w:pPr>
          </w:p>
        </w:tc>
      </w:tr>
      <w:tr>
        <w:trPr>
          <w:trHeight w:val="218"/>
        </w:trPr>
        <w:tc>
          <w:tcPr>
            <w:tcW w:w="2560" w:type="dxa"/>
            <w:vAlign w:val="bottom"/>
          </w:tcPr>
          <w:p>
            <w:pPr>
              <w:spacing w:after="0"/>
              <w:rPr>
                <w:sz w:val="20"/>
                <w:szCs w:val="20"/>
                <w:color w:val="auto"/>
              </w:rPr>
            </w:pPr>
            <w:r>
              <w:rPr>
                <w:rFonts w:ascii="Times New Roman" w:cs="Times New Roman" w:eastAsia="Times New Roman" w:hAnsi="Times New Roman"/>
                <w:sz w:val="19"/>
                <w:szCs w:val="19"/>
                <w:color w:val="231F20"/>
              </w:rPr>
              <w:t>Participant Contributions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w w:val="8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w w:val="8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317</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260</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234</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w w:val="8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60" w:type="dxa"/>
            <w:vAlign w:val="bottom"/>
          </w:tcPr>
          <w:p>
            <w:pPr>
              <w:spacing w:after="0"/>
              <w:rPr>
                <w:sz w:val="19"/>
                <w:szCs w:val="19"/>
                <w:color w:val="auto"/>
              </w:rPr>
            </w:pPr>
          </w:p>
        </w:tc>
      </w:tr>
      <w:tr>
        <w:trPr>
          <w:trHeight w:val="219"/>
        </w:trPr>
        <w:tc>
          <w:tcPr>
            <w:tcW w:w="2560" w:type="dxa"/>
            <w:vAlign w:val="bottom"/>
            <w:shd w:val="clear" w:color="auto" w:fill="E6E7E8"/>
          </w:tcPr>
          <w:p>
            <w:pPr>
              <w:spacing w:after="0"/>
              <w:rPr>
                <w:sz w:val="20"/>
                <w:szCs w:val="20"/>
                <w:color w:val="auto"/>
              </w:rPr>
            </w:pPr>
            <w:r>
              <w:rPr>
                <w:rFonts w:ascii="Times New Roman" w:cs="Times New Roman" w:eastAsia="Times New Roman" w:hAnsi="Times New Roman"/>
                <w:sz w:val="19"/>
                <w:szCs w:val="19"/>
                <w:color w:val="231F20"/>
              </w:rPr>
              <w:t>Benefit Payments</w:t>
            </w:r>
          </w:p>
        </w:tc>
        <w:tc>
          <w:tcPr>
            <w:tcW w:w="1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w w:val="83"/>
              </w:rPr>
              <w:t>$</w:t>
            </w:r>
          </w:p>
        </w:tc>
        <w:tc>
          <w:tcPr>
            <w:tcW w:w="640" w:type="dxa"/>
            <w:vAlign w:val="bottom"/>
            <w:gridSpan w:val="2"/>
            <w:shd w:val="clear" w:color="auto" w:fill="E6E7E8"/>
          </w:tcPr>
          <w:p>
            <w:pPr>
              <w:jc w:val="right"/>
              <w:ind w:right="60"/>
              <w:spacing w:after="0"/>
              <w:rPr>
                <w:sz w:val="20"/>
                <w:szCs w:val="20"/>
                <w:color w:val="auto"/>
              </w:rPr>
            </w:pPr>
            <w:r>
              <w:rPr>
                <w:rFonts w:ascii="Times New Roman" w:cs="Times New Roman" w:eastAsia="Times New Roman" w:hAnsi="Times New Roman"/>
                <w:sz w:val="19"/>
                <w:szCs w:val="19"/>
                <w:b w:val="1"/>
                <w:bCs w:val="1"/>
                <w:color w:val="231F20"/>
              </w:rPr>
              <w:t>8,462</w:t>
            </w:r>
          </w:p>
        </w:tc>
        <w:tc>
          <w:tcPr>
            <w:tcW w:w="280" w:type="dxa"/>
            <w:vAlign w:val="bottom"/>
            <w:gridSpan w:val="2"/>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5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7,823</w:t>
            </w:r>
          </w:p>
        </w:tc>
        <w:tc>
          <w:tcPr>
            <w:tcW w:w="200" w:type="dxa"/>
            <w:vAlign w:val="bottom"/>
            <w:shd w:val="clear" w:color="auto" w:fill="E6E7E8"/>
          </w:tcPr>
          <w:p>
            <w:pPr>
              <w:spacing w:after="0"/>
              <w:rPr>
                <w:sz w:val="19"/>
                <w:szCs w:val="19"/>
                <w:color w:val="auto"/>
              </w:rPr>
            </w:pPr>
          </w:p>
        </w:tc>
        <w:tc>
          <w:tcPr>
            <w:tcW w:w="1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780" w:type="dxa"/>
            <w:vAlign w:val="bottom"/>
            <w:gridSpan w:val="2"/>
            <w:shd w:val="clear" w:color="auto" w:fill="E6E7E8"/>
          </w:tcPr>
          <w:p>
            <w:pPr>
              <w:jc w:val="right"/>
              <w:ind w:right="200"/>
              <w:spacing w:after="0"/>
              <w:rPr>
                <w:sz w:val="20"/>
                <w:szCs w:val="20"/>
                <w:color w:val="auto"/>
              </w:rPr>
            </w:pPr>
            <w:r>
              <w:rPr>
                <w:rFonts w:ascii="Times New Roman" w:cs="Times New Roman" w:eastAsia="Times New Roman" w:hAnsi="Times New Roman"/>
                <w:sz w:val="19"/>
                <w:szCs w:val="19"/>
                <w:color w:val="231F20"/>
              </w:rPr>
              <w:t>8,877</w:t>
            </w:r>
          </w:p>
        </w:tc>
        <w:tc>
          <w:tcPr>
            <w:tcW w:w="14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w w:val="83"/>
              </w:rPr>
              <w:t>$</w:t>
            </w:r>
          </w:p>
        </w:tc>
        <w:tc>
          <w:tcPr>
            <w:tcW w:w="5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2,936</w:t>
            </w:r>
          </w:p>
        </w:tc>
        <w:tc>
          <w:tcPr>
            <w:tcW w:w="360" w:type="dxa"/>
            <w:vAlign w:val="bottom"/>
            <w:gridSpan w:val="2"/>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780" w:type="dxa"/>
            <w:vAlign w:val="bottom"/>
            <w:gridSpan w:val="2"/>
            <w:shd w:val="clear" w:color="auto" w:fill="E6E7E8"/>
          </w:tcPr>
          <w:p>
            <w:pPr>
              <w:jc w:val="right"/>
              <w:ind w:right="200"/>
              <w:spacing w:after="0"/>
              <w:rPr>
                <w:sz w:val="20"/>
                <w:szCs w:val="20"/>
                <w:color w:val="auto"/>
              </w:rPr>
            </w:pPr>
            <w:r>
              <w:rPr>
                <w:rFonts w:ascii="Times New Roman" w:cs="Times New Roman" w:eastAsia="Times New Roman" w:hAnsi="Times New Roman"/>
                <w:sz w:val="19"/>
                <w:szCs w:val="19"/>
                <w:color w:val="231F20"/>
              </w:rPr>
              <w:t>2,526</w:t>
            </w:r>
          </w:p>
        </w:tc>
        <w:tc>
          <w:tcPr>
            <w:tcW w:w="14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780" w:type="dxa"/>
            <w:vAlign w:val="bottom"/>
            <w:gridSpan w:val="2"/>
            <w:shd w:val="clear" w:color="auto" w:fill="E6E7E8"/>
          </w:tcPr>
          <w:p>
            <w:pPr>
              <w:jc w:val="right"/>
              <w:ind w:right="140"/>
              <w:spacing w:after="0"/>
              <w:rPr>
                <w:sz w:val="20"/>
                <w:szCs w:val="20"/>
                <w:color w:val="auto"/>
              </w:rPr>
            </w:pPr>
            <w:r>
              <w:rPr>
                <w:rFonts w:ascii="Times New Roman" w:cs="Times New Roman" w:eastAsia="Times New Roman" w:hAnsi="Times New Roman"/>
                <w:sz w:val="19"/>
                <w:szCs w:val="19"/>
                <w:color w:val="231F20"/>
              </w:rPr>
              <w:t>(2,767)</w:t>
            </w:r>
          </w:p>
        </w:tc>
        <w:tc>
          <w:tcPr>
            <w:tcW w:w="1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w w:val="83"/>
              </w:rPr>
              <w:t>$</w:t>
            </w:r>
          </w:p>
        </w:tc>
        <w:tc>
          <w:tcPr>
            <w:tcW w:w="780" w:type="dxa"/>
            <w:vAlign w:val="bottom"/>
            <w:gridSpan w:val="2"/>
            <w:shd w:val="clear" w:color="auto" w:fill="E6E7E8"/>
          </w:tcPr>
          <w:p>
            <w:pPr>
              <w:jc w:val="right"/>
              <w:ind w:right="200"/>
              <w:spacing w:after="0"/>
              <w:rPr>
                <w:sz w:val="20"/>
                <w:szCs w:val="20"/>
                <w:color w:val="auto"/>
              </w:rPr>
            </w:pPr>
            <w:r>
              <w:rPr>
                <w:rFonts w:ascii="Times New Roman" w:cs="Times New Roman" w:eastAsia="Times New Roman" w:hAnsi="Times New Roman"/>
                <w:sz w:val="19"/>
                <w:szCs w:val="19"/>
                <w:b w:val="1"/>
                <w:bCs w:val="1"/>
                <w:color w:val="231F20"/>
              </w:rPr>
              <w:t>678</w:t>
            </w:r>
          </w:p>
        </w:tc>
        <w:tc>
          <w:tcPr>
            <w:tcW w:w="1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6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679</w:t>
            </w:r>
          </w:p>
        </w:tc>
        <w:tc>
          <w:tcPr>
            <w:tcW w:w="360" w:type="dxa"/>
            <w:vAlign w:val="bottom"/>
            <w:gridSpan w:val="2"/>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640" w:type="dxa"/>
            <w:vAlign w:val="bottom"/>
            <w:gridSpan w:val="2"/>
            <w:shd w:val="clear" w:color="auto" w:fill="E6E7E8"/>
          </w:tcPr>
          <w:p>
            <w:pPr>
              <w:jc w:val="right"/>
              <w:ind w:right="60"/>
              <w:spacing w:after="0"/>
              <w:rPr>
                <w:sz w:val="20"/>
                <w:szCs w:val="20"/>
                <w:color w:val="auto"/>
              </w:rPr>
            </w:pPr>
            <w:r>
              <w:rPr>
                <w:rFonts w:ascii="Times New Roman" w:cs="Times New Roman" w:eastAsia="Times New Roman" w:hAnsi="Times New Roman"/>
                <w:sz w:val="19"/>
                <w:szCs w:val="19"/>
                <w:color w:val="231F20"/>
              </w:rPr>
              <w:t>665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1608455</wp:posOffset>
            </wp:positionH>
            <wp:positionV relativeFrom="paragraph">
              <wp:posOffset>-565785</wp:posOffset>
            </wp:positionV>
            <wp:extent cx="523049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54">
                      <a:extLst>
                        <a:ext uri="{28A0092B-C50C-407E-A947-70E740481C1C}"/>
                      </a:extLst>
                    </a:blip>
                    <a:srcRect/>
                    <a:stretch>
                      <a:fillRect/>
                    </a:stretch>
                  </pic:blipFill>
                  <pic:spPr bwMode="auto">
                    <a:xfrm>
                      <a:off x="0" y="0"/>
                      <a:ext cx="5230495" cy="38100"/>
                    </a:xfrm>
                    <a:prstGeom prst="rect">
                      <a:avLst/>
                    </a:prstGeom>
                    <a:noFill/>
                  </pic:spPr>
                </pic:pic>
              </a:graphicData>
            </a:graphic>
          </wp:anchor>
        </w:drawing>
      </w:r>
    </w:p>
    <w:p>
      <w:pPr>
        <w:spacing w:after="0" w:line="2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231F20"/>
        </w:rPr>
        <w:t>The following table represents estimated future benefit payments (000’s).</w:t>
      </w:r>
    </w:p>
    <w:p>
      <w:pPr>
        <w:spacing w:after="0" w:line="278" w:lineRule="exact"/>
        <w:rPr>
          <w:sz w:val="20"/>
          <w:szCs w:val="20"/>
          <w:color w:val="auto"/>
        </w:rPr>
      </w:pPr>
    </w:p>
    <w:tbl>
      <w:tblPr>
        <w:tblLayout w:type="fixed"/>
        <w:tblInd w:w="540" w:type="dxa"/>
        <w:tblCellMar>
          <w:top w:w="0" w:type="dxa"/>
          <w:left w:w="0" w:type="dxa"/>
          <w:bottom w:w="0" w:type="dxa"/>
          <w:right w:w="0" w:type="dxa"/>
        </w:tblCellMar>
      </w:tblPr>
      <w:tr>
        <w:trPr>
          <w:trHeight w:val="199"/>
        </w:trPr>
        <w:tc>
          <w:tcPr>
            <w:tcW w:w="3380" w:type="dxa"/>
            <w:vAlign w:val="bottom"/>
          </w:tcPr>
          <w:p>
            <w:pPr>
              <w:spacing w:after="0"/>
              <w:rPr>
                <w:sz w:val="17"/>
                <w:szCs w:val="17"/>
                <w:color w:val="auto"/>
              </w:rPr>
            </w:pPr>
          </w:p>
        </w:tc>
        <w:tc>
          <w:tcPr>
            <w:tcW w:w="3660" w:type="dxa"/>
            <w:vAlign w:val="bottom"/>
            <w:gridSpan w:val="4"/>
          </w:tcPr>
          <w:p>
            <w:pPr>
              <w:ind w:left="240"/>
              <w:spacing w:after="0"/>
              <w:rPr>
                <w:sz w:val="20"/>
                <w:szCs w:val="20"/>
                <w:color w:val="auto"/>
              </w:rPr>
            </w:pPr>
            <w:r>
              <w:rPr>
                <w:rFonts w:ascii="Times New Roman" w:cs="Times New Roman" w:eastAsia="Times New Roman" w:hAnsi="Times New Roman"/>
                <w:sz w:val="16"/>
                <w:szCs w:val="16"/>
                <w:b w:val="1"/>
                <w:bCs w:val="1"/>
                <w:color w:val="231F20"/>
              </w:rPr>
              <w:t>Estimated Future Benefit Payments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231F20"/>
              </w:rPr>
              <w:t>Pension</w:t>
            </w:r>
          </w:p>
        </w:tc>
        <w:tc>
          <w:tcPr>
            <w:tcW w:w="24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231F20"/>
              </w:rPr>
              <w:t>PBOP</w:t>
            </w:r>
          </w:p>
        </w:tc>
        <w:tc>
          <w:tcPr>
            <w:tcW w:w="24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231F20"/>
              </w:rPr>
              <w:t>SERP</w:t>
            </w:r>
          </w:p>
        </w:tc>
      </w:tr>
      <w:tr>
        <w:trPr>
          <w:trHeight w:val="214"/>
        </w:trPr>
        <w:tc>
          <w:tcPr>
            <w:tcW w:w="3380" w:type="dxa"/>
            <w:vAlign w:val="bottom"/>
            <w:tcBorders>
              <w:top w:val="single" w:sz="8" w:color="E6E7E8"/>
            </w:tcBorders>
            <w:shd w:val="clear" w:color="auto" w:fill="E6E7E8"/>
          </w:tcPr>
          <w:p>
            <w:pPr>
              <w:jc w:val="center"/>
              <w:ind w:left="2025"/>
              <w:spacing w:after="0" w:line="214" w:lineRule="exact"/>
              <w:rPr>
                <w:sz w:val="20"/>
                <w:szCs w:val="20"/>
                <w:color w:val="auto"/>
              </w:rPr>
            </w:pPr>
            <w:r>
              <w:rPr>
                <w:rFonts w:ascii="Times New Roman" w:cs="Times New Roman" w:eastAsia="Times New Roman" w:hAnsi="Times New Roman"/>
                <w:sz w:val="19"/>
                <w:szCs w:val="19"/>
                <w:color w:val="231F20"/>
                <w:w w:val="99"/>
              </w:rPr>
              <w:t>2026</w:t>
            </w:r>
          </w:p>
        </w:tc>
        <w:tc>
          <w:tcPr>
            <w:tcW w:w="2240" w:type="dxa"/>
            <w:vAlign w:val="bottom"/>
            <w:tcBorders>
              <w:top w:val="single" w:sz="8" w:color="E6E7E8"/>
            </w:tcBorders>
            <w:shd w:val="clear" w:color="auto" w:fill="E6E7E8"/>
          </w:tcPr>
          <w:p>
            <w:pPr>
              <w:spacing w:after="0"/>
              <w:rPr>
                <w:sz w:val="18"/>
                <w:szCs w:val="18"/>
                <w:color w:val="auto"/>
              </w:rPr>
            </w:pPr>
          </w:p>
        </w:tc>
        <w:tc>
          <w:tcPr>
            <w:tcW w:w="200" w:type="dxa"/>
            <w:vAlign w:val="bottom"/>
            <w:tcBorders>
              <w:top w:val="single" w:sz="8" w:color="231F20"/>
            </w:tcBorders>
            <w:shd w:val="clear" w:color="auto" w:fill="E6E7E8"/>
          </w:tcPr>
          <w:p>
            <w:pPr>
              <w:jc w:val="right"/>
              <w:ind w:right="5"/>
              <w:spacing w:after="0" w:line="214" w:lineRule="exact"/>
              <w:rPr>
                <w:sz w:val="20"/>
                <w:szCs w:val="20"/>
                <w:color w:val="auto"/>
              </w:rPr>
            </w:pPr>
            <w:r>
              <w:rPr>
                <w:rFonts w:ascii="Times New Roman" w:cs="Times New Roman" w:eastAsia="Times New Roman" w:hAnsi="Times New Roman"/>
                <w:sz w:val="19"/>
                <w:szCs w:val="19"/>
                <w:color w:val="231F20"/>
                <w:w w:val="83"/>
              </w:rPr>
              <w:t>$</w:t>
            </w:r>
          </w:p>
        </w:tc>
        <w:tc>
          <w:tcPr>
            <w:tcW w:w="1000" w:type="dxa"/>
            <w:vAlign w:val="bottom"/>
            <w:tcBorders>
              <w:top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9,244</w:t>
            </w:r>
          </w:p>
        </w:tc>
        <w:tc>
          <w:tcPr>
            <w:tcW w:w="220" w:type="dxa"/>
            <w:vAlign w:val="bottom"/>
            <w:tcBorders>
              <w:top w:val="single" w:sz="8" w:color="E6E7E8"/>
            </w:tcBorders>
            <w:shd w:val="clear" w:color="auto" w:fill="E6E7E8"/>
          </w:tcPr>
          <w:p>
            <w:pPr>
              <w:spacing w:after="0"/>
              <w:rPr>
                <w:sz w:val="18"/>
                <w:szCs w:val="18"/>
                <w:color w:val="auto"/>
              </w:rPr>
            </w:pPr>
          </w:p>
        </w:tc>
        <w:tc>
          <w:tcPr>
            <w:tcW w:w="240" w:type="dxa"/>
            <w:vAlign w:val="bottom"/>
            <w:tcBorders>
              <w:top w:val="single" w:sz="8" w:color="231F20"/>
            </w:tcBorders>
            <w:shd w:val="clear" w:color="auto" w:fill="E6E7E8"/>
          </w:tcPr>
          <w:p>
            <w:pPr>
              <w:jc w:val="right"/>
              <w:ind w:right="45"/>
              <w:spacing w:after="0" w:line="214" w:lineRule="exact"/>
              <w:rPr>
                <w:sz w:val="20"/>
                <w:szCs w:val="20"/>
                <w:color w:val="auto"/>
              </w:rPr>
            </w:pPr>
            <w:r>
              <w:rPr>
                <w:rFonts w:ascii="Times New Roman" w:cs="Times New Roman" w:eastAsia="Times New Roman" w:hAnsi="Times New Roman"/>
                <w:sz w:val="19"/>
                <w:szCs w:val="19"/>
                <w:color w:val="231F20"/>
                <w:w w:val="83"/>
              </w:rPr>
              <w:t>$</w:t>
            </w:r>
          </w:p>
        </w:tc>
        <w:tc>
          <w:tcPr>
            <w:tcW w:w="960" w:type="dxa"/>
            <w:vAlign w:val="bottom"/>
            <w:tcBorders>
              <w:top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4,142</w:t>
            </w:r>
          </w:p>
        </w:tc>
        <w:tc>
          <w:tcPr>
            <w:tcW w:w="220" w:type="dxa"/>
            <w:vAlign w:val="bottom"/>
            <w:tcBorders>
              <w:top w:val="single" w:sz="8" w:color="E6E7E8"/>
            </w:tcBorders>
            <w:shd w:val="clear" w:color="auto" w:fill="E6E7E8"/>
          </w:tcPr>
          <w:p>
            <w:pPr>
              <w:spacing w:after="0"/>
              <w:rPr>
                <w:sz w:val="18"/>
                <w:szCs w:val="18"/>
                <w:color w:val="auto"/>
              </w:rPr>
            </w:pPr>
          </w:p>
        </w:tc>
        <w:tc>
          <w:tcPr>
            <w:tcW w:w="240" w:type="dxa"/>
            <w:vAlign w:val="bottom"/>
            <w:tcBorders>
              <w:top w:val="single" w:sz="8" w:color="231F20"/>
            </w:tcBorders>
            <w:shd w:val="clear" w:color="auto" w:fill="E6E7E8"/>
          </w:tcPr>
          <w:p>
            <w:pPr>
              <w:jc w:val="right"/>
              <w:ind w:right="45"/>
              <w:spacing w:after="0" w:line="214" w:lineRule="exact"/>
              <w:rPr>
                <w:sz w:val="20"/>
                <w:szCs w:val="20"/>
                <w:color w:val="auto"/>
              </w:rPr>
            </w:pPr>
            <w:r>
              <w:rPr>
                <w:rFonts w:ascii="Times New Roman" w:cs="Times New Roman" w:eastAsia="Times New Roman" w:hAnsi="Times New Roman"/>
                <w:sz w:val="19"/>
                <w:szCs w:val="19"/>
                <w:color w:val="231F20"/>
                <w:w w:val="83"/>
              </w:rPr>
              <w:t>$</w:t>
            </w:r>
          </w:p>
        </w:tc>
        <w:tc>
          <w:tcPr>
            <w:tcW w:w="960" w:type="dxa"/>
            <w:vAlign w:val="bottom"/>
            <w:tcBorders>
              <w:top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678</w:t>
            </w:r>
          </w:p>
        </w:tc>
        <w:tc>
          <w:tcPr>
            <w:tcW w:w="60" w:type="dxa"/>
            <w:vAlign w:val="bottom"/>
            <w:tcBorders>
              <w:top w:val="single" w:sz="8" w:color="E6E7E8"/>
            </w:tcBorders>
            <w:shd w:val="clear" w:color="auto" w:fill="E6E7E8"/>
          </w:tcPr>
          <w:p>
            <w:pPr>
              <w:spacing w:after="0"/>
              <w:rPr>
                <w:sz w:val="18"/>
                <w:szCs w:val="18"/>
                <w:color w:val="auto"/>
              </w:rPr>
            </w:pPr>
          </w:p>
        </w:tc>
      </w:tr>
      <w:tr>
        <w:trPr>
          <w:trHeight w:val="218"/>
        </w:trPr>
        <w:tc>
          <w:tcPr>
            <w:tcW w:w="3380" w:type="dxa"/>
            <w:vAlign w:val="bottom"/>
          </w:tcPr>
          <w:p>
            <w:pPr>
              <w:jc w:val="center"/>
              <w:ind w:left="2025"/>
              <w:spacing w:after="0"/>
              <w:rPr>
                <w:sz w:val="20"/>
                <w:szCs w:val="20"/>
                <w:color w:val="auto"/>
              </w:rPr>
            </w:pPr>
            <w:r>
              <w:rPr>
                <w:rFonts w:ascii="Times New Roman" w:cs="Times New Roman" w:eastAsia="Times New Roman" w:hAnsi="Times New Roman"/>
                <w:sz w:val="19"/>
                <w:szCs w:val="19"/>
                <w:color w:val="231F20"/>
                <w:w w:val="99"/>
              </w:rPr>
              <w:t>2027</w:t>
            </w: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10,322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4,369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677</w:t>
            </w:r>
          </w:p>
        </w:tc>
        <w:tc>
          <w:tcPr>
            <w:tcW w:w="60" w:type="dxa"/>
            <w:vAlign w:val="bottom"/>
          </w:tcPr>
          <w:p>
            <w:pPr>
              <w:spacing w:after="0"/>
              <w:rPr>
                <w:sz w:val="19"/>
                <w:szCs w:val="19"/>
                <w:color w:val="auto"/>
              </w:rPr>
            </w:pPr>
          </w:p>
        </w:tc>
      </w:tr>
      <w:tr>
        <w:trPr>
          <w:trHeight w:val="219"/>
        </w:trPr>
        <w:tc>
          <w:tcPr>
            <w:tcW w:w="3380" w:type="dxa"/>
            <w:vAlign w:val="bottom"/>
            <w:shd w:val="clear" w:color="auto" w:fill="E6E7E8"/>
          </w:tcPr>
          <w:p>
            <w:pPr>
              <w:jc w:val="center"/>
              <w:ind w:left="2025"/>
              <w:spacing w:after="0"/>
              <w:rPr>
                <w:sz w:val="20"/>
                <w:szCs w:val="20"/>
                <w:color w:val="auto"/>
              </w:rPr>
            </w:pPr>
            <w:r>
              <w:rPr>
                <w:rFonts w:ascii="Times New Roman" w:cs="Times New Roman" w:eastAsia="Times New Roman" w:hAnsi="Times New Roman"/>
                <w:sz w:val="19"/>
                <w:szCs w:val="19"/>
                <w:color w:val="231F20"/>
                <w:w w:val="99"/>
              </w:rPr>
              <w:t>2028</w:t>
            </w:r>
          </w:p>
        </w:tc>
        <w:tc>
          <w:tcPr>
            <w:tcW w:w="224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c>
          <w:tcPr>
            <w:tcW w:w="1220" w:type="dxa"/>
            <w:vAlign w:val="bottom"/>
            <w:gridSpan w:val="2"/>
            <w:shd w:val="clear" w:color="auto" w:fill="E6E7E8"/>
          </w:tcPr>
          <w:p>
            <w:pPr>
              <w:jc w:val="right"/>
              <w:ind w:right="220"/>
              <w:spacing w:after="0"/>
              <w:rPr>
                <w:sz w:val="20"/>
                <w:szCs w:val="20"/>
                <w:color w:val="auto"/>
              </w:rPr>
            </w:pPr>
            <w:r>
              <w:rPr>
                <w:rFonts w:ascii="Times New Roman" w:cs="Times New Roman" w:eastAsia="Times New Roman" w:hAnsi="Times New Roman"/>
                <w:sz w:val="19"/>
                <w:szCs w:val="19"/>
                <w:color w:val="231F20"/>
              </w:rPr>
              <w:t>10,396</w:t>
            </w:r>
          </w:p>
        </w:tc>
        <w:tc>
          <w:tcPr>
            <w:tcW w:w="240" w:type="dxa"/>
            <w:vAlign w:val="bottom"/>
            <w:shd w:val="clear" w:color="auto" w:fill="E6E7E8"/>
          </w:tcPr>
          <w:p>
            <w:pPr>
              <w:spacing w:after="0"/>
              <w:rPr>
                <w:sz w:val="19"/>
                <w:szCs w:val="19"/>
                <w:color w:val="auto"/>
              </w:rPr>
            </w:pPr>
          </w:p>
        </w:tc>
        <w:tc>
          <w:tcPr>
            <w:tcW w:w="1180" w:type="dxa"/>
            <w:vAlign w:val="bottom"/>
            <w:gridSpan w:val="2"/>
            <w:shd w:val="clear" w:color="auto" w:fill="E6E7E8"/>
          </w:tcPr>
          <w:p>
            <w:pPr>
              <w:jc w:val="right"/>
              <w:ind w:right="220"/>
              <w:spacing w:after="0"/>
              <w:rPr>
                <w:sz w:val="20"/>
                <w:szCs w:val="20"/>
                <w:color w:val="auto"/>
              </w:rPr>
            </w:pPr>
            <w:r>
              <w:rPr>
                <w:rFonts w:ascii="Times New Roman" w:cs="Times New Roman" w:eastAsia="Times New Roman" w:hAnsi="Times New Roman"/>
                <w:sz w:val="19"/>
                <w:szCs w:val="19"/>
                <w:color w:val="231F20"/>
              </w:rPr>
              <w:t>4,587</w:t>
            </w:r>
          </w:p>
        </w:tc>
        <w:tc>
          <w:tcPr>
            <w:tcW w:w="240" w:type="dxa"/>
            <w:vAlign w:val="bottom"/>
            <w:shd w:val="clear" w:color="auto" w:fill="E6E7E8"/>
          </w:tcPr>
          <w:p>
            <w:pPr>
              <w:spacing w:after="0"/>
              <w:rPr>
                <w:sz w:val="19"/>
                <w:szCs w:val="19"/>
                <w:color w:val="auto"/>
              </w:rPr>
            </w:pPr>
          </w:p>
        </w:tc>
        <w:tc>
          <w:tcPr>
            <w:tcW w:w="1020" w:type="dxa"/>
            <w:vAlign w:val="bottom"/>
            <w:gridSpan w:val="2"/>
            <w:shd w:val="clear" w:color="auto" w:fill="E6E7E8"/>
          </w:tcPr>
          <w:p>
            <w:pPr>
              <w:jc w:val="right"/>
              <w:ind w:right="60"/>
              <w:spacing w:after="0"/>
              <w:rPr>
                <w:sz w:val="20"/>
                <w:szCs w:val="20"/>
                <w:color w:val="auto"/>
              </w:rPr>
            </w:pPr>
            <w:r>
              <w:rPr>
                <w:rFonts w:ascii="Times New Roman" w:cs="Times New Roman" w:eastAsia="Times New Roman" w:hAnsi="Times New Roman"/>
                <w:sz w:val="19"/>
                <w:szCs w:val="19"/>
                <w:color w:val="231F20"/>
              </w:rPr>
              <w:t>1,190</w:t>
            </w:r>
          </w:p>
        </w:tc>
      </w:tr>
      <w:tr>
        <w:trPr>
          <w:trHeight w:val="218"/>
        </w:trPr>
        <w:tc>
          <w:tcPr>
            <w:tcW w:w="3380" w:type="dxa"/>
            <w:vAlign w:val="bottom"/>
          </w:tcPr>
          <w:p>
            <w:pPr>
              <w:jc w:val="center"/>
              <w:ind w:left="2025"/>
              <w:spacing w:after="0"/>
              <w:rPr>
                <w:sz w:val="20"/>
                <w:szCs w:val="20"/>
                <w:color w:val="auto"/>
              </w:rPr>
            </w:pPr>
            <w:r>
              <w:rPr>
                <w:rFonts w:ascii="Times New Roman" w:cs="Times New Roman" w:eastAsia="Times New Roman" w:hAnsi="Times New Roman"/>
                <w:sz w:val="19"/>
                <w:szCs w:val="19"/>
                <w:color w:val="231F20"/>
                <w:w w:val="99"/>
              </w:rPr>
              <w:t>2029</w:t>
            </w: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231F20"/>
              </w:rPr>
              <w:t>10,732</w:t>
            </w:r>
          </w:p>
        </w:tc>
        <w:tc>
          <w:tcPr>
            <w:tcW w:w="2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231F20"/>
              </w:rPr>
              <w:t>5,046</w:t>
            </w: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231F20"/>
              </w:rPr>
              <w:t>1,181</w:t>
            </w:r>
          </w:p>
        </w:tc>
      </w:tr>
      <w:tr>
        <w:trPr>
          <w:trHeight w:val="219"/>
        </w:trPr>
        <w:tc>
          <w:tcPr>
            <w:tcW w:w="3380" w:type="dxa"/>
            <w:vAlign w:val="bottom"/>
            <w:shd w:val="clear" w:color="auto" w:fill="E6E7E8"/>
          </w:tcPr>
          <w:p>
            <w:pPr>
              <w:jc w:val="center"/>
              <w:ind w:left="2025"/>
              <w:spacing w:after="0"/>
              <w:rPr>
                <w:sz w:val="20"/>
                <w:szCs w:val="20"/>
                <w:color w:val="auto"/>
              </w:rPr>
            </w:pPr>
            <w:r>
              <w:rPr>
                <w:rFonts w:ascii="Times New Roman" w:cs="Times New Roman" w:eastAsia="Times New Roman" w:hAnsi="Times New Roman"/>
                <w:sz w:val="19"/>
                <w:szCs w:val="19"/>
                <w:color w:val="231F20"/>
                <w:w w:val="99"/>
              </w:rPr>
              <w:t>2030</w:t>
            </w:r>
          </w:p>
        </w:tc>
        <w:tc>
          <w:tcPr>
            <w:tcW w:w="224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c>
          <w:tcPr>
            <w:tcW w:w="1220" w:type="dxa"/>
            <w:vAlign w:val="bottom"/>
            <w:gridSpan w:val="2"/>
            <w:shd w:val="clear" w:color="auto" w:fill="E6E7E8"/>
          </w:tcPr>
          <w:p>
            <w:pPr>
              <w:jc w:val="right"/>
              <w:ind w:right="220"/>
              <w:spacing w:after="0"/>
              <w:rPr>
                <w:sz w:val="20"/>
                <w:szCs w:val="20"/>
                <w:color w:val="auto"/>
              </w:rPr>
            </w:pPr>
            <w:r>
              <w:rPr>
                <w:rFonts w:ascii="Times New Roman" w:cs="Times New Roman" w:eastAsia="Times New Roman" w:hAnsi="Times New Roman"/>
                <w:sz w:val="19"/>
                <w:szCs w:val="19"/>
                <w:color w:val="231F20"/>
              </w:rPr>
              <w:t>11,313</w:t>
            </w:r>
          </w:p>
        </w:tc>
        <w:tc>
          <w:tcPr>
            <w:tcW w:w="240" w:type="dxa"/>
            <w:vAlign w:val="bottom"/>
            <w:shd w:val="clear" w:color="auto" w:fill="E6E7E8"/>
          </w:tcPr>
          <w:p>
            <w:pPr>
              <w:spacing w:after="0"/>
              <w:rPr>
                <w:sz w:val="19"/>
                <w:szCs w:val="19"/>
                <w:color w:val="auto"/>
              </w:rPr>
            </w:pPr>
          </w:p>
        </w:tc>
        <w:tc>
          <w:tcPr>
            <w:tcW w:w="1180" w:type="dxa"/>
            <w:vAlign w:val="bottom"/>
            <w:gridSpan w:val="2"/>
            <w:shd w:val="clear" w:color="auto" w:fill="E6E7E8"/>
          </w:tcPr>
          <w:p>
            <w:pPr>
              <w:jc w:val="right"/>
              <w:ind w:right="220"/>
              <w:spacing w:after="0"/>
              <w:rPr>
                <w:sz w:val="20"/>
                <w:szCs w:val="20"/>
                <w:color w:val="auto"/>
              </w:rPr>
            </w:pPr>
            <w:r>
              <w:rPr>
                <w:rFonts w:ascii="Times New Roman" w:cs="Times New Roman" w:eastAsia="Times New Roman" w:hAnsi="Times New Roman"/>
                <w:sz w:val="19"/>
                <w:szCs w:val="19"/>
                <w:color w:val="231F20"/>
              </w:rPr>
              <w:t>5,159</w:t>
            </w:r>
          </w:p>
        </w:tc>
        <w:tc>
          <w:tcPr>
            <w:tcW w:w="240" w:type="dxa"/>
            <w:vAlign w:val="bottom"/>
            <w:shd w:val="clear" w:color="auto" w:fill="E6E7E8"/>
          </w:tcPr>
          <w:p>
            <w:pPr>
              <w:spacing w:after="0"/>
              <w:rPr>
                <w:sz w:val="19"/>
                <w:szCs w:val="19"/>
                <w:color w:val="auto"/>
              </w:rPr>
            </w:pPr>
          </w:p>
        </w:tc>
        <w:tc>
          <w:tcPr>
            <w:tcW w:w="1020" w:type="dxa"/>
            <w:vAlign w:val="bottom"/>
            <w:gridSpan w:val="2"/>
            <w:shd w:val="clear" w:color="auto" w:fill="E6E7E8"/>
          </w:tcPr>
          <w:p>
            <w:pPr>
              <w:jc w:val="right"/>
              <w:ind w:right="60"/>
              <w:spacing w:after="0"/>
              <w:rPr>
                <w:sz w:val="20"/>
                <w:szCs w:val="20"/>
                <w:color w:val="auto"/>
              </w:rPr>
            </w:pPr>
            <w:r>
              <w:rPr>
                <w:rFonts w:ascii="Times New Roman" w:cs="Times New Roman" w:eastAsia="Times New Roman" w:hAnsi="Times New Roman"/>
                <w:sz w:val="19"/>
                <w:szCs w:val="19"/>
                <w:color w:val="231F20"/>
              </w:rPr>
              <w:t>1,172</w:t>
            </w:r>
          </w:p>
        </w:tc>
      </w:tr>
      <w:tr>
        <w:trPr>
          <w:trHeight w:val="255"/>
        </w:trPr>
        <w:tc>
          <w:tcPr>
            <w:tcW w:w="3380" w:type="dxa"/>
            <w:vAlign w:val="bottom"/>
          </w:tcPr>
          <w:p>
            <w:pPr>
              <w:jc w:val="center"/>
              <w:ind w:left="2005"/>
              <w:spacing w:after="0"/>
              <w:rPr>
                <w:sz w:val="20"/>
                <w:szCs w:val="20"/>
                <w:color w:val="auto"/>
              </w:rPr>
            </w:pPr>
            <w:r>
              <w:rPr>
                <w:rFonts w:ascii="Times New Roman" w:cs="Times New Roman" w:eastAsia="Times New Roman" w:hAnsi="Times New Roman"/>
                <w:sz w:val="19"/>
                <w:szCs w:val="19"/>
                <w:color w:val="231F20"/>
              </w:rPr>
              <w:t>2031-2035</w:t>
            </w:r>
          </w:p>
        </w:tc>
        <w:tc>
          <w:tcPr>
            <w:tcW w:w="2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57,726</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26,363</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5,658</w:t>
            </w:r>
          </w:p>
        </w:tc>
        <w:tc>
          <w:tcPr>
            <w:tcW w:w="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-1005205</wp:posOffset>
            </wp:positionV>
            <wp:extent cx="61715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55">
                      <a:extLst>
                        <a:ext uri="{28A0092B-C50C-407E-A947-70E740481C1C}"/>
                      </a:extLst>
                    </a:blip>
                    <a:srcRect/>
                    <a:stretch>
                      <a:fillRect/>
                    </a:stretch>
                  </pic:blipFill>
                  <pic:spPr bwMode="auto">
                    <a:xfrm>
                      <a:off x="0" y="0"/>
                      <a:ext cx="6171565" cy="38100"/>
                    </a:xfrm>
                    <a:prstGeom prst="rect">
                      <a:avLst/>
                    </a:prstGeom>
                    <a:noFill/>
                  </pic:spPr>
                </pic:pic>
              </a:graphicData>
            </a:graphic>
          </wp:anchor>
        </w:drawing>
      </w:r>
    </w:p>
    <w:p>
      <w:pPr>
        <w:spacing w:after="0" w:line="198" w:lineRule="exact"/>
        <w:rPr>
          <w:sz w:val="20"/>
          <w:szCs w:val="20"/>
          <w:color w:val="auto"/>
        </w:rPr>
      </w:pPr>
    </w:p>
    <w:p>
      <w:pPr>
        <w:ind w:firstLine="612"/>
        <w:spacing w:after="0" w:line="247" w:lineRule="auto"/>
        <w:rPr>
          <w:sz w:val="20"/>
          <w:szCs w:val="20"/>
          <w:color w:val="auto"/>
        </w:rPr>
      </w:pPr>
      <w:r>
        <w:rPr>
          <w:rFonts w:ascii="Times New Roman" w:cs="Times New Roman" w:eastAsia="Times New Roman" w:hAnsi="Times New Roman"/>
          <w:sz w:val="21"/>
          <w:szCs w:val="21"/>
          <w:color w:val="231F20"/>
        </w:rPr>
        <w:t>The Expected Long-Term Rate of Return on Pension Plan assets assumption used by the Company is developed based on input from actuaries and investment managers. The Company’s Expected Long -Term Rate of Return on Pension Plan assets is based on target investment allocation of 49% in common stock equities, 45% in fixed income securities and 6% in real estate securities. The Company’s Expected Long-Term Rate of Return on PBOP Plan assets is based on target investment allocation of 55% in common stock equities and 45% in fixed income securities. The actual investment allocations are shown in the following tables.</w:t>
      </w:r>
    </w:p>
    <w:p>
      <w:pPr>
        <w:spacing w:after="0" w:line="236"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231F20"/>
                <w:w w:val="99"/>
              </w:rPr>
              <w:t>Target</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Actual Allocation at</w:t>
            </w: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Pension Plan</w:t>
            </w: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231F20"/>
                <w:w w:val="99"/>
              </w:rPr>
              <w:t>Allocation</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1100" w:type="dxa"/>
            <w:vAlign w:val="bottom"/>
            <w:tcBorders>
              <w:top w:val="single" w:sz="8" w:color="231F20"/>
              <w:bottom w:val="single" w:sz="8" w:color="E6E7E8"/>
            </w:tcBorders>
          </w:tcPr>
          <w:p>
            <w:pPr>
              <w:spacing w:after="0"/>
              <w:rPr>
                <w:sz w:val="15"/>
                <w:szCs w:val="15"/>
                <w:color w:val="auto"/>
              </w:rPr>
            </w:pPr>
          </w:p>
        </w:tc>
        <w:tc>
          <w:tcPr>
            <w:tcW w:w="3620" w:type="dxa"/>
            <w:vAlign w:val="bottom"/>
            <w:tcBorders>
              <w:top w:val="single" w:sz="8" w:color="231F20"/>
              <w:bottom w:val="single" w:sz="8" w:color="E6E7E8"/>
            </w:tcBorders>
          </w:tcPr>
          <w:p>
            <w:pPr>
              <w:spacing w:after="0"/>
              <w:rPr>
                <w:sz w:val="15"/>
                <w:szCs w:val="15"/>
                <w:color w:val="auto"/>
              </w:rPr>
            </w:pPr>
          </w:p>
        </w:tc>
        <w:tc>
          <w:tcPr>
            <w:tcW w:w="140" w:type="dxa"/>
            <w:vAlign w:val="bottom"/>
            <w:tcBorders>
              <w:bottom w:val="single" w:sz="8" w:color="E6E7E8"/>
            </w:tcBorders>
          </w:tcPr>
          <w:p>
            <w:pPr>
              <w:spacing w:after="0"/>
              <w:rPr>
                <w:sz w:val="15"/>
                <w:szCs w:val="15"/>
                <w:color w:val="auto"/>
              </w:rPr>
            </w:pPr>
          </w:p>
        </w:tc>
        <w:tc>
          <w:tcPr>
            <w:tcW w:w="920" w:type="dxa"/>
            <w:vAlign w:val="bottom"/>
            <w:tcBorders>
              <w:bottom w:val="single" w:sz="8" w:color="231F20"/>
            </w:tcBorders>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231F20"/>
                <w:w w:val="99"/>
              </w:rPr>
              <w:t>2026</w:t>
            </w:r>
          </w:p>
        </w:tc>
        <w:tc>
          <w:tcPr>
            <w:tcW w:w="340" w:type="dxa"/>
            <w:vAlign w:val="bottom"/>
          </w:tcPr>
          <w:p>
            <w:pPr>
              <w:spacing w:after="0"/>
              <w:rPr>
                <w:sz w:val="15"/>
                <w:szCs w:val="15"/>
                <w:color w:val="auto"/>
              </w:rPr>
            </w:pPr>
          </w:p>
        </w:tc>
        <w:tc>
          <w:tcPr>
            <w:tcW w:w="600" w:type="dxa"/>
            <w:vAlign w:val="bottom"/>
            <w:tcBorders>
              <w:bottom w:val="single" w:sz="8" w:color="231F20"/>
            </w:tcBorders>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231F20"/>
              </w:rPr>
              <w:t>2025</w:t>
            </w:r>
          </w:p>
        </w:tc>
        <w:tc>
          <w:tcPr>
            <w:tcW w:w="300" w:type="dxa"/>
            <w:vAlign w:val="bottom"/>
            <w:tcBorders>
              <w:bottom w:val="single" w:sz="8" w:color="231F20"/>
            </w:tcBorders>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Borders>
              <w:bottom w:val="single" w:sz="8" w:color="231F20"/>
            </w:tcBorders>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231F20"/>
                <w:w w:val="99"/>
              </w:rPr>
              <w:t>2024</w:t>
            </w:r>
          </w:p>
        </w:tc>
        <w:tc>
          <w:tcPr>
            <w:tcW w:w="320" w:type="dxa"/>
            <w:vAlign w:val="bottom"/>
          </w:tcPr>
          <w:p>
            <w:pPr>
              <w:spacing w:after="0"/>
              <w:rPr>
                <w:sz w:val="15"/>
                <w:szCs w:val="15"/>
                <w:color w:val="auto"/>
              </w:rPr>
            </w:pPr>
          </w:p>
        </w:tc>
        <w:tc>
          <w:tcPr>
            <w:tcW w:w="940" w:type="dxa"/>
            <w:vAlign w:val="bottom"/>
            <w:tcBorders>
              <w:bottom w:val="single" w:sz="8" w:color="231F20"/>
            </w:tcBorders>
          </w:tcPr>
          <w:p>
            <w:pPr>
              <w:jc w:val="right"/>
              <w:ind w:right="208"/>
              <w:spacing w:after="0" w:line="179" w:lineRule="exact"/>
              <w:rPr>
                <w:sz w:val="20"/>
                <w:szCs w:val="20"/>
                <w:color w:val="auto"/>
              </w:rPr>
            </w:pPr>
            <w:r>
              <w:rPr>
                <w:rFonts w:ascii="Times New Roman" w:cs="Times New Roman" w:eastAsia="Times New Roman" w:hAnsi="Times New Roman"/>
                <w:sz w:val="16"/>
                <w:szCs w:val="16"/>
                <w:b w:val="1"/>
                <w:bCs w:val="1"/>
                <w:color w:val="231F20"/>
              </w:rPr>
              <w:t>2023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4860" w:type="dxa"/>
            <w:vAlign w:val="bottom"/>
            <w:tcBorders>
              <w:right w:val="single" w:sz="8" w:color="E6E7E8"/>
            </w:tcBorders>
            <w:gridSpan w:val="3"/>
            <w:shd w:val="clear" w:color="auto" w:fill="E6E7E8"/>
          </w:tcPr>
          <w:p>
            <w:pPr>
              <w:spacing w:after="0" w:line="214" w:lineRule="exact"/>
              <w:rPr>
                <w:sz w:val="20"/>
                <w:szCs w:val="20"/>
                <w:color w:val="auto"/>
              </w:rPr>
            </w:pPr>
            <w:r>
              <w:rPr>
                <w:rFonts w:ascii="Times New Roman" w:cs="Times New Roman" w:eastAsia="Times New Roman" w:hAnsi="Times New Roman"/>
                <w:sz w:val="19"/>
                <w:szCs w:val="19"/>
                <w:color w:val="231F20"/>
              </w:rPr>
              <w:t>Equity Funds</w:t>
            </w:r>
          </w:p>
        </w:tc>
        <w:tc>
          <w:tcPr>
            <w:tcW w:w="1260" w:type="dxa"/>
            <w:vAlign w:val="bottom"/>
            <w:gridSpan w:val="2"/>
          </w:tcPr>
          <w:p>
            <w:pPr>
              <w:jc w:val="right"/>
              <w:ind w:right="180"/>
              <w:spacing w:after="0" w:line="214" w:lineRule="exact"/>
              <w:rPr>
                <w:sz w:val="20"/>
                <w:szCs w:val="20"/>
                <w:color w:val="auto"/>
              </w:rPr>
            </w:pPr>
            <w:r>
              <w:rPr>
                <w:rFonts w:ascii="Times New Roman" w:cs="Times New Roman" w:eastAsia="Times New Roman" w:hAnsi="Times New Roman"/>
                <w:sz w:val="19"/>
                <w:szCs w:val="19"/>
                <w:color w:val="231F20"/>
              </w:rPr>
              <w:t>49%</w:t>
            </w:r>
          </w:p>
        </w:tc>
        <w:tc>
          <w:tcPr>
            <w:tcW w:w="600" w:type="dxa"/>
            <w:vAlign w:val="bottom"/>
          </w:tcPr>
          <w:p>
            <w:pPr>
              <w:spacing w:after="0"/>
              <w:rPr>
                <w:sz w:val="18"/>
                <w:szCs w:val="18"/>
                <w:color w:val="auto"/>
              </w:rPr>
            </w:pPr>
          </w:p>
        </w:tc>
        <w:tc>
          <w:tcPr>
            <w:tcW w:w="560" w:type="dxa"/>
            <w:vAlign w:val="bottom"/>
            <w:gridSpan w:val="2"/>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49%</w:t>
            </w:r>
          </w:p>
        </w:tc>
        <w:tc>
          <w:tcPr>
            <w:tcW w:w="60" w:type="dxa"/>
            <w:vAlign w:val="bottom"/>
          </w:tcPr>
          <w:p>
            <w:pPr>
              <w:spacing w:after="0"/>
              <w:rPr>
                <w:sz w:val="18"/>
                <w:szCs w:val="18"/>
                <w:color w:val="auto"/>
              </w:rPr>
            </w:pPr>
          </w:p>
        </w:tc>
        <w:tc>
          <w:tcPr>
            <w:tcW w:w="1240" w:type="dxa"/>
            <w:vAlign w:val="bottom"/>
            <w:gridSpan w:val="2"/>
          </w:tcPr>
          <w:p>
            <w:pPr>
              <w:jc w:val="right"/>
              <w:ind w:right="160"/>
              <w:spacing w:after="0" w:line="214" w:lineRule="exact"/>
              <w:rPr>
                <w:sz w:val="20"/>
                <w:szCs w:val="20"/>
                <w:color w:val="auto"/>
              </w:rPr>
            </w:pPr>
            <w:r>
              <w:rPr>
                <w:rFonts w:ascii="Times New Roman" w:cs="Times New Roman" w:eastAsia="Times New Roman" w:hAnsi="Times New Roman"/>
                <w:sz w:val="19"/>
                <w:szCs w:val="19"/>
                <w:color w:val="231F20"/>
              </w:rPr>
              <w:t>53%</w:t>
            </w:r>
          </w:p>
        </w:tc>
        <w:tc>
          <w:tcPr>
            <w:tcW w:w="1140" w:type="dxa"/>
            <w:vAlign w:val="bottom"/>
            <w:gridSpan w:val="2"/>
          </w:tcPr>
          <w:p>
            <w:pPr>
              <w:jc w:val="right"/>
              <w:ind w:right="40"/>
              <w:spacing w:after="0" w:line="214" w:lineRule="exact"/>
              <w:rPr>
                <w:sz w:val="20"/>
                <w:szCs w:val="20"/>
                <w:color w:val="auto"/>
              </w:rPr>
            </w:pPr>
            <w:r>
              <w:rPr>
                <w:rFonts w:ascii="Times New Roman" w:cs="Times New Roman" w:eastAsia="Times New Roman" w:hAnsi="Times New Roman"/>
                <w:sz w:val="19"/>
                <w:szCs w:val="19"/>
                <w:color w:val="231F20"/>
              </w:rPr>
              <w:t>57%</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9"/>
                <w:szCs w:val="19"/>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9"/>
                <w:szCs w:val="19"/>
                <w:color w:val="231F20"/>
              </w:rPr>
              <w:t>Debt Funds</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231F20"/>
              </w:rPr>
              <w:t>45%</w:t>
            </w:r>
          </w:p>
        </w:tc>
        <w:tc>
          <w:tcPr>
            <w:tcW w:w="6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231F20"/>
              </w:rPr>
              <w:t>45%</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231F20"/>
              </w:rPr>
              <w:t>41%</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231F20"/>
              </w:rPr>
              <w:t>36%</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9"/>
                <w:szCs w:val="19"/>
                <w:color w:val="auto"/>
              </w:rPr>
            </w:pPr>
          </w:p>
        </w:tc>
        <w:tc>
          <w:tcPr>
            <w:tcW w:w="4860" w:type="dxa"/>
            <w:vAlign w:val="bottom"/>
            <w:tcBorders>
              <w:right w:val="single" w:sz="8" w:color="E6E7E8"/>
            </w:tcBorders>
            <w:gridSpan w:val="3"/>
            <w:shd w:val="clear" w:color="auto" w:fill="E6E7E8"/>
          </w:tcPr>
          <w:p>
            <w:pPr>
              <w:spacing w:after="0"/>
              <w:rPr>
                <w:sz w:val="20"/>
                <w:szCs w:val="20"/>
                <w:color w:val="auto"/>
              </w:rPr>
            </w:pPr>
            <w:r>
              <w:rPr>
                <w:rFonts w:ascii="Times New Roman" w:cs="Times New Roman" w:eastAsia="Times New Roman" w:hAnsi="Times New Roman"/>
                <w:sz w:val="19"/>
                <w:szCs w:val="19"/>
                <w:color w:val="231F20"/>
              </w:rPr>
              <w:t>Real Estate Fund</w:t>
            </w:r>
          </w:p>
        </w:tc>
        <w:tc>
          <w:tcPr>
            <w:tcW w:w="1260" w:type="dxa"/>
            <w:vAlign w:val="bottom"/>
            <w:tcBorders>
              <w:right w:val="single" w:sz="8" w:color="E6E7E8"/>
            </w:tcBorders>
            <w:gridSpan w:val="2"/>
            <w:shd w:val="clear" w:color="auto" w:fill="E6E7E8"/>
          </w:tcPr>
          <w:p>
            <w:pPr>
              <w:jc w:val="right"/>
              <w:ind w:right="180"/>
              <w:spacing w:after="0"/>
              <w:rPr>
                <w:sz w:val="20"/>
                <w:szCs w:val="20"/>
                <w:color w:val="auto"/>
              </w:rPr>
            </w:pPr>
            <w:r>
              <w:rPr>
                <w:rFonts w:ascii="Times New Roman" w:cs="Times New Roman" w:eastAsia="Times New Roman" w:hAnsi="Times New Roman"/>
                <w:sz w:val="19"/>
                <w:szCs w:val="19"/>
                <w:color w:val="231F20"/>
              </w:rPr>
              <w:t>6%</w:t>
            </w:r>
          </w:p>
        </w:tc>
        <w:tc>
          <w:tcPr>
            <w:tcW w:w="600" w:type="dxa"/>
            <w:vAlign w:val="bottom"/>
            <w:shd w:val="clear" w:color="auto" w:fill="E6E7E8"/>
          </w:tcPr>
          <w:p>
            <w:pPr>
              <w:spacing w:after="0"/>
              <w:rPr>
                <w:sz w:val="19"/>
                <w:szCs w:val="19"/>
                <w:color w:val="auto"/>
              </w:rPr>
            </w:pPr>
          </w:p>
        </w:tc>
        <w:tc>
          <w:tcPr>
            <w:tcW w:w="560" w:type="dxa"/>
            <w:vAlign w:val="bottom"/>
            <w:gridSpan w:val="2"/>
            <w:shd w:val="clear" w:color="auto" w:fill="E6E7E8"/>
          </w:tcPr>
          <w:p>
            <w:pPr>
              <w:jc w:val="right"/>
              <w:spacing w:after="0"/>
              <w:rPr>
                <w:sz w:val="20"/>
                <w:szCs w:val="20"/>
                <w:color w:val="auto"/>
              </w:rPr>
            </w:pPr>
            <w:r>
              <w:rPr>
                <w:rFonts w:ascii="Times New Roman" w:cs="Times New Roman" w:eastAsia="Times New Roman" w:hAnsi="Times New Roman"/>
                <w:sz w:val="19"/>
                <w:szCs w:val="19"/>
                <w:b w:val="1"/>
                <w:bCs w:val="1"/>
                <w:color w:val="231F20"/>
              </w:rPr>
              <w:t>6%</w:t>
            </w:r>
          </w:p>
        </w:tc>
        <w:tc>
          <w:tcPr>
            <w:tcW w:w="1300" w:type="dxa"/>
            <w:vAlign w:val="bottom"/>
            <w:gridSpan w:val="3"/>
            <w:shd w:val="clear" w:color="auto" w:fill="E6E7E8"/>
          </w:tcPr>
          <w:p>
            <w:pPr>
              <w:jc w:val="right"/>
              <w:ind w:right="160"/>
              <w:spacing w:after="0"/>
              <w:rPr>
                <w:sz w:val="20"/>
                <w:szCs w:val="20"/>
                <w:color w:val="auto"/>
              </w:rPr>
            </w:pPr>
            <w:r>
              <w:rPr>
                <w:rFonts w:ascii="Times New Roman" w:cs="Times New Roman" w:eastAsia="Times New Roman" w:hAnsi="Times New Roman"/>
                <w:sz w:val="19"/>
                <w:szCs w:val="19"/>
                <w:color w:val="231F20"/>
              </w:rPr>
              <w:t>5%</w:t>
            </w:r>
          </w:p>
        </w:tc>
        <w:tc>
          <w:tcPr>
            <w:tcW w:w="1140" w:type="dxa"/>
            <w:vAlign w:val="bottom"/>
            <w:gridSpan w:val="2"/>
            <w:shd w:val="clear" w:color="auto" w:fill="E6E7E8"/>
          </w:tcPr>
          <w:p>
            <w:pPr>
              <w:jc w:val="right"/>
              <w:ind w:right="40"/>
              <w:spacing w:after="0"/>
              <w:rPr>
                <w:sz w:val="20"/>
                <w:szCs w:val="20"/>
                <w:color w:val="auto"/>
              </w:rPr>
            </w:pPr>
            <w:r>
              <w:rPr>
                <w:rFonts w:ascii="Times New Roman" w:cs="Times New Roman" w:eastAsia="Times New Roman" w:hAnsi="Times New Roman"/>
                <w:sz w:val="19"/>
                <w:szCs w:val="19"/>
                <w:color w:val="231F20"/>
              </w:rPr>
              <w:t>6%</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4860" w:type="dxa"/>
            <w:vAlign w:val="bottom"/>
            <w:gridSpan w:val="3"/>
          </w:tcPr>
          <w:p>
            <w:pPr>
              <w:spacing w:after="0" w:line="218" w:lineRule="exact"/>
              <w:rPr>
                <w:sz w:val="20"/>
                <w:szCs w:val="20"/>
                <w:color w:val="auto"/>
              </w:rPr>
            </w:pPr>
            <w:r>
              <w:rPr>
                <w:rFonts w:ascii="Times New Roman" w:cs="Times New Roman" w:eastAsia="Times New Roman" w:hAnsi="Times New Roman"/>
                <w:sz w:val="19"/>
                <w:szCs w:val="19"/>
                <w:color w:val="231F20"/>
              </w:rPr>
              <w:t>Other</w:t>
            </w:r>
            <w:r>
              <w:rPr>
                <w:rFonts w:ascii="Times New Roman" w:cs="Times New Roman" w:eastAsia="Times New Roman" w:hAnsi="Times New Roman"/>
                <w:sz w:val="24"/>
                <w:szCs w:val="24"/>
                <w:color w:val="231F20"/>
                <w:vertAlign w:val="superscript"/>
              </w:rPr>
              <w:t>(1)</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9"/>
                <w:szCs w:val="19"/>
                <w:color w:val="231F20"/>
              </w:rPr>
              <w:t>—</w:t>
            </w:r>
          </w:p>
        </w:tc>
        <w:tc>
          <w:tcPr>
            <w:tcW w:w="6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231F20"/>
              </w:rPr>
              <w:t>1%</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231F20"/>
              </w:rPr>
              <w:t>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60" w:type="dxa"/>
            <w:vAlign w:val="bottom"/>
            <w:tcBorders>
              <w:right w:val="single" w:sz="8" w:color="E6E7E8"/>
            </w:tcBorders>
            <w:gridSpan w:val="3"/>
            <w:vMerge w:val="restart"/>
            <w:shd w:val="clear" w:color="auto" w:fill="E6E7E8"/>
          </w:tcPr>
          <w:p>
            <w:pPr>
              <w:ind w:left="200"/>
              <w:spacing w:after="0"/>
              <w:rPr>
                <w:sz w:val="20"/>
                <w:szCs w:val="20"/>
                <w:color w:val="auto"/>
              </w:rPr>
            </w:pPr>
            <w:r>
              <w:rPr>
                <w:rFonts w:ascii="Times New Roman" w:cs="Times New Roman" w:eastAsia="Times New Roman" w:hAnsi="Times New Roman"/>
                <w:sz w:val="19"/>
                <w:szCs w:val="19"/>
                <w:b w:val="1"/>
                <w:bCs w:val="1"/>
                <w:color w:val="231F20"/>
              </w:rPr>
              <w:t>Total</w:t>
            </w:r>
          </w:p>
        </w:tc>
        <w:tc>
          <w:tcPr>
            <w:tcW w:w="920" w:type="dxa"/>
            <w:vAlign w:val="bottom"/>
            <w:shd w:val="clear" w:color="auto" w:fill="E6E7E8"/>
          </w:tcPr>
          <w:p>
            <w:pPr>
              <w:spacing w:after="0" w:line="20" w:lineRule="exact"/>
              <w:rPr>
                <w:sz w:val="1"/>
                <w:szCs w:val="1"/>
                <w:color w:val="auto"/>
              </w:rPr>
            </w:pPr>
          </w:p>
        </w:tc>
        <w:tc>
          <w:tcPr>
            <w:tcW w:w="340" w:type="dxa"/>
            <w:vAlign w:val="bottom"/>
            <w:tcBorders>
              <w:right w:val="single" w:sz="8" w:color="231F20"/>
            </w:tcBorders>
            <w:shd w:val="clear" w:color="auto" w:fill="E6E7E8"/>
          </w:tcPr>
          <w:p>
            <w:pPr>
              <w:spacing w:after="0" w:line="20" w:lineRule="exact"/>
              <w:rPr>
                <w:sz w:val="1"/>
                <w:szCs w:val="1"/>
                <w:color w:val="auto"/>
              </w:rPr>
            </w:pPr>
          </w:p>
        </w:tc>
        <w:tc>
          <w:tcPr>
            <w:tcW w:w="600" w:type="dxa"/>
            <w:vAlign w:val="bottom"/>
            <w:shd w:val="clear" w:color="auto" w:fill="231F20"/>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shd w:val="clear" w:color="auto" w:fill="231F2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0" w:type="dxa"/>
            <w:vAlign w:val="bottom"/>
          </w:tcPr>
          <w:p>
            <w:pPr>
              <w:spacing w:after="0"/>
              <w:rPr>
                <w:sz w:val="20"/>
                <w:szCs w:val="20"/>
                <w:color w:val="auto"/>
              </w:rPr>
            </w:pPr>
          </w:p>
        </w:tc>
        <w:tc>
          <w:tcPr>
            <w:tcW w:w="4860" w:type="dxa"/>
            <w:vAlign w:val="bottom"/>
            <w:tcBorders>
              <w:right w:val="single" w:sz="8" w:color="E6E7E8"/>
            </w:tcBorders>
            <w:gridSpan w:val="3"/>
            <w:vMerge w:val="continue"/>
            <w:shd w:val="clear" w:color="auto" w:fill="E6E7E8"/>
          </w:tcPr>
          <w:p>
            <w:pPr>
              <w:spacing w:after="0"/>
              <w:rPr>
                <w:sz w:val="20"/>
                <w:szCs w:val="20"/>
                <w:color w:val="auto"/>
              </w:rPr>
            </w:pPr>
          </w:p>
        </w:tc>
        <w:tc>
          <w:tcPr>
            <w:tcW w:w="920" w:type="dxa"/>
            <w:vAlign w:val="bottom"/>
            <w:shd w:val="clear" w:color="auto" w:fill="E6E7E8"/>
          </w:tcPr>
          <w:p>
            <w:pPr>
              <w:spacing w:after="0"/>
              <w:rPr>
                <w:sz w:val="20"/>
                <w:szCs w:val="20"/>
                <w:color w:val="auto"/>
              </w:rPr>
            </w:pPr>
          </w:p>
        </w:tc>
        <w:tc>
          <w:tcPr>
            <w:tcW w:w="340" w:type="dxa"/>
            <w:vAlign w:val="bottom"/>
            <w:tcBorders>
              <w:right w:val="single" w:sz="8" w:color="E6E7E8"/>
            </w:tcBorders>
            <w:shd w:val="clear" w:color="auto" w:fill="E6E7E8"/>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gridSpan w:val="2"/>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100%</w:t>
            </w:r>
          </w:p>
        </w:tc>
        <w:tc>
          <w:tcPr>
            <w:tcW w:w="60" w:type="dxa"/>
            <w:vAlign w:val="bottom"/>
          </w:tcPr>
          <w:p>
            <w:pPr>
              <w:spacing w:after="0"/>
              <w:rPr>
                <w:sz w:val="20"/>
                <w:szCs w:val="20"/>
                <w:color w:val="auto"/>
              </w:rPr>
            </w:pPr>
          </w:p>
        </w:tc>
        <w:tc>
          <w:tcPr>
            <w:tcW w:w="1240" w:type="dxa"/>
            <w:vAlign w:val="bottom"/>
            <w:gridSpan w:val="2"/>
          </w:tcPr>
          <w:p>
            <w:pPr>
              <w:jc w:val="right"/>
              <w:ind w:right="160"/>
              <w:spacing w:after="0" w:line="214" w:lineRule="exact"/>
              <w:rPr>
                <w:sz w:val="20"/>
                <w:szCs w:val="20"/>
                <w:color w:val="auto"/>
              </w:rPr>
            </w:pPr>
            <w:r>
              <w:rPr>
                <w:rFonts w:ascii="Times New Roman" w:cs="Times New Roman" w:eastAsia="Times New Roman" w:hAnsi="Times New Roman"/>
                <w:sz w:val="19"/>
                <w:szCs w:val="19"/>
                <w:color w:val="231F20"/>
              </w:rPr>
              <w:t>100%</w:t>
            </w:r>
          </w:p>
        </w:tc>
        <w:tc>
          <w:tcPr>
            <w:tcW w:w="1140" w:type="dxa"/>
            <w:vAlign w:val="bottom"/>
            <w:gridSpan w:val="2"/>
          </w:tcPr>
          <w:p>
            <w:pPr>
              <w:jc w:val="right"/>
              <w:ind w:right="40"/>
              <w:spacing w:after="0" w:line="214" w:lineRule="exact"/>
              <w:rPr>
                <w:sz w:val="20"/>
                <w:szCs w:val="20"/>
                <w:color w:val="auto"/>
              </w:rPr>
            </w:pPr>
            <w:r>
              <w:rPr>
                <w:rFonts w:ascii="Times New Roman" w:cs="Times New Roman" w:eastAsia="Times New Roman" w:hAnsi="Times New Roman"/>
                <w:sz w:val="19"/>
                <w:szCs w:val="19"/>
                <w:color w:val="231F20"/>
              </w:rPr>
              <w:t>100%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00" w:type="dxa"/>
            <w:vAlign w:val="bottom"/>
            <w:tcBorders>
              <w:top w:val="single" w:sz="8" w:color="E6E7E8"/>
            </w:tcBorders>
          </w:tcPr>
          <w:p>
            <w:pPr>
              <w:spacing w:after="0" w:line="20" w:lineRule="exact"/>
              <w:rPr>
                <w:sz w:val="1"/>
                <w:szCs w:val="1"/>
                <w:color w:val="auto"/>
              </w:rPr>
            </w:pPr>
          </w:p>
        </w:tc>
        <w:tc>
          <w:tcPr>
            <w:tcW w:w="3620" w:type="dxa"/>
            <w:vAlign w:val="bottom"/>
            <w:tcBorders>
              <w:top w:val="single" w:sz="8" w:color="E6E7E8"/>
            </w:tcBorders>
          </w:tcPr>
          <w:p>
            <w:pPr>
              <w:spacing w:after="0" w:line="20" w:lineRule="exact"/>
              <w:rPr>
                <w:sz w:val="1"/>
                <w:szCs w:val="1"/>
                <w:color w:val="auto"/>
              </w:rPr>
            </w:pPr>
          </w:p>
        </w:tc>
        <w:tc>
          <w:tcPr>
            <w:tcW w:w="140" w:type="dxa"/>
            <w:vAlign w:val="bottom"/>
            <w:tcBorders>
              <w:top w:val="single" w:sz="8" w:color="E6E7E8"/>
            </w:tcBorders>
          </w:tcPr>
          <w:p>
            <w:pPr>
              <w:spacing w:after="0" w:line="20" w:lineRule="exact"/>
              <w:rPr>
                <w:sz w:val="1"/>
                <w:szCs w:val="1"/>
                <w:color w:val="auto"/>
              </w:rPr>
            </w:pPr>
          </w:p>
        </w:tc>
        <w:tc>
          <w:tcPr>
            <w:tcW w:w="920" w:type="dxa"/>
            <w:vAlign w:val="bottom"/>
            <w:tcBorders>
              <w:top w:val="single" w:sz="8" w:color="E6E7E8"/>
            </w:tcBorders>
          </w:tcPr>
          <w:p>
            <w:pPr>
              <w:spacing w:after="0" w:line="20" w:lineRule="exact"/>
              <w:rPr>
                <w:sz w:val="1"/>
                <w:szCs w:val="1"/>
                <w:color w:val="auto"/>
              </w:rPr>
            </w:pPr>
          </w:p>
        </w:tc>
        <w:tc>
          <w:tcPr>
            <w:tcW w:w="340" w:type="dxa"/>
            <w:vAlign w:val="bottom"/>
            <w:tcBorders>
              <w:top w:val="single" w:sz="8" w:color="E6E7E8"/>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40" w:type="dxa"/>
            <w:vAlign w:val="bottom"/>
            <w:tcBorders>
              <w:bottom w:val="single" w:sz="8" w:color="231F20"/>
            </w:tcBorders>
          </w:tcPr>
          <w:p>
            <w:pPr>
              <w:spacing w:after="0"/>
              <w:rPr>
                <w:sz w:val="9"/>
                <w:szCs w:val="9"/>
                <w:color w:val="auto"/>
              </w:rPr>
            </w:pPr>
          </w:p>
        </w:tc>
        <w:tc>
          <w:tcPr>
            <w:tcW w:w="1100" w:type="dxa"/>
            <w:vAlign w:val="bottom"/>
            <w:tcBorders>
              <w:bottom w:val="single" w:sz="8" w:color="231F20"/>
            </w:tcBorders>
          </w:tcPr>
          <w:p>
            <w:pPr>
              <w:spacing w:after="0"/>
              <w:rPr>
                <w:sz w:val="9"/>
                <w:szCs w:val="9"/>
                <w:color w:val="auto"/>
              </w:rPr>
            </w:pPr>
          </w:p>
        </w:tc>
        <w:tc>
          <w:tcPr>
            <w:tcW w:w="3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3418205</wp:posOffset>
                </wp:positionH>
                <wp:positionV relativeFrom="paragraph">
                  <wp:posOffset>-829945</wp:posOffset>
                </wp:positionV>
                <wp:extent cx="590550" cy="139065"/>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0550" cy="139065"/>
                        </a:xfrm>
                        <a:prstGeom prst="rect">
                          <a:avLst/>
                        </a:prstGeom>
                        <a:solidFill>
                          <a:srgbClr val="E6E7E8"/>
                        </a:solidFill>
                      </wps:spPr>
                      <wps:bodyPr/>
                    </wps:wsp>
                  </a:graphicData>
                </a:graphic>
              </wp:anchor>
            </w:drawing>
          </mc:Choice>
          <mc:Fallback>
            <w:pict>
              <v:rect id="Shape 107" o:spid="_x0000_s1132" style="position:absolute;margin-left:269.15pt;margin-top:-65.3499pt;width:46.5pt;height:1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4008755</wp:posOffset>
                </wp:positionH>
                <wp:positionV relativeFrom="paragraph">
                  <wp:posOffset>-839470</wp:posOffset>
                </wp:positionV>
                <wp:extent cx="201295" cy="14859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1295" cy="148590"/>
                        </a:xfrm>
                        <a:prstGeom prst="rect">
                          <a:avLst/>
                        </a:prstGeom>
                        <a:solidFill>
                          <a:srgbClr val="E6E7E8"/>
                        </a:solidFill>
                      </wps:spPr>
                      <wps:bodyPr/>
                    </wps:wsp>
                  </a:graphicData>
                </a:graphic>
              </wp:anchor>
            </w:drawing>
          </mc:Choice>
          <mc:Fallback>
            <w:pict>
              <v:rect id="Shape 108" o:spid="_x0000_s1133" style="position:absolute;margin-left:315.65pt;margin-top:-66.0999pt;width:15.85pt;height:11.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4210050</wp:posOffset>
                </wp:positionH>
                <wp:positionV relativeFrom="paragraph">
                  <wp:posOffset>-829945</wp:posOffset>
                </wp:positionV>
                <wp:extent cx="591185" cy="139065"/>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1185" cy="139065"/>
                        </a:xfrm>
                        <a:prstGeom prst="rect">
                          <a:avLst/>
                        </a:prstGeom>
                        <a:solidFill>
                          <a:srgbClr val="E6E7E8"/>
                        </a:solidFill>
                      </wps:spPr>
                      <wps:bodyPr/>
                    </wps:wsp>
                  </a:graphicData>
                </a:graphic>
              </wp:anchor>
            </w:drawing>
          </mc:Choice>
          <mc:Fallback>
            <w:pict>
              <v:rect id="Shape 109" o:spid="_x0000_s1134" style="position:absolute;margin-left:331.5pt;margin-top:-65.3499pt;width:46.55pt;height:1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4801235</wp:posOffset>
                </wp:positionH>
                <wp:positionV relativeFrom="paragraph">
                  <wp:posOffset>-839470</wp:posOffset>
                </wp:positionV>
                <wp:extent cx="201295" cy="14859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1295" cy="148590"/>
                        </a:xfrm>
                        <a:prstGeom prst="rect">
                          <a:avLst/>
                        </a:prstGeom>
                        <a:solidFill>
                          <a:srgbClr val="E6E7E8"/>
                        </a:solidFill>
                      </wps:spPr>
                      <wps:bodyPr/>
                    </wps:wsp>
                  </a:graphicData>
                </a:graphic>
              </wp:anchor>
            </w:drawing>
          </mc:Choice>
          <mc:Fallback>
            <w:pict>
              <v:rect id="Shape 110" o:spid="_x0000_s1135" style="position:absolute;margin-left:378.05pt;margin-top:-66.0999pt;width:15.85pt;height:11.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5002530</wp:posOffset>
                </wp:positionH>
                <wp:positionV relativeFrom="paragraph">
                  <wp:posOffset>-829945</wp:posOffset>
                </wp:positionV>
                <wp:extent cx="591185" cy="139065"/>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1185" cy="139065"/>
                        </a:xfrm>
                        <a:prstGeom prst="rect">
                          <a:avLst/>
                        </a:prstGeom>
                        <a:solidFill>
                          <a:srgbClr val="E6E7E8"/>
                        </a:solidFill>
                      </wps:spPr>
                      <wps:bodyPr/>
                    </wps:wsp>
                  </a:graphicData>
                </a:graphic>
              </wp:anchor>
            </w:drawing>
          </mc:Choice>
          <mc:Fallback>
            <w:pict>
              <v:rect id="Shape 111" o:spid="_x0000_s1136" style="position:absolute;margin-left:393.9pt;margin-top:-65.3499pt;width:46.55pt;height:1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5593715</wp:posOffset>
                </wp:positionH>
                <wp:positionV relativeFrom="paragraph">
                  <wp:posOffset>-839470</wp:posOffset>
                </wp:positionV>
                <wp:extent cx="201295" cy="14859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1295" cy="148590"/>
                        </a:xfrm>
                        <a:prstGeom prst="rect">
                          <a:avLst/>
                        </a:prstGeom>
                        <a:solidFill>
                          <a:srgbClr val="E6E7E8"/>
                        </a:solidFill>
                      </wps:spPr>
                      <wps:bodyPr/>
                    </wps:wsp>
                  </a:graphicData>
                </a:graphic>
              </wp:anchor>
            </w:drawing>
          </mc:Choice>
          <mc:Fallback>
            <w:pict>
              <v:rect id="Shape 112" o:spid="_x0000_s1137" style="position:absolute;margin-left:440.45pt;margin-top:-66.0999pt;width:15.85pt;height:11.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5795010</wp:posOffset>
                </wp:positionH>
                <wp:positionV relativeFrom="paragraph">
                  <wp:posOffset>-829945</wp:posOffset>
                </wp:positionV>
                <wp:extent cx="591185" cy="139065"/>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1185" cy="139065"/>
                        </a:xfrm>
                        <a:prstGeom prst="rect">
                          <a:avLst/>
                        </a:prstGeom>
                        <a:solidFill>
                          <a:srgbClr val="E6E7E8"/>
                        </a:solidFill>
                      </wps:spPr>
                      <wps:bodyPr/>
                    </wps:wsp>
                  </a:graphicData>
                </a:graphic>
              </wp:anchor>
            </w:drawing>
          </mc:Choice>
          <mc:Fallback>
            <w:pict>
              <v:rect id="Shape 113" o:spid="_x0000_s1138" style="position:absolute;margin-left:456.3pt;margin-top:-65.3499pt;width:46.55pt;height:1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4210050</wp:posOffset>
                </wp:positionH>
                <wp:positionV relativeFrom="paragraph">
                  <wp:posOffset>-265430</wp:posOffset>
                </wp:positionV>
                <wp:extent cx="591185" cy="13843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1185" cy="138430"/>
                        </a:xfrm>
                        <a:prstGeom prst="rect">
                          <a:avLst/>
                        </a:prstGeom>
                        <a:solidFill>
                          <a:srgbClr val="E6E7E8"/>
                        </a:solidFill>
                      </wps:spPr>
                      <wps:bodyPr/>
                    </wps:wsp>
                  </a:graphicData>
                </a:graphic>
              </wp:anchor>
            </w:drawing>
          </mc:Choice>
          <mc:Fallback>
            <w:pict>
              <v:rect id="Shape 114" o:spid="_x0000_s1139" style="position:absolute;margin-left:331.5pt;margin-top:-20.8999pt;width:46.55pt;height:10.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4801235</wp:posOffset>
                </wp:positionH>
                <wp:positionV relativeFrom="paragraph">
                  <wp:posOffset>-274955</wp:posOffset>
                </wp:positionV>
                <wp:extent cx="201295" cy="147955"/>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1295" cy="147955"/>
                        </a:xfrm>
                        <a:prstGeom prst="rect">
                          <a:avLst/>
                        </a:prstGeom>
                        <a:solidFill>
                          <a:srgbClr val="E6E7E8"/>
                        </a:solidFill>
                      </wps:spPr>
                      <wps:bodyPr/>
                    </wps:wsp>
                  </a:graphicData>
                </a:graphic>
              </wp:anchor>
            </w:drawing>
          </mc:Choice>
          <mc:Fallback>
            <w:pict>
              <v:rect id="Shape 115" o:spid="_x0000_s1140" style="position:absolute;margin-left:378.05pt;margin-top:-21.6499pt;width:15.8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5002530</wp:posOffset>
                </wp:positionH>
                <wp:positionV relativeFrom="paragraph">
                  <wp:posOffset>-265430</wp:posOffset>
                </wp:positionV>
                <wp:extent cx="591185" cy="13843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1185" cy="138430"/>
                        </a:xfrm>
                        <a:prstGeom prst="rect">
                          <a:avLst/>
                        </a:prstGeom>
                        <a:solidFill>
                          <a:srgbClr val="E6E7E8"/>
                        </a:solidFill>
                      </wps:spPr>
                      <wps:bodyPr/>
                    </wps:wsp>
                  </a:graphicData>
                </a:graphic>
              </wp:anchor>
            </w:drawing>
          </mc:Choice>
          <mc:Fallback>
            <w:pict>
              <v:rect id="Shape 116" o:spid="_x0000_s1141" style="position:absolute;margin-left:393.9pt;margin-top:-20.8999pt;width:46.55pt;height:10.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5593715</wp:posOffset>
                </wp:positionH>
                <wp:positionV relativeFrom="paragraph">
                  <wp:posOffset>-274955</wp:posOffset>
                </wp:positionV>
                <wp:extent cx="201295" cy="147955"/>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1295" cy="147955"/>
                        </a:xfrm>
                        <a:prstGeom prst="rect">
                          <a:avLst/>
                        </a:prstGeom>
                        <a:solidFill>
                          <a:srgbClr val="E6E7E8"/>
                        </a:solidFill>
                      </wps:spPr>
                      <wps:bodyPr/>
                    </wps:wsp>
                  </a:graphicData>
                </a:graphic>
              </wp:anchor>
            </w:drawing>
          </mc:Choice>
          <mc:Fallback>
            <w:pict>
              <v:rect id="Shape 117" o:spid="_x0000_s1142" style="position:absolute;margin-left:440.45pt;margin-top:-21.6499pt;width:15.8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5795010</wp:posOffset>
                </wp:positionH>
                <wp:positionV relativeFrom="paragraph">
                  <wp:posOffset>-265430</wp:posOffset>
                </wp:positionV>
                <wp:extent cx="591185" cy="13843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1185" cy="138430"/>
                        </a:xfrm>
                        <a:prstGeom prst="rect">
                          <a:avLst/>
                        </a:prstGeom>
                        <a:solidFill>
                          <a:srgbClr val="E6E7E8"/>
                        </a:solidFill>
                      </wps:spPr>
                      <wps:bodyPr/>
                    </wps:wsp>
                  </a:graphicData>
                </a:graphic>
              </wp:anchor>
            </w:drawing>
          </mc:Choice>
          <mc:Fallback>
            <w:pict>
              <v:rect id="Shape 118" o:spid="_x0000_s1143" style="position:absolute;margin-left:456.3pt;margin-top:-20.8999pt;width:46.55pt;height:10.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w:drawing>
          <wp:anchor simplePos="0" relativeHeight="251657728" behindDoc="1" locked="0" layoutInCell="0" allowOverlap="1">
            <wp:simplePos x="0" y="0"/>
            <wp:positionH relativeFrom="column">
              <wp:posOffset>4191635</wp:posOffset>
            </wp:positionH>
            <wp:positionV relativeFrom="paragraph">
              <wp:posOffset>-979805</wp:posOffset>
            </wp:positionV>
            <wp:extent cx="2213610"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56">
                      <a:extLst>
                        <a:ext uri="{28A0092B-C50C-407E-A947-70E740481C1C}"/>
                      </a:extLst>
                    </a:blip>
                    <a:srcRect/>
                    <a:stretch>
                      <a:fillRect/>
                    </a:stretch>
                  </pic:blipFill>
                  <pic:spPr bwMode="auto">
                    <a:xfrm>
                      <a:off x="0" y="0"/>
                      <a:ext cx="2213610" cy="38100"/>
                    </a:xfrm>
                    <a:prstGeom prst="rect">
                      <a:avLst/>
                    </a:prstGeom>
                    <a:noFill/>
                  </pic:spPr>
                </pic:pic>
              </a:graphicData>
            </a:graphic>
          </wp:anchor>
        </w:drawing>
      </w:r>
    </w:p>
    <w:p>
      <w:pPr>
        <w:spacing w:after="0" w:line="79" w:lineRule="exact"/>
        <w:rPr>
          <w:sz w:val="20"/>
          <w:szCs w:val="20"/>
          <w:color w:val="auto"/>
        </w:rPr>
      </w:pPr>
    </w:p>
    <w:p>
      <w:pPr>
        <w:ind w:left="1000" w:right="60" w:hanging="496"/>
        <w:spacing w:after="0" w:line="222" w:lineRule="auto"/>
        <w:tabs>
          <w:tab w:leader="none" w:pos="1000" w:val="left"/>
        </w:tabs>
        <w:numPr>
          <w:ilvl w:val="0"/>
          <w:numId w:val="27"/>
        </w:numPr>
        <w:rPr>
          <w:rFonts w:ascii="Times New Roman" w:cs="Times New Roman" w:eastAsia="Times New Roman" w:hAnsi="Times New Roman"/>
          <w:sz w:val="28"/>
          <w:szCs w:val="28"/>
          <w:color w:val="231F20"/>
          <w:vertAlign w:val="superscript"/>
        </w:rPr>
      </w:pPr>
      <w:r>
        <w:rPr>
          <w:rFonts w:ascii="Times New Roman" w:cs="Times New Roman" w:eastAsia="Times New Roman" w:hAnsi="Times New Roman"/>
          <w:sz w:val="21"/>
          <w:szCs w:val="21"/>
          <w:color w:val="231F20"/>
        </w:rPr>
        <w:t>Represents investments being held in cash equivalents as of December 31, 2025, December 31, 2024 and December 31, 2023 pending payment of benefits.</w:t>
      </w:r>
    </w:p>
    <w:p>
      <w:pPr>
        <w:spacing w:after="0" w:line="240"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4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231F20"/>
                <w:w w:val="99"/>
              </w:rPr>
              <w:t>Target</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Actual Allocation at</w:t>
            </w: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PBOP Plan</w:t>
            </w: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231F20"/>
                <w:w w:val="99"/>
              </w:rPr>
              <w:t>Allocation</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720" w:type="dxa"/>
            <w:vAlign w:val="bottom"/>
            <w:tcBorders>
              <w:top w:val="single" w:sz="8" w:color="231F20"/>
              <w:bottom w:val="single" w:sz="8" w:color="E6E7E8"/>
            </w:tcBorders>
          </w:tcPr>
          <w:p>
            <w:pPr>
              <w:spacing w:after="0"/>
              <w:rPr>
                <w:sz w:val="15"/>
                <w:szCs w:val="15"/>
                <w:color w:val="auto"/>
              </w:rPr>
            </w:pPr>
          </w:p>
        </w:tc>
        <w:tc>
          <w:tcPr>
            <w:tcW w:w="140" w:type="dxa"/>
            <w:vAlign w:val="bottom"/>
            <w:tcBorders>
              <w:bottom w:val="single" w:sz="8" w:color="E6E7E8"/>
            </w:tcBorders>
          </w:tcPr>
          <w:p>
            <w:pPr>
              <w:spacing w:after="0"/>
              <w:rPr>
                <w:sz w:val="15"/>
                <w:szCs w:val="15"/>
                <w:color w:val="auto"/>
              </w:rPr>
            </w:pPr>
          </w:p>
        </w:tc>
        <w:tc>
          <w:tcPr>
            <w:tcW w:w="920" w:type="dxa"/>
            <w:vAlign w:val="bottom"/>
            <w:tcBorders>
              <w:bottom w:val="single" w:sz="8" w:color="231F20"/>
            </w:tcBorders>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231F20"/>
                <w:w w:val="99"/>
              </w:rPr>
              <w:t>2026</w:t>
            </w:r>
          </w:p>
        </w:tc>
        <w:tc>
          <w:tcPr>
            <w:tcW w:w="340" w:type="dxa"/>
            <w:vAlign w:val="bottom"/>
          </w:tcPr>
          <w:p>
            <w:pPr>
              <w:spacing w:after="0"/>
              <w:rPr>
                <w:sz w:val="15"/>
                <w:szCs w:val="15"/>
                <w:color w:val="auto"/>
              </w:rPr>
            </w:pPr>
          </w:p>
        </w:tc>
        <w:tc>
          <w:tcPr>
            <w:tcW w:w="600" w:type="dxa"/>
            <w:vAlign w:val="bottom"/>
            <w:tcBorders>
              <w:bottom w:val="single" w:sz="8" w:color="231F20"/>
            </w:tcBorders>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231F20"/>
              </w:rPr>
              <w:t>2025</w:t>
            </w:r>
          </w:p>
        </w:tc>
        <w:tc>
          <w:tcPr>
            <w:tcW w:w="300" w:type="dxa"/>
            <w:vAlign w:val="bottom"/>
            <w:tcBorders>
              <w:bottom w:val="single" w:sz="8" w:color="231F20"/>
            </w:tcBorders>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Borders>
              <w:bottom w:val="single" w:sz="8" w:color="231F20"/>
            </w:tcBorders>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231F20"/>
                <w:w w:val="99"/>
              </w:rPr>
              <w:t>2024</w:t>
            </w:r>
          </w:p>
        </w:tc>
        <w:tc>
          <w:tcPr>
            <w:tcW w:w="320" w:type="dxa"/>
            <w:vAlign w:val="bottom"/>
          </w:tcPr>
          <w:p>
            <w:pPr>
              <w:spacing w:after="0"/>
              <w:rPr>
                <w:sz w:val="15"/>
                <w:szCs w:val="15"/>
                <w:color w:val="auto"/>
              </w:rPr>
            </w:pPr>
          </w:p>
        </w:tc>
        <w:tc>
          <w:tcPr>
            <w:tcW w:w="940" w:type="dxa"/>
            <w:vAlign w:val="bottom"/>
            <w:tcBorders>
              <w:bottom w:val="single" w:sz="8" w:color="231F20"/>
            </w:tcBorders>
          </w:tcPr>
          <w:p>
            <w:pPr>
              <w:jc w:val="right"/>
              <w:ind w:right="209"/>
              <w:spacing w:after="0" w:line="179" w:lineRule="exact"/>
              <w:rPr>
                <w:sz w:val="20"/>
                <w:szCs w:val="20"/>
                <w:color w:val="auto"/>
              </w:rPr>
            </w:pPr>
            <w:r>
              <w:rPr>
                <w:rFonts w:ascii="Times New Roman" w:cs="Times New Roman" w:eastAsia="Times New Roman" w:hAnsi="Times New Roman"/>
                <w:sz w:val="16"/>
                <w:szCs w:val="16"/>
                <w:b w:val="1"/>
                <w:bCs w:val="1"/>
                <w:color w:val="231F20"/>
              </w:rPr>
              <w:t>2023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860" w:type="dxa"/>
            <w:vAlign w:val="bottom"/>
            <w:tcBorders>
              <w:right w:val="single" w:sz="8" w:color="E6E7E8"/>
            </w:tcBorders>
            <w:gridSpan w:val="2"/>
            <w:shd w:val="clear" w:color="auto" w:fill="E6E7E8"/>
          </w:tcPr>
          <w:p>
            <w:pPr>
              <w:spacing w:after="0" w:line="214" w:lineRule="exact"/>
              <w:rPr>
                <w:sz w:val="20"/>
                <w:szCs w:val="20"/>
                <w:color w:val="auto"/>
              </w:rPr>
            </w:pPr>
            <w:r>
              <w:rPr>
                <w:rFonts w:ascii="Times New Roman" w:cs="Times New Roman" w:eastAsia="Times New Roman" w:hAnsi="Times New Roman"/>
                <w:sz w:val="19"/>
                <w:szCs w:val="19"/>
                <w:color w:val="231F20"/>
              </w:rPr>
              <w:t>Equity Funds</w:t>
            </w:r>
          </w:p>
        </w:tc>
        <w:tc>
          <w:tcPr>
            <w:tcW w:w="1260" w:type="dxa"/>
            <w:vAlign w:val="bottom"/>
            <w:gridSpan w:val="2"/>
          </w:tcPr>
          <w:p>
            <w:pPr>
              <w:jc w:val="right"/>
              <w:ind w:right="180"/>
              <w:spacing w:after="0" w:line="214" w:lineRule="exact"/>
              <w:rPr>
                <w:sz w:val="20"/>
                <w:szCs w:val="20"/>
                <w:color w:val="auto"/>
              </w:rPr>
            </w:pPr>
            <w:r>
              <w:rPr>
                <w:rFonts w:ascii="Times New Roman" w:cs="Times New Roman" w:eastAsia="Times New Roman" w:hAnsi="Times New Roman"/>
                <w:sz w:val="19"/>
                <w:szCs w:val="19"/>
                <w:color w:val="231F20"/>
              </w:rPr>
              <w:t>55%</w:t>
            </w:r>
          </w:p>
        </w:tc>
        <w:tc>
          <w:tcPr>
            <w:tcW w:w="600" w:type="dxa"/>
            <w:vAlign w:val="bottom"/>
          </w:tcPr>
          <w:p>
            <w:pPr>
              <w:spacing w:after="0"/>
              <w:rPr>
                <w:sz w:val="18"/>
                <w:szCs w:val="18"/>
                <w:color w:val="auto"/>
              </w:rPr>
            </w:pPr>
          </w:p>
        </w:tc>
        <w:tc>
          <w:tcPr>
            <w:tcW w:w="560" w:type="dxa"/>
            <w:vAlign w:val="bottom"/>
            <w:gridSpan w:val="2"/>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56%</w:t>
            </w:r>
          </w:p>
        </w:tc>
        <w:tc>
          <w:tcPr>
            <w:tcW w:w="60" w:type="dxa"/>
            <w:vAlign w:val="bottom"/>
          </w:tcPr>
          <w:p>
            <w:pPr>
              <w:spacing w:after="0"/>
              <w:rPr>
                <w:sz w:val="18"/>
                <w:szCs w:val="18"/>
                <w:color w:val="auto"/>
              </w:rPr>
            </w:pPr>
          </w:p>
        </w:tc>
        <w:tc>
          <w:tcPr>
            <w:tcW w:w="1240" w:type="dxa"/>
            <w:vAlign w:val="bottom"/>
            <w:gridSpan w:val="2"/>
          </w:tcPr>
          <w:p>
            <w:pPr>
              <w:jc w:val="right"/>
              <w:ind w:right="160"/>
              <w:spacing w:after="0" w:line="214" w:lineRule="exact"/>
              <w:rPr>
                <w:sz w:val="20"/>
                <w:szCs w:val="20"/>
                <w:color w:val="auto"/>
              </w:rPr>
            </w:pPr>
            <w:r>
              <w:rPr>
                <w:rFonts w:ascii="Times New Roman" w:cs="Times New Roman" w:eastAsia="Times New Roman" w:hAnsi="Times New Roman"/>
                <w:sz w:val="19"/>
                <w:szCs w:val="19"/>
                <w:color w:val="231F20"/>
              </w:rPr>
              <w:t>56%</w:t>
            </w:r>
          </w:p>
        </w:tc>
        <w:tc>
          <w:tcPr>
            <w:tcW w:w="1140" w:type="dxa"/>
            <w:vAlign w:val="bottom"/>
            <w:gridSpan w:val="2"/>
          </w:tcPr>
          <w:p>
            <w:pPr>
              <w:jc w:val="right"/>
              <w:ind w:right="40"/>
              <w:spacing w:after="0" w:line="214" w:lineRule="exact"/>
              <w:rPr>
                <w:sz w:val="20"/>
                <w:szCs w:val="20"/>
                <w:color w:val="auto"/>
              </w:rPr>
            </w:pPr>
            <w:r>
              <w:rPr>
                <w:rFonts w:ascii="Times New Roman" w:cs="Times New Roman" w:eastAsia="Times New Roman" w:hAnsi="Times New Roman"/>
                <w:sz w:val="19"/>
                <w:szCs w:val="19"/>
                <w:color w:val="231F20"/>
              </w:rPr>
              <w:t>56%</w:t>
            </w:r>
          </w:p>
        </w:tc>
        <w:tc>
          <w:tcPr>
            <w:tcW w:w="0" w:type="dxa"/>
            <w:vAlign w:val="bottom"/>
          </w:tcPr>
          <w:p>
            <w:pPr>
              <w:spacing w:after="0"/>
              <w:rPr>
                <w:sz w:val="1"/>
                <w:szCs w:val="1"/>
                <w:color w:val="auto"/>
              </w:rPr>
            </w:pPr>
          </w:p>
        </w:tc>
      </w:tr>
      <w:tr>
        <w:trPr>
          <w:trHeight w:val="218"/>
        </w:trPr>
        <w:tc>
          <w:tcPr>
            <w:tcW w:w="486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Debt Funds</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231F20"/>
              </w:rPr>
              <w:t>45%</w:t>
            </w:r>
          </w:p>
        </w:tc>
        <w:tc>
          <w:tcPr>
            <w:tcW w:w="6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231F20"/>
              </w:rPr>
              <w:t>44%</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231F20"/>
              </w:rPr>
              <w:t>44%</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231F20"/>
              </w:rPr>
              <w:t>44%</w:t>
            </w:r>
          </w:p>
        </w:tc>
        <w:tc>
          <w:tcPr>
            <w:tcW w:w="0" w:type="dxa"/>
            <w:vAlign w:val="bottom"/>
          </w:tcPr>
          <w:p>
            <w:pPr>
              <w:spacing w:after="0"/>
              <w:rPr>
                <w:sz w:val="1"/>
                <w:szCs w:val="1"/>
                <w:color w:val="auto"/>
              </w:rPr>
            </w:pPr>
          </w:p>
        </w:tc>
      </w:tr>
      <w:tr>
        <w:trPr>
          <w:trHeight w:val="20"/>
        </w:trPr>
        <w:tc>
          <w:tcPr>
            <w:tcW w:w="4860" w:type="dxa"/>
            <w:vAlign w:val="bottom"/>
            <w:tcBorders>
              <w:right w:val="single" w:sz="8" w:color="E6E7E8"/>
            </w:tcBorders>
            <w:gridSpan w:val="2"/>
            <w:vMerge w:val="restart"/>
            <w:shd w:val="clear" w:color="auto" w:fill="E6E7E8"/>
          </w:tcPr>
          <w:p>
            <w:pPr>
              <w:ind w:left="200"/>
              <w:spacing w:after="0"/>
              <w:rPr>
                <w:sz w:val="20"/>
                <w:szCs w:val="20"/>
                <w:color w:val="auto"/>
              </w:rPr>
            </w:pPr>
            <w:r>
              <w:rPr>
                <w:rFonts w:ascii="Times New Roman" w:cs="Times New Roman" w:eastAsia="Times New Roman" w:hAnsi="Times New Roman"/>
                <w:sz w:val="19"/>
                <w:szCs w:val="19"/>
                <w:b w:val="1"/>
                <w:bCs w:val="1"/>
                <w:color w:val="231F20"/>
              </w:rPr>
              <w:t>Total</w:t>
            </w:r>
          </w:p>
        </w:tc>
        <w:tc>
          <w:tcPr>
            <w:tcW w:w="920" w:type="dxa"/>
            <w:vAlign w:val="bottom"/>
            <w:shd w:val="clear" w:color="auto" w:fill="E6E7E8"/>
          </w:tcPr>
          <w:p>
            <w:pPr>
              <w:spacing w:after="0" w:line="20" w:lineRule="exact"/>
              <w:rPr>
                <w:sz w:val="1"/>
                <w:szCs w:val="1"/>
                <w:color w:val="auto"/>
              </w:rPr>
            </w:pPr>
          </w:p>
        </w:tc>
        <w:tc>
          <w:tcPr>
            <w:tcW w:w="340" w:type="dxa"/>
            <w:vAlign w:val="bottom"/>
            <w:tcBorders>
              <w:right w:val="single" w:sz="8" w:color="231F20"/>
            </w:tcBorders>
            <w:shd w:val="clear" w:color="auto" w:fill="E6E7E8"/>
          </w:tcPr>
          <w:p>
            <w:pPr>
              <w:spacing w:after="0" w:line="20" w:lineRule="exact"/>
              <w:rPr>
                <w:sz w:val="1"/>
                <w:szCs w:val="1"/>
                <w:color w:val="auto"/>
              </w:rPr>
            </w:pPr>
          </w:p>
        </w:tc>
        <w:tc>
          <w:tcPr>
            <w:tcW w:w="600" w:type="dxa"/>
            <w:vAlign w:val="bottom"/>
            <w:shd w:val="clear" w:color="auto" w:fill="231F20"/>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shd w:val="clear" w:color="auto" w:fill="231F2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860" w:type="dxa"/>
            <w:vAlign w:val="bottom"/>
            <w:tcBorders>
              <w:right w:val="single" w:sz="8" w:color="E6E7E8"/>
            </w:tcBorders>
            <w:gridSpan w:val="2"/>
            <w:vMerge w:val="continue"/>
            <w:shd w:val="clear" w:color="auto" w:fill="E6E7E8"/>
          </w:tcPr>
          <w:p>
            <w:pPr>
              <w:spacing w:after="0"/>
              <w:rPr>
                <w:sz w:val="20"/>
                <w:szCs w:val="20"/>
                <w:color w:val="auto"/>
              </w:rPr>
            </w:pPr>
          </w:p>
        </w:tc>
        <w:tc>
          <w:tcPr>
            <w:tcW w:w="920" w:type="dxa"/>
            <w:vAlign w:val="bottom"/>
            <w:shd w:val="clear" w:color="auto" w:fill="E6E7E8"/>
          </w:tcPr>
          <w:p>
            <w:pPr>
              <w:spacing w:after="0"/>
              <w:rPr>
                <w:sz w:val="20"/>
                <w:szCs w:val="20"/>
                <w:color w:val="auto"/>
              </w:rPr>
            </w:pPr>
          </w:p>
        </w:tc>
        <w:tc>
          <w:tcPr>
            <w:tcW w:w="340" w:type="dxa"/>
            <w:vAlign w:val="bottom"/>
            <w:tcBorders>
              <w:right w:val="single" w:sz="8" w:color="E6E7E8"/>
            </w:tcBorders>
            <w:shd w:val="clear" w:color="auto" w:fill="E6E7E8"/>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gridSpan w:val="2"/>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100%</w:t>
            </w:r>
          </w:p>
        </w:tc>
        <w:tc>
          <w:tcPr>
            <w:tcW w:w="60" w:type="dxa"/>
            <w:vAlign w:val="bottom"/>
          </w:tcPr>
          <w:p>
            <w:pPr>
              <w:spacing w:after="0"/>
              <w:rPr>
                <w:sz w:val="20"/>
                <w:szCs w:val="20"/>
                <w:color w:val="auto"/>
              </w:rPr>
            </w:pPr>
          </w:p>
        </w:tc>
        <w:tc>
          <w:tcPr>
            <w:tcW w:w="1240" w:type="dxa"/>
            <w:vAlign w:val="bottom"/>
            <w:gridSpan w:val="2"/>
          </w:tcPr>
          <w:p>
            <w:pPr>
              <w:jc w:val="right"/>
              <w:ind w:right="160"/>
              <w:spacing w:after="0" w:line="214" w:lineRule="exact"/>
              <w:rPr>
                <w:sz w:val="20"/>
                <w:szCs w:val="20"/>
                <w:color w:val="auto"/>
              </w:rPr>
            </w:pPr>
            <w:r>
              <w:rPr>
                <w:rFonts w:ascii="Times New Roman" w:cs="Times New Roman" w:eastAsia="Times New Roman" w:hAnsi="Times New Roman"/>
                <w:sz w:val="19"/>
                <w:szCs w:val="19"/>
                <w:color w:val="231F20"/>
              </w:rPr>
              <w:t>100%</w:t>
            </w:r>
          </w:p>
        </w:tc>
        <w:tc>
          <w:tcPr>
            <w:tcW w:w="1140" w:type="dxa"/>
            <w:vAlign w:val="bottom"/>
            <w:gridSpan w:val="2"/>
          </w:tcPr>
          <w:p>
            <w:pPr>
              <w:jc w:val="right"/>
              <w:ind w:right="40"/>
              <w:spacing w:after="0" w:line="214" w:lineRule="exact"/>
              <w:rPr>
                <w:sz w:val="20"/>
                <w:szCs w:val="20"/>
                <w:color w:val="auto"/>
              </w:rPr>
            </w:pPr>
            <w:r>
              <w:rPr>
                <w:rFonts w:ascii="Times New Roman" w:cs="Times New Roman" w:eastAsia="Times New Roman" w:hAnsi="Times New Roman"/>
                <w:sz w:val="19"/>
                <w:szCs w:val="19"/>
                <w:color w:val="231F20"/>
              </w:rPr>
              <w:t>100%</w:t>
            </w:r>
          </w:p>
        </w:tc>
        <w:tc>
          <w:tcPr>
            <w:tcW w:w="0" w:type="dxa"/>
            <w:vAlign w:val="bottom"/>
          </w:tcPr>
          <w:p>
            <w:pPr>
              <w:spacing w:after="0"/>
              <w:rPr>
                <w:sz w:val="1"/>
                <w:szCs w:val="1"/>
                <w:color w:val="auto"/>
              </w:rPr>
            </w:pPr>
          </w:p>
        </w:tc>
      </w:tr>
      <w:tr>
        <w:trPr>
          <w:trHeight w:val="20"/>
        </w:trPr>
        <w:tc>
          <w:tcPr>
            <w:tcW w:w="4720" w:type="dxa"/>
            <w:vAlign w:val="bottom"/>
            <w:tcBorders>
              <w:top w:val="single" w:sz="8" w:color="E6E7E8"/>
            </w:tcBorders>
          </w:tcPr>
          <w:p>
            <w:pPr>
              <w:spacing w:after="0" w:line="20" w:lineRule="exact"/>
              <w:rPr>
                <w:sz w:val="1"/>
                <w:szCs w:val="1"/>
                <w:color w:val="auto"/>
              </w:rPr>
            </w:pPr>
          </w:p>
        </w:tc>
        <w:tc>
          <w:tcPr>
            <w:tcW w:w="140" w:type="dxa"/>
            <w:vAlign w:val="bottom"/>
            <w:tcBorders>
              <w:top w:val="single" w:sz="8" w:color="E6E7E8"/>
            </w:tcBorders>
          </w:tcPr>
          <w:p>
            <w:pPr>
              <w:spacing w:after="0" w:line="20" w:lineRule="exact"/>
              <w:rPr>
                <w:sz w:val="1"/>
                <w:szCs w:val="1"/>
                <w:color w:val="auto"/>
              </w:rPr>
            </w:pPr>
          </w:p>
        </w:tc>
        <w:tc>
          <w:tcPr>
            <w:tcW w:w="920" w:type="dxa"/>
            <w:vAlign w:val="bottom"/>
            <w:tcBorders>
              <w:top w:val="single" w:sz="8" w:color="E6E7E8"/>
            </w:tcBorders>
          </w:tcPr>
          <w:p>
            <w:pPr>
              <w:spacing w:after="0" w:line="20" w:lineRule="exact"/>
              <w:rPr>
                <w:sz w:val="1"/>
                <w:szCs w:val="1"/>
                <w:color w:val="auto"/>
              </w:rPr>
            </w:pPr>
          </w:p>
        </w:tc>
        <w:tc>
          <w:tcPr>
            <w:tcW w:w="340" w:type="dxa"/>
            <w:vAlign w:val="bottom"/>
            <w:tcBorders>
              <w:top w:val="single" w:sz="8" w:color="E6E7E8"/>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3418205</wp:posOffset>
                </wp:positionH>
                <wp:positionV relativeFrom="paragraph">
                  <wp:posOffset>-454025</wp:posOffset>
                </wp:positionV>
                <wp:extent cx="590550" cy="139065"/>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0550" cy="139065"/>
                        </a:xfrm>
                        <a:prstGeom prst="rect">
                          <a:avLst/>
                        </a:prstGeom>
                        <a:solidFill>
                          <a:srgbClr val="E6E7E8"/>
                        </a:solidFill>
                      </wps:spPr>
                      <wps:bodyPr/>
                    </wps:wsp>
                  </a:graphicData>
                </a:graphic>
              </wp:anchor>
            </w:drawing>
          </mc:Choice>
          <mc:Fallback>
            <w:pict>
              <v:rect id="Shape 120" o:spid="_x0000_s1145" style="position:absolute;margin-left:269.15pt;margin-top:-35.7499pt;width:46.5pt;height:1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4008755</wp:posOffset>
                </wp:positionH>
                <wp:positionV relativeFrom="paragraph">
                  <wp:posOffset>-463550</wp:posOffset>
                </wp:positionV>
                <wp:extent cx="201295" cy="14859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1295" cy="148590"/>
                        </a:xfrm>
                        <a:prstGeom prst="rect">
                          <a:avLst/>
                        </a:prstGeom>
                        <a:solidFill>
                          <a:srgbClr val="E6E7E8"/>
                        </a:solidFill>
                      </wps:spPr>
                      <wps:bodyPr/>
                    </wps:wsp>
                  </a:graphicData>
                </a:graphic>
              </wp:anchor>
            </w:drawing>
          </mc:Choice>
          <mc:Fallback>
            <w:pict>
              <v:rect id="Shape 121" o:spid="_x0000_s1146" style="position:absolute;margin-left:315.65pt;margin-top:-36.4999pt;width:15.85pt;height:11.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4210050</wp:posOffset>
                </wp:positionH>
                <wp:positionV relativeFrom="paragraph">
                  <wp:posOffset>-454025</wp:posOffset>
                </wp:positionV>
                <wp:extent cx="591185" cy="139065"/>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1185" cy="139065"/>
                        </a:xfrm>
                        <a:prstGeom prst="rect">
                          <a:avLst/>
                        </a:prstGeom>
                        <a:solidFill>
                          <a:srgbClr val="E6E7E8"/>
                        </a:solidFill>
                      </wps:spPr>
                      <wps:bodyPr/>
                    </wps:wsp>
                  </a:graphicData>
                </a:graphic>
              </wp:anchor>
            </w:drawing>
          </mc:Choice>
          <mc:Fallback>
            <w:pict>
              <v:rect id="Shape 122" o:spid="_x0000_s1147" style="position:absolute;margin-left:331.5pt;margin-top:-35.7499pt;width:46.55pt;height:1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4801235</wp:posOffset>
                </wp:positionH>
                <wp:positionV relativeFrom="paragraph">
                  <wp:posOffset>-463550</wp:posOffset>
                </wp:positionV>
                <wp:extent cx="201295" cy="14859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1295" cy="148590"/>
                        </a:xfrm>
                        <a:prstGeom prst="rect">
                          <a:avLst/>
                        </a:prstGeom>
                        <a:solidFill>
                          <a:srgbClr val="E6E7E8"/>
                        </a:solidFill>
                      </wps:spPr>
                      <wps:bodyPr/>
                    </wps:wsp>
                  </a:graphicData>
                </a:graphic>
              </wp:anchor>
            </w:drawing>
          </mc:Choice>
          <mc:Fallback>
            <w:pict>
              <v:rect id="Shape 123" o:spid="_x0000_s1148" style="position:absolute;margin-left:378.05pt;margin-top:-36.4999pt;width:15.85pt;height:11.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5002530</wp:posOffset>
                </wp:positionH>
                <wp:positionV relativeFrom="paragraph">
                  <wp:posOffset>-454025</wp:posOffset>
                </wp:positionV>
                <wp:extent cx="591185" cy="139065"/>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1185" cy="139065"/>
                        </a:xfrm>
                        <a:prstGeom prst="rect">
                          <a:avLst/>
                        </a:prstGeom>
                        <a:solidFill>
                          <a:srgbClr val="E6E7E8"/>
                        </a:solidFill>
                      </wps:spPr>
                      <wps:bodyPr/>
                    </wps:wsp>
                  </a:graphicData>
                </a:graphic>
              </wp:anchor>
            </w:drawing>
          </mc:Choice>
          <mc:Fallback>
            <w:pict>
              <v:rect id="Shape 124" o:spid="_x0000_s1149" style="position:absolute;margin-left:393.9pt;margin-top:-35.7499pt;width:46.55pt;height:1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5593715</wp:posOffset>
                </wp:positionH>
                <wp:positionV relativeFrom="paragraph">
                  <wp:posOffset>-463550</wp:posOffset>
                </wp:positionV>
                <wp:extent cx="201295" cy="14859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1295" cy="148590"/>
                        </a:xfrm>
                        <a:prstGeom prst="rect">
                          <a:avLst/>
                        </a:prstGeom>
                        <a:solidFill>
                          <a:srgbClr val="E6E7E8"/>
                        </a:solidFill>
                      </wps:spPr>
                      <wps:bodyPr/>
                    </wps:wsp>
                  </a:graphicData>
                </a:graphic>
              </wp:anchor>
            </w:drawing>
          </mc:Choice>
          <mc:Fallback>
            <w:pict>
              <v:rect id="Shape 125" o:spid="_x0000_s1150" style="position:absolute;margin-left:440.45pt;margin-top:-36.4999pt;width:15.85pt;height:11.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5795010</wp:posOffset>
                </wp:positionH>
                <wp:positionV relativeFrom="paragraph">
                  <wp:posOffset>-454025</wp:posOffset>
                </wp:positionV>
                <wp:extent cx="591185" cy="139065"/>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1185" cy="139065"/>
                        </a:xfrm>
                        <a:prstGeom prst="rect">
                          <a:avLst/>
                        </a:prstGeom>
                        <a:solidFill>
                          <a:srgbClr val="E6E7E8"/>
                        </a:solidFill>
                      </wps:spPr>
                      <wps:bodyPr/>
                    </wps:wsp>
                  </a:graphicData>
                </a:graphic>
              </wp:anchor>
            </w:drawing>
          </mc:Choice>
          <mc:Fallback>
            <w:pict>
              <v:rect id="Shape 126" o:spid="_x0000_s1151" style="position:absolute;margin-left:456.3pt;margin-top:-35.7499pt;width:46.55pt;height:1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4210050</wp:posOffset>
                </wp:positionH>
                <wp:positionV relativeFrom="paragraph">
                  <wp:posOffset>-167005</wp:posOffset>
                </wp:positionV>
                <wp:extent cx="591185" cy="139065"/>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1185" cy="139065"/>
                        </a:xfrm>
                        <a:prstGeom prst="rect">
                          <a:avLst/>
                        </a:prstGeom>
                        <a:solidFill>
                          <a:srgbClr val="E6E7E8"/>
                        </a:solidFill>
                      </wps:spPr>
                      <wps:bodyPr/>
                    </wps:wsp>
                  </a:graphicData>
                </a:graphic>
              </wp:anchor>
            </w:drawing>
          </mc:Choice>
          <mc:Fallback>
            <w:pict>
              <v:rect id="Shape 127" o:spid="_x0000_s1152" style="position:absolute;margin-left:331.5pt;margin-top:-13.1499pt;width:46.55pt;height:1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4801235</wp:posOffset>
                </wp:positionH>
                <wp:positionV relativeFrom="paragraph">
                  <wp:posOffset>-176530</wp:posOffset>
                </wp:positionV>
                <wp:extent cx="201295" cy="14859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1295" cy="148590"/>
                        </a:xfrm>
                        <a:prstGeom prst="rect">
                          <a:avLst/>
                        </a:prstGeom>
                        <a:solidFill>
                          <a:srgbClr val="E6E7E8"/>
                        </a:solidFill>
                      </wps:spPr>
                      <wps:bodyPr/>
                    </wps:wsp>
                  </a:graphicData>
                </a:graphic>
              </wp:anchor>
            </w:drawing>
          </mc:Choice>
          <mc:Fallback>
            <w:pict>
              <v:rect id="Shape 128" o:spid="_x0000_s1153" style="position:absolute;margin-left:378.05pt;margin-top:-13.8999pt;width:15.85pt;height:11.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5002530</wp:posOffset>
                </wp:positionH>
                <wp:positionV relativeFrom="paragraph">
                  <wp:posOffset>-167005</wp:posOffset>
                </wp:positionV>
                <wp:extent cx="591185" cy="139065"/>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1185" cy="139065"/>
                        </a:xfrm>
                        <a:prstGeom prst="rect">
                          <a:avLst/>
                        </a:prstGeom>
                        <a:solidFill>
                          <a:srgbClr val="E6E7E8"/>
                        </a:solidFill>
                      </wps:spPr>
                      <wps:bodyPr/>
                    </wps:wsp>
                  </a:graphicData>
                </a:graphic>
              </wp:anchor>
            </w:drawing>
          </mc:Choice>
          <mc:Fallback>
            <w:pict>
              <v:rect id="Shape 129" o:spid="_x0000_s1154" style="position:absolute;margin-left:393.9pt;margin-top:-13.1499pt;width:46.55pt;height:1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5593715</wp:posOffset>
                </wp:positionH>
                <wp:positionV relativeFrom="paragraph">
                  <wp:posOffset>-176530</wp:posOffset>
                </wp:positionV>
                <wp:extent cx="201295" cy="14859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1295" cy="148590"/>
                        </a:xfrm>
                        <a:prstGeom prst="rect">
                          <a:avLst/>
                        </a:prstGeom>
                        <a:solidFill>
                          <a:srgbClr val="E6E7E8"/>
                        </a:solidFill>
                      </wps:spPr>
                      <wps:bodyPr/>
                    </wps:wsp>
                  </a:graphicData>
                </a:graphic>
              </wp:anchor>
            </w:drawing>
          </mc:Choice>
          <mc:Fallback>
            <w:pict>
              <v:rect id="Shape 130" o:spid="_x0000_s1155" style="position:absolute;margin-left:440.45pt;margin-top:-13.8999pt;width:15.85pt;height:11.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5795010</wp:posOffset>
                </wp:positionH>
                <wp:positionV relativeFrom="paragraph">
                  <wp:posOffset>-167005</wp:posOffset>
                </wp:positionV>
                <wp:extent cx="591185" cy="139065"/>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1185" cy="139065"/>
                        </a:xfrm>
                        <a:prstGeom prst="rect">
                          <a:avLst/>
                        </a:prstGeom>
                        <a:solidFill>
                          <a:srgbClr val="E6E7E8"/>
                        </a:solidFill>
                      </wps:spPr>
                      <wps:bodyPr/>
                    </wps:wsp>
                  </a:graphicData>
                </a:graphic>
              </wp:anchor>
            </w:drawing>
          </mc:Choice>
          <mc:Fallback>
            <w:pict>
              <v:rect id="Shape 131" o:spid="_x0000_s1156" style="position:absolute;margin-left:456.3pt;margin-top:-13.1499pt;width:46.55pt;height:1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w:drawing>
          <wp:anchor simplePos="0" relativeHeight="251657728" behindDoc="1" locked="0" layoutInCell="0" allowOverlap="1">
            <wp:simplePos x="0" y="0"/>
            <wp:positionH relativeFrom="column">
              <wp:posOffset>4191635</wp:posOffset>
            </wp:positionH>
            <wp:positionV relativeFrom="paragraph">
              <wp:posOffset>-603885</wp:posOffset>
            </wp:positionV>
            <wp:extent cx="2213610"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57">
                      <a:extLst>
                        <a:ext uri="{28A0092B-C50C-407E-A947-70E740481C1C}"/>
                      </a:extLst>
                    </a:blip>
                    <a:srcRect/>
                    <a:stretch>
                      <a:fillRect/>
                    </a:stretch>
                  </pic:blipFill>
                  <pic:spPr bwMode="auto">
                    <a:xfrm>
                      <a:off x="0" y="0"/>
                      <a:ext cx="2213610" cy="38100"/>
                    </a:xfrm>
                    <a:prstGeom prst="rect">
                      <a:avLst/>
                    </a:prstGeom>
                    <a:noFill/>
                  </pic:spPr>
                </pic:pic>
              </a:graphicData>
            </a:graphic>
          </wp:anchor>
        </w:drawing>
      </w:r>
    </w:p>
    <w:p>
      <w:pPr>
        <w:spacing w:after="0" w:line="235" w:lineRule="exact"/>
        <w:rPr>
          <w:sz w:val="20"/>
          <w:szCs w:val="20"/>
          <w:color w:val="auto"/>
        </w:rPr>
      </w:pPr>
    </w:p>
    <w:p>
      <w:pPr>
        <w:ind w:right="80" w:firstLine="612"/>
        <w:spacing w:after="0" w:line="249" w:lineRule="auto"/>
        <w:rPr>
          <w:sz w:val="20"/>
          <w:szCs w:val="20"/>
          <w:color w:val="auto"/>
        </w:rPr>
      </w:pPr>
      <w:r>
        <w:rPr>
          <w:rFonts w:ascii="Times New Roman" w:cs="Times New Roman" w:eastAsia="Times New Roman" w:hAnsi="Times New Roman"/>
          <w:sz w:val="21"/>
          <w:szCs w:val="21"/>
          <w:color w:val="231F20"/>
        </w:rPr>
        <w:t>The combination of these target allocations and expected returns resulted in the overall assumed long-term rate of return of 7.50% for 2025. The Company evaluates the actuarial assumptions, including the expected rate of return, at least annually. The primary financial objective of the plans is to earn their expected long-term returns without assuming undue risks of funded status volatility. The target rate of return for the Plans has been based upon an analysis of historical returns supplemented with an economic and structural review for each asset class.</w:t>
      </w:r>
    </w:p>
    <w:p>
      <w:pPr>
        <w:sectPr>
          <w:pgSz w:w="12240" w:h="15840" w:orient="portrait"/>
          <w:cols w:equalWidth="0" w:num="1">
            <w:col w:w="10800"/>
          </w:cols>
          <w:pgMar w:left="720" w:top="928" w:right="720" w:bottom="188" w:gutter="0" w:footer="0" w:header="0"/>
        </w:sect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89</w:t>
      </w:r>
    </w:p>
    <w:p>
      <w:pPr>
        <w:sectPr>
          <w:pgSz w:w="12240" w:h="15840" w:orient="portrait"/>
          <w:cols w:equalWidth="0" w:num="1">
            <w:col w:w="10800"/>
          </w:cols>
          <w:pgMar w:left="720" w:top="928" w:right="720" w:bottom="188" w:gutter="0" w:footer="0" w:header="0"/>
          <w:type w:val="continuous"/>
        </w:sectPr>
      </w:pPr>
    </w:p>
    <w:bookmarkStart w:id="109" w:name="page110"/>
    <w:bookmarkEnd w:id="109"/>
    <w:p>
      <w:pPr>
        <w:ind w:right="340" w:firstLine="612"/>
        <w:spacing w:after="0" w:line="259" w:lineRule="auto"/>
        <w:rPr>
          <w:sz w:val="20"/>
          <w:szCs w:val="20"/>
          <w:color w:val="auto"/>
        </w:rPr>
      </w:pPr>
      <w:r>
        <w:rPr>
          <w:rFonts w:ascii="Times New Roman" w:cs="Times New Roman" w:eastAsia="Times New Roman" w:hAnsi="Times New Roman"/>
          <w:sz w:val="21"/>
          <w:szCs w:val="21"/>
          <w:color w:val="231F20"/>
        </w:rPr>
        <w:t>Following is a description of the valuation methodologies used for assets measured at fair value. There have been no changes in the methodologies used at December 31, 2025 and 2024. Please also see Note 1 (Summary of Significant Accounting Policies) for a discussion of the Company’s fair value accounting policy.</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231F20"/>
        </w:rPr>
        <w:t>Equity, Fixed Income, Index and Asset Allocation Funds</w:t>
      </w:r>
    </w:p>
    <w:p>
      <w:pPr>
        <w:spacing w:after="0" w:line="240" w:lineRule="exact"/>
        <w:rPr>
          <w:sz w:val="20"/>
          <w:szCs w:val="20"/>
          <w:color w:val="auto"/>
        </w:rPr>
      </w:pPr>
    </w:p>
    <w:p>
      <w:pPr>
        <w:ind w:left="620" w:right="20"/>
        <w:spacing w:after="0" w:line="279" w:lineRule="auto"/>
        <w:rPr>
          <w:sz w:val="20"/>
          <w:szCs w:val="20"/>
          <w:color w:val="auto"/>
        </w:rPr>
      </w:pPr>
      <w:r>
        <w:rPr>
          <w:rFonts w:ascii="Times New Roman" w:cs="Times New Roman" w:eastAsia="Times New Roman" w:hAnsi="Times New Roman"/>
          <w:sz w:val="21"/>
          <w:szCs w:val="21"/>
          <w:color w:val="231F20"/>
        </w:rPr>
        <w:t>These investments are valued based on quoted prices from active markets. These securities are categorized in Level 1 as they are actively traded and no valuation adjustments have been applied.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231F20"/>
        </w:rPr>
        <w:t>Cash Equivalents</w:t>
      </w:r>
    </w:p>
    <w:p>
      <w:pPr>
        <w:spacing w:after="0" w:line="2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231F20"/>
        </w:rPr>
        <w:t>These investments are valued at cost, which approximates fair value, and are categorized in Level 1.</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231F20"/>
        </w:rPr>
        <w:t>Real Estate Fund</w:t>
      </w:r>
    </w:p>
    <w:p>
      <w:pPr>
        <w:spacing w:after="0" w:line="120" w:lineRule="exact"/>
        <w:rPr>
          <w:sz w:val="20"/>
          <w:szCs w:val="20"/>
          <w:color w:val="auto"/>
        </w:rPr>
      </w:pPr>
    </w:p>
    <w:p>
      <w:pPr>
        <w:ind w:left="620" w:right="160"/>
        <w:spacing w:after="0" w:line="247" w:lineRule="auto"/>
        <w:rPr>
          <w:sz w:val="20"/>
          <w:szCs w:val="20"/>
          <w:color w:val="auto"/>
        </w:rPr>
      </w:pPr>
      <w:r>
        <w:rPr>
          <w:rFonts w:ascii="Times New Roman" w:cs="Times New Roman" w:eastAsia="Times New Roman" w:hAnsi="Times New Roman"/>
          <w:sz w:val="21"/>
          <w:szCs w:val="21"/>
          <w:color w:val="231F20"/>
        </w:rPr>
        <w:t>These investments are valued at net asset value per unit based on a combination of market- and income-based models utilizing market discount rates, projected cash flows and the estimated value into perpetuity. In accordance with FASB Codification Topic 820, “Fair Value Measurement”, these investments have not been classified in the fair value hierarchy. The fair value amounts presented in the tables below for the Real Estate Fund are intended to permit reconciliation of the fair value hierarchy to the “Plan Assets at End of Year” line item shown in the “Change in Plan Assets” table above.</w:t>
      </w:r>
    </w:p>
    <w:p>
      <w:pPr>
        <w:spacing w:after="0" w:line="198" w:lineRule="exact"/>
        <w:rPr>
          <w:sz w:val="20"/>
          <w:szCs w:val="20"/>
          <w:color w:val="auto"/>
        </w:rPr>
      </w:pPr>
    </w:p>
    <w:p>
      <w:pPr>
        <w:ind w:firstLine="612"/>
        <w:spacing w:after="0" w:line="279" w:lineRule="auto"/>
        <w:rPr>
          <w:sz w:val="20"/>
          <w:szCs w:val="20"/>
          <w:color w:val="auto"/>
        </w:rPr>
      </w:pPr>
      <w:r>
        <w:rPr>
          <w:rFonts w:ascii="Times New Roman" w:cs="Times New Roman" w:eastAsia="Times New Roman" w:hAnsi="Times New Roman"/>
          <w:sz w:val="21"/>
          <w:szCs w:val="21"/>
          <w:color w:val="231F20"/>
        </w:rPr>
        <w:t>Assets measured at fair value on a recurring basis for the Pension Plan as of December 31, 2025 and 2024 are as follows (000’s):</w:t>
      </w:r>
    </w:p>
    <w:p>
      <w:pPr>
        <w:spacing w:after="0" w:line="199" w:lineRule="exact"/>
        <w:rPr>
          <w:sz w:val="20"/>
          <w:szCs w:val="20"/>
          <w:color w:val="auto"/>
        </w:rPr>
      </w:pPr>
    </w:p>
    <w:tbl>
      <w:tblPr>
        <w:tblLayout w:type="fixed"/>
        <w:tblInd w:w="540" w:type="dxa"/>
        <w:tblCellMar>
          <w:top w:w="0" w:type="dxa"/>
          <w:left w:w="0" w:type="dxa"/>
          <w:bottom w:w="0" w:type="dxa"/>
          <w:right w:w="0" w:type="dxa"/>
        </w:tblCellMar>
      </w:tblPr>
      <w:tr>
        <w:trPr>
          <w:trHeight w:val="199"/>
        </w:trPr>
        <w:tc>
          <w:tcPr>
            <w:tcW w:w="38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80" w:type="dxa"/>
            <w:vAlign w:val="bottom"/>
            <w:gridSpan w:val="14"/>
          </w:tcPr>
          <w:p>
            <w:pPr>
              <w:ind w:left="400"/>
              <w:spacing w:after="0"/>
              <w:rPr>
                <w:sz w:val="20"/>
                <w:szCs w:val="20"/>
                <w:color w:val="auto"/>
              </w:rPr>
            </w:pPr>
            <w:r>
              <w:rPr>
                <w:rFonts w:ascii="Times New Roman" w:cs="Times New Roman" w:eastAsia="Times New Roman" w:hAnsi="Times New Roman"/>
                <w:sz w:val="16"/>
                <w:szCs w:val="16"/>
                <w:b w:val="1"/>
                <w:bCs w:val="1"/>
                <w:color w:val="231F20"/>
              </w:rPr>
              <w:t>Fair Value Measurements at Reporting Date Using</w:t>
            </w:r>
          </w:p>
        </w:tc>
      </w:tr>
      <w:tr>
        <w:trPr>
          <w:trHeight w:val="184"/>
        </w:trPr>
        <w:tc>
          <w:tcPr>
            <w:tcW w:w="38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8"/>
              </w:rPr>
              <w:t>Quoted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38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8"/>
              </w:rPr>
              <w:t>Prices in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38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rPr>
              <w:t>Active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231F20"/>
              </w:rPr>
              <w:t>Significant</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38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9"/>
              </w:rPr>
              <w:t>Markets for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231F20"/>
                <w:w w:val="97"/>
              </w:rPr>
              <w:t>Other</w:t>
            </w:r>
          </w:p>
        </w:tc>
        <w:tc>
          <w:tcPr>
            <w:tcW w:w="12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231F20"/>
              </w:rPr>
              <w:t>Significant</w:t>
            </w:r>
          </w:p>
        </w:tc>
      </w:tr>
      <w:tr>
        <w:trPr>
          <w:trHeight w:val="184"/>
        </w:trPr>
        <w:tc>
          <w:tcPr>
            <w:tcW w:w="38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w w:val="99"/>
              </w:rPr>
              <w:t>Identical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231F20"/>
                <w:w w:val="99"/>
              </w:rPr>
              <w:t>Observable</w:t>
            </w:r>
          </w:p>
        </w:tc>
        <w:tc>
          <w:tcPr>
            <w:tcW w:w="110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231F20"/>
                <w:w w:val="99"/>
              </w:rPr>
              <w:t>Unobservable</w:t>
            </w:r>
          </w:p>
        </w:tc>
      </w:tr>
      <w:tr>
        <w:trPr>
          <w:trHeight w:val="184"/>
        </w:trPr>
        <w:tc>
          <w:tcPr>
            <w:tcW w:w="38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231F20"/>
              </w:rPr>
              <w:t>Balance as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8"/>
              </w:rPr>
              <w:t>Assets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231F20"/>
                <w:w w:val="98"/>
              </w:rPr>
              <w:t>Inputs</w:t>
            </w:r>
          </w:p>
        </w:tc>
        <w:tc>
          <w:tcPr>
            <w:tcW w:w="12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231F20"/>
                <w:w w:val="98"/>
              </w:rPr>
              <w:t>Inputs</w:t>
            </w:r>
          </w:p>
        </w:tc>
      </w:tr>
      <w:tr>
        <w:trPr>
          <w:trHeight w:val="203"/>
        </w:trPr>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Description</w:t>
            </w:r>
          </w:p>
        </w:tc>
        <w:tc>
          <w:tcPr>
            <w:tcW w:w="120" w:type="dxa"/>
            <w:vAlign w:val="bottom"/>
          </w:tcPr>
          <w:p>
            <w:pPr>
              <w:spacing w:after="0"/>
              <w:rPr>
                <w:sz w:val="17"/>
                <w:szCs w:val="17"/>
                <w:color w:val="auto"/>
              </w:rPr>
            </w:pPr>
          </w:p>
        </w:tc>
        <w:tc>
          <w:tcPr>
            <w:tcW w:w="114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w w:val="99"/>
              </w:rPr>
              <w:t>(Level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231F20"/>
                <w:w w:val="99"/>
              </w:rPr>
              <w:t>(Level 2)</w:t>
            </w:r>
          </w:p>
        </w:tc>
        <w:tc>
          <w:tcPr>
            <w:tcW w:w="12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231F20"/>
                <w:w w:val="99"/>
              </w:rPr>
              <w:t>(Level 3)</w:t>
            </w:r>
          </w:p>
        </w:tc>
      </w:tr>
      <w:tr>
        <w:trPr>
          <w:trHeight w:val="202"/>
        </w:trPr>
        <w:tc>
          <w:tcPr>
            <w:tcW w:w="380" w:type="dxa"/>
            <w:vAlign w:val="bottom"/>
            <w:tcBorders>
              <w:top w:val="single" w:sz="8" w:color="231F20"/>
              <w:bottom w:val="single" w:sz="8" w:color="231F20"/>
            </w:tcBorders>
            <w:shd w:val="clear" w:color="auto" w:fill="E6E7E8"/>
          </w:tcPr>
          <w:p>
            <w:pPr>
              <w:spacing w:after="0" w:line="203" w:lineRule="exact"/>
              <w:rPr>
                <w:sz w:val="20"/>
                <w:szCs w:val="20"/>
                <w:color w:val="auto"/>
              </w:rPr>
            </w:pPr>
            <w:r>
              <w:rPr>
                <w:rFonts w:ascii="Times New Roman" w:cs="Times New Roman" w:eastAsia="Times New Roman" w:hAnsi="Times New Roman"/>
                <w:sz w:val="19"/>
                <w:szCs w:val="19"/>
                <w:b w:val="1"/>
                <w:bCs w:val="1"/>
                <w:color w:val="231F20"/>
                <w:w w:val="94"/>
              </w:rPr>
              <w:t>2025</w:t>
            </w:r>
          </w:p>
        </w:tc>
        <w:tc>
          <w:tcPr>
            <w:tcW w:w="4400" w:type="dxa"/>
            <w:vAlign w:val="bottom"/>
            <w:tcBorders>
              <w:top w:val="single" w:sz="8" w:color="231F20"/>
              <w:bottom w:val="single" w:sz="8" w:color="E6E7E8"/>
            </w:tcBorders>
            <w:shd w:val="clear" w:color="auto" w:fill="E6E7E8"/>
          </w:tcPr>
          <w:p>
            <w:pPr>
              <w:spacing w:after="0"/>
              <w:rPr>
                <w:sz w:val="17"/>
                <w:szCs w:val="17"/>
                <w:color w:val="auto"/>
              </w:rPr>
            </w:pPr>
          </w:p>
        </w:tc>
        <w:tc>
          <w:tcPr>
            <w:tcW w:w="120" w:type="dxa"/>
            <w:vAlign w:val="bottom"/>
            <w:tcBorders>
              <w:top w:val="single" w:sz="8" w:color="E6E7E8"/>
              <w:bottom w:val="single" w:sz="8" w:color="E6E7E8"/>
            </w:tcBorders>
            <w:shd w:val="clear" w:color="auto" w:fill="E6E7E8"/>
          </w:tcPr>
          <w:p>
            <w:pPr>
              <w:spacing w:after="0"/>
              <w:rPr>
                <w:sz w:val="17"/>
                <w:szCs w:val="17"/>
                <w:color w:val="auto"/>
              </w:rPr>
            </w:pPr>
          </w:p>
        </w:tc>
        <w:tc>
          <w:tcPr>
            <w:tcW w:w="240" w:type="dxa"/>
            <w:vAlign w:val="bottom"/>
            <w:tcBorders>
              <w:top w:val="single" w:sz="8" w:color="231F20"/>
              <w:bottom w:val="single" w:sz="8" w:color="E6E7E8"/>
            </w:tcBorders>
            <w:shd w:val="clear" w:color="auto" w:fill="E6E7E8"/>
          </w:tcPr>
          <w:p>
            <w:pPr>
              <w:spacing w:after="0"/>
              <w:rPr>
                <w:sz w:val="17"/>
                <w:szCs w:val="17"/>
                <w:color w:val="auto"/>
              </w:rPr>
            </w:pPr>
          </w:p>
        </w:tc>
        <w:tc>
          <w:tcPr>
            <w:tcW w:w="780" w:type="dxa"/>
            <w:vAlign w:val="bottom"/>
            <w:tcBorders>
              <w:top w:val="single" w:sz="8" w:color="231F20"/>
              <w:bottom w:val="single" w:sz="8" w:color="E6E7E8"/>
            </w:tcBorders>
            <w:shd w:val="clear" w:color="auto" w:fill="E6E7E8"/>
          </w:tcPr>
          <w:p>
            <w:pPr>
              <w:spacing w:after="0"/>
              <w:rPr>
                <w:sz w:val="17"/>
                <w:szCs w:val="17"/>
                <w:color w:val="auto"/>
              </w:rPr>
            </w:pPr>
          </w:p>
        </w:tc>
        <w:tc>
          <w:tcPr>
            <w:tcW w:w="20" w:type="dxa"/>
            <w:vAlign w:val="bottom"/>
            <w:tcBorders>
              <w:top w:val="single" w:sz="8" w:color="E6E7E8"/>
              <w:bottom w:val="single" w:sz="8" w:color="E6E7E8"/>
            </w:tcBorders>
            <w:shd w:val="clear" w:color="auto" w:fill="E6E7E8"/>
          </w:tcPr>
          <w:p>
            <w:pPr>
              <w:spacing w:after="0"/>
              <w:rPr>
                <w:sz w:val="17"/>
                <w:szCs w:val="17"/>
                <w:color w:val="auto"/>
              </w:rPr>
            </w:pPr>
          </w:p>
        </w:tc>
        <w:tc>
          <w:tcPr>
            <w:tcW w:w="100" w:type="dxa"/>
            <w:vAlign w:val="bottom"/>
            <w:tcBorders>
              <w:top w:val="single" w:sz="8" w:color="E6E7E8"/>
              <w:bottom w:val="single" w:sz="8" w:color="E6E7E8"/>
            </w:tcBorders>
            <w:shd w:val="clear" w:color="auto" w:fill="E6E7E8"/>
          </w:tcPr>
          <w:p>
            <w:pPr>
              <w:spacing w:after="0"/>
              <w:rPr>
                <w:sz w:val="17"/>
                <w:szCs w:val="17"/>
                <w:color w:val="auto"/>
              </w:rPr>
            </w:pPr>
          </w:p>
        </w:tc>
        <w:tc>
          <w:tcPr>
            <w:tcW w:w="100" w:type="dxa"/>
            <w:vAlign w:val="bottom"/>
            <w:tcBorders>
              <w:top w:val="single" w:sz="8" w:color="E6E7E8"/>
              <w:bottom w:val="single" w:sz="8" w:color="E6E7E8"/>
            </w:tcBorders>
            <w:shd w:val="clear" w:color="auto" w:fill="E6E7E8"/>
          </w:tcPr>
          <w:p>
            <w:pPr>
              <w:spacing w:after="0"/>
              <w:rPr>
                <w:sz w:val="17"/>
                <w:szCs w:val="17"/>
                <w:color w:val="auto"/>
              </w:rPr>
            </w:pPr>
          </w:p>
        </w:tc>
        <w:tc>
          <w:tcPr>
            <w:tcW w:w="100" w:type="dxa"/>
            <w:vAlign w:val="bottom"/>
            <w:tcBorders>
              <w:top w:val="single" w:sz="8" w:color="231F20"/>
              <w:bottom w:val="single" w:sz="8" w:color="E6E7E8"/>
            </w:tcBorders>
            <w:shd w:val="clear" w:color="auto" w:fill="E6E7E8"/>
          </w:tcPr>
          <w:p>
            <w:pPr>
              <w:spacing w:after="0"/>
              <w:rPr>
                <w:sz w:val="17"/>
                <w:szCs w:val="17"/>
                <w:color w:val="auto"/>
              </w:rPr>
            </w:pPr>
          </w:p>
        </w:tc>
        <w:tc>
          <w:tcPr>
            <w:tcW w:w="920" w:type="dxa"/>
            <w:vAlign w:val="bottom"/>
            <w:tcBorders>
              <w:top w:val="single" w:sz="8" w:color="231F20"/>
              <w:bottom w:val="single" w:sz="8" w:color="E6E7E8"/>
            </w:tcBorders>
            <w:shd w:val="clear" w:color="auto" w:fill="E6E7E8"/>
          </w:tcPr>
          <w:p>
            <w:pPr>
              <w:spacing w:after="0"/>
              <w:rPr>
                <w:sz w:val="17"/>
                <w:szCs w:val="17"/>
                <w:color w:val="auto"/>
              </w:rPr>
            </w:pPr>
          </w:p>
        </w:tc>
        <w:tc>
          <w:tcPr>
            <w:tcW w:w="120" w:type="dxa"/>
            <w:vAlign w:val="bottom"/>
            <w:tcBorders>
              <w:top w:val="single" w:sz="8" w:color="E6E7E8"/>
              <w:bottom w:val="single" w:sz="8" w:color="E6E7E8"/>
            </w:tcBorders>
            <w:shd w:val="clear" w:color="auto" w:fill="E6E7E8"/>
          </w:tcPr>
          <w:p>
            <w:pPr>
              <w:spacing w:after="0"/>
              <w:rPr>
                <w:sz w:val="17"/>
                <w:szCs w:val="17"/>
                <w:color w:val="auto"/>
              </w:rPr>
            </w:pPr>
          </w:p>
        </w:tc>
        <w:tc>
          <w:tcPr>
            <w:tcW w:w="100" w:type="dxa"/>
            <w:vAlign w:val="bottom"/>
            <w:tcBorders>
              <w:top w:val="single" w:sz="8" w:color="E6E7E8"/>
              <w:bottom w:val="single" w:sz="8" w:color="E6E7E8"/>
            </w:tcBorders>
            <w:shd w:val="clear" w:color="auto" w:fill="E6E7E8"/>
          </w:tcPr>
          <w:p>
            <w:pPr>
              <w:spacing w:after="0"/>
              <w:rPr>
                <w:sz w:val="17"/>
                <w:szCs w:val="17"/>
                <w:color w:val="auto"/>
              </w:rPr>
            </w:pPr>
          </w:p>
        </w:tc>
        <w:tc>
          <w:tcPr>
            <w:tcW w:w="120" w:type="dxa"/>
            <w:vAlign w:val="bottom"/>
            <w:tcBorders>
              <w:top w:val="single" w:sz="8" w:color="231F20"/>
              <w:bottom w:val="single" w:sz="8" w:color="E6E7E8"/>
            </w:tcBorders>
            <w:shd w:val="clear" w:color="auto" w:fill="E6E7E8"/>
          </w:tcPr>
          <w:p>
            <w:pPr>
              <w:spacing w:after="0"/>
              <w:rPr>
                <w:sz w:val="17"/>
                <w:szCs w:val="17"/>
                <w:color w:val="auto"/>
              </w:rPr>
            </w:pPr>
          </w:p>
        </w:tc>
        <w:tc>
          <w:tcPr>
            <w:tcW w:w="920" w:type="dxa"/>
            <w:vAlign w:val="bottom"/>
            <w:tcBorders>
              <w:top w:val="single" w:sz="8" w:color="231F20"/>
              <w:bottom w:val="single" w:sz="8" w:color="E6E7E8"/>
            </w:tcBorders>
            <w:shd w:val="clear" w:color="auto" w:fill="E6E7E8"/>
          </w:tcPr>
          <w:p>
            <w:pPr>
              <w:spacing w:after="0"/>
              <w:rPr>
                <w:sz w:val="17"/>
                <w:szCs w:val="17"/>
                <w:color w:val="auto"/>
              </w:rPr>
            </w:pPr>
          </w:p>
        </w:tc>
        <w:tc>
          <w:tcPr>
            <w:tcW w:w="200" w:type="dxa"/>
            <w:vAlign w:val="bottom"/>
            <w:tcBorders>
              <w:top w:val="single" w:sz="8" w:color="E6E7E8"/>
              <w:bottom w:val="single" w:sz="8" w:color="E6E7E8"/>
            </w:tcBorders>
            <w:shd w:val="clear" w:color="auto" w:fill="E6E7E8"/>
          </w:tcPr>
          <w:p>
            <w:pPr>
              <w:spacing w:after="0"/>
              <w:rPr>
                <w:sz w:val="17"/>
                <w:szCs w:val="17"/>
                <w:color w:val="auto"/>
              </w:rPr>
            </w:pPr>
          </w:p>
        </w:tc>
        <w:tc>
          <w:tcPr>
            <w:tcW w:w="120" w:type="dxa"/>
            <w:vAlign w:val="bottom"/>
            <w:tcBorders>
              <w:top w:val="single" w:sz="8" w:color="231F20"/>
              <w:bottom w:val="single" w:sz="8" w:color="E6E7E8"/>
            </w:tcBorders>
            <w:shd w:val="clear" w:color="auto" w:fill="E6E7E8"/>
          </w:tcPr>
          <w:p>
            <w:pPr>
              <w:spacing w:after="0"/>
              <w:rPr>
                <w:sz w:val="17"/>
                <w:szCs w:val="17"/>
                <w:color w:val="auto"/>
              </w:rPr>
            </w:pPr>
          </w:p>
        </w:tc>
        <w:tc>
          <w:tcPr>
            <w:tcW w:w="920" w:type="dxa"/>
            <w:vAlign w:val="bottom"/>
            <w:tcBorders>
              <w:top w:val="single" w:sz="8" w:color="231F20"/>
              <w:bottom w:val="single" w:sz="8" w:color="E6E7E8"/>
            </w:tcBorders>
            <w:shd w:val="clear" w:color="auto" w:fill="E6E7E8"/>
          </w:tcPr>
          <w:p>
            <w:pPr>
              <w:spacing w:after="0"/>
              <w:rPr>
                <w:sz w:val="17"/>
                <w:szCs w:val="17"/>
                <w:color w:val="auto"/>
              </w:rPr>
            </w:pPr>
          </w:p>
        </w:tc>
        <w:tc>
          <w:tcPr>
            <w:tcW w:w="60" w:type="dxa"/>
            <w:vAlign w:val="bottom"/>
            <w:tcBorders>
              <w:top w:val="single" w:sz="8" w:color="E6E7E8"/>
              <w:bottom w:val="single" w:sz="8" w:color="E6E7E8"/>
            </w:tcBorders>
            <w:shd w:val="clear" w:color="auto" w:fill="E6E7E8"/>
          </w:tcPr>
          <w:p>
            <w:pPr>
              <w:spacing w:after="0"/>
              <w:rPr>
                <w:sz w:val="17"/>
                <w:szCs w:val="17"/>
                <w:color w:val="auto"/>
              </w:rPr>
            </w:pPr>
          </w:p>
        </w:tc>
      </w:tr>
      <w:tr>
        <w:trPr>
          <w:trHeight w:val="210"/>
        </w:trPr>
        <w:tc>
          <w:tcPr>
            <w:tcW w:w="478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231F20"/>
              </w:rPr>
              <w:t>Pension Plan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478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19"/>
                <w:szCs w:val="19"/>
                <w:color w:val="231F20"/>
              </w:rPr>
              <w:t>Mutual Funds:</w:t>
            </w:r>
          </w:p>
        </w:tc>
        <w:tc>
          <w:tcPr>
            <w:tcW w:w="120" w:type="dxa"/>
            <w:vAlign w:val="bottom"/>
            <w:shd w:val="clear" w:color="auto" w:fill="E6E7E8"/>
          </w:tcPr>
          <w:p>
            <w:pPr>
              <w:spacing w:after="0"/>
              <w:rPr>
                <w:sz w:val="19"/>
                <w:szCs w:val="19"/>
                <w:color w:val="auto"/>
              </w:rPr>
            </w:pPr>
          </w:p>
        </w:tc>
        <w:tc>
          <w:tcPr>
            <w:tcW w:w="240" w:type="dxa"/>
            <w:vAlign w:val="bottom"/>
            <w:shd w:val="clear" w:color="auto" w:fill="E6E7E8"/>
          </w:tcPr>
          <w:p>
            <w:pPr>
              <w:spacing w:after="0"/>
              <w:rPr>
                <w:sz w:val="19"/>
                <w:szCs w:val="19"/>
                <w:color w:val="auto"/>
              </w:rPr>
            </w:pPr>
          </w:p>
        </w:tc>
        <w:tc>
          <w:tcPr>
            <w:tcW w:w="78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92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92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920" w:type="dxa"/>
            <w:vAlign w:val="bottom"/>
            <w:shd w:val="clear" w:color="auto" w:fill="E6E7E8"/>
          </w:tcPr>
          <w:p>
            <w:pPr>
              <w:spacing w:after="0"/>
              <w:rPr>
                <w:sz w:val="19"/>
                <w:szCs w:val="19"/>
                <w:color w:val="auto"/>
              </w:rPr>
            </w:pPr>
          </w:p>
        </w:tc>
        <w:tc>
          <w:tcPr>
            <w:tcW w:w="60" w:type="dxa"/>
            <w:vAlign w:val="bottom"/>
            <w:shd w:val="clear" w:color="auto" w:fill="E6E7E8"/>
          </w:tcPr>
          <w:p>
            <w:pPr>
              <w:spacing w:after="0"/>
              <w:rPr>
                <w:sz w:val="19"/>
                <w:szCs w:val="19"/>
                <w:color w:val="auto"/>
              </w:rPr>
            </w:pPr>
          </w:p>
        </w:tc>
      </w:tr>
      <w:tr>
        <w:trPr>
          <w:trHeight w:val="218"/>
        </w:trPr>
        <w:tc>
          <w:tcPr>
            <w:tcW w:w="478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Equity Funds</w:t>
            </w:r>
          </w:p>
        </w:tc>
        <w:tc>
          <w:tcPr>
            <w:tcW w:w="360" w:type="dxa"/>
            <w:vAlign w:val="bottom"/>
            <w:gridSpan w:val="2"/>
          </w:tcPr>
          <w:p>
            <w:pPr>
              <w:jc w:val="right"/>
              <w:ind w:right="77"/>
              <w:spacing w:after="0"/>
              <w:rPr>
                <w:sz w:val="20"/>
                <w:szCs w:val="20"/>
                <w:color w:val="auto"/>
              </w:rPr>
            </w:pPr>
            <w:r>
              <w:rPr>
                <w:rFonts w:ascii="Times New Roman" w:cs="Times New Roman" w:eastAsia="Times New Roman" w:hAnsi="Times New Roman"/>
                <w:sz w:val="19"/>
                <w:szCs w:val="19"/>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80,722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80,722</w:t>
            </w:r>
          </w:p>
        </w:tc>
        <w:tc>
          <w:tcPr>
            <w:tcW w:w="12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231F20"/>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9"/>
                <w:szCs w:val="19"/>
                <w:color w:val="231F20"/>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9"/>
                <w:szCs w:val="19"/>
                <w:color w:val="231F20"/>
              </w:rPr>
              <w:t>—</w:t>
            </w:r>
          </w:p>
        </w:tc>
      </w:tr>
      <w:tr>
        <w:trPr>
          <w:trHeight w:val="218"/>
        </w:trPr>
        <w:tc>
          <w:tcPr>
            <w:tcW w:w="478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Fixed Income Funds</w:t>
            </w:r>
          </w:p>
        </w:tc>
        <w:tc>
          <w:tcPr>
            <w:tcW w:w="120" w:type="dxa"/>
            <w:vAlign w:val="bottom"/>
            <w:shd w:val="clear" w:color="auto" w:fill="E6E7E8"/>
          </w:tcPr>
          <w:p>
            <w:pPr>
              <w:spacing w:after="0"/>
              <w:rPr>
                <w:sz w:val="19"/>
                <w:szCs w:val="19"/>
                <w:color w:val="auto"/>
              </w:rPr>
            </w:pPr>
          </w:p>
        </w:tc>
        <w:tc>
          <w:tcPr>
            <w:tcW w:w="240" w:type="dxa"/>
            <w:vAlign w:val="bottom"/>
            <w:shd w:val="clear" w:color="auto" w:fill="E6E7E8"/>
          </w:tcPr>
          <w:p>
            <w:pPr>
              <w:spacing w:after="0"/>
              <w:rPr>
                <w:sz w:val="19"/>
                <w:szCs w:val="19"/>
                <w:color w:val="auto"/>
              </w:rPr>
            </w:pPr>
          </w:p>
        </w:tc>
        <w:tc>
          <w:tcPr>
            <w:tcW w:w="7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72,837</w:t>
            </w:r>
          </w:p>
        </w:tc>
        <w:tc>
          <w:tcPr>
            <w:tcW w:w="2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9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72,837</w:t>
            </w:r>
          </w:p>
        </w:tc>
        <w:tc>
          <w:tcPr>
            <w:tcW w:w="12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1120" w:type="dxa"/>
            <w:vAlign w:val="bottom"/>
            <w:gridSpan w:val="2"/>
            <w:shd w:val="clear" w:color="auto" w:fill="E6E7E8"/>
          </w:tcPr>
          <w:p>
            <w:pPr>
              <w:ind w:left="720"/>
              <w:spacing w:after="0"/>
              <w:rPr>
                <w:sz w:val="20"/>
                <w:szCs w:val="20"/>
                <w:color w:val="auto"/>
              </w:rPr>
            </w:pPr>
            <w:r>
              <w:rPr>
                <w:rFonts w:ascii="Times New Roman" w:cs="Times New Roman" w:eastAsia="Times New Roman" w:hAnsi="Times New Roman"/>
                <w:sz w:val="19"/>
                <w:szCs w:val="19"/>
                <w:color w:val="231F20"/>
              </w:rPr>
              <w:t>—</w:t>
            </w:r>
          </w:p>
        </w:tc>
        <w:tc>
          <w:tcPr>
            <w:tcW w:w="120" w:type="dxa"/>
            <w:vAlign w:val="bottom"/>
            <w:shd w:val="clear" w:color="auto" w:fill="E6E7E8"/>
          </w:tcPr>
          <w:p>
            <w:pPr>
              <w:spacing w:after="0"/>
              <w:rPr>
                <w:sz w:val="19"/>
                <w:szCs w:val="19"/>
                <w:color w:val="auto"/>
              </w:rPr>
            </w:pPr>
          </w:p>
        </w:tc>
        <w:tc>
          <w:tcPr>
            <w:tcW w:w="980" w:type="dxa"/>
            <w:vAlign w:val="bottom"/>
            <w:gridSpan w:val="2"/>
            <w:shd w:val="clear" w:color="auto" w:fill="E6E7E8"/>
          </w:tcPr>
          <w:p>
            <w:pPr>
              <w:ind w:left="720"/>
              <w:spacing w:after="0"/>
              <w:rPr>
                <w:sz w:val="20"/>
                <w:szCs w:val="20"/>
                <w:color w:val="auto"/>
              </w:rPr>
            </w:pPr>
            <w:r>
              <w:rPr>
                <w:rFonts w:ascii="Times New Roman" w:cs="Times New Roman" w:eastAsia="Times New Roman" w:hAnsi="Times New Roman"/>
                <w:sz w:val="19"/>
                <w:szCs w:val="19"/>
                <w:color w:val="231F20"/>
              </w:rPr>
              <w:t>—</w:t>
            </w:r>
          </w:p>
        </w:tc>
      </w:tr>
      <w:tr>
        <w:trPr>
          <w:trHeight w:val="214"/>
        </w:trPr>
        <w:tc>
          <w:tcPr>
            <w:tcW w:w="4780" w:type="dxa"/>
            <w:vAlign w:val="bottom"/>
            <w:gridSpan w:val="2"/>
          </w:tcPr>
          <w:p>
            <w:pPr>
              <w:spacing w:after="0" w:line="214" w:lineRule="exact"/>
              <w:rPr>
                <w:sz w:val="20"/>
                <w:szCs w:val="20"/>
                <w:color w:val="auto"/>
              </w:rPr>
            </w:pPr>
            <w:r>
              <w:rPr>
                <w:rFonts w:ascii="Times New Roman" w:cs="Times New Roman" w:eastAsia="Times New Roman" w:hAnsi="Times New Roman"/>
                <w:sz w:val="19"/>
                <w:szCs w:val="19"/>
                <w:color w:val="231F20"/>
              </w:rPr>
              <w:t>Total Mutual Funds</w:t>
            </w:r>
          </w:p>
        </w:tc>
        <w:tc>
          <w:tcPr>
            <w:tcW w:w="120" w:type="dxa"/>
            <w:vAlign w:val="bottom"/>
          </w:tcPr>
          <w:p>
            <w:pPr>
              <w:spacing w:after="0"/>
              <w:rPr>
                <w:sz w:val="18"/>
                <w:szCs w:val="18"/>
                <w:color w:val="auto"/>
              </w:rPr>
            </w:pPr>
          </w:p>
        </w:tc>
        <w:tc>
          <w:tcPr>
            <w:tcW w:w="240" w:type="dxa"/>
            <w:vAlign w:val="bottom"/>
            <w:tcBorders>
              <w:top w:val="single" w:sz="8" w:color="231F20"/>
            </w:tcBorders>
          </w:tcPr>
          <w:p>
            <w:pPr>
              <w:spacing w:after="0"/>
              <w:rPr>
                <w:sz w:val="18"/>
                <w:szCs w:val="18"/>
                <w:color w:val="auto"/>
              </w:rPr>
            </w:pPr>
          </w:p>
        </w:tc>
        <w:tc>
          <w:tcPr>
            <w:tcW w:w="780" w:type="dxa"/>
            <w:vAlign w:val="bottom"/>
            <w:tcBorders>
              <w:top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153,559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231F20"/>
            </w:tcBorders>
          </w:tcPr>
          <w:p>
            <w:pPr>
              <w:spacing w:after="0"/>
              <w:rPr>
                <w:sz w:val="18"/>
                <w:szCs w:val="18"/>
                <w:color w:val="auto"/>
              </w:rPr>
            </w:pPr>
          </w:p>
        </w:tc>
        <w:tc>
          <w:tcPr>
            <w:tcW w:w="920" w:type="dxa"/>
            <w:vAlign w:val="bottom"/>
            <w:tcBorders>
              <w:top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153,559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231F20"/>
            </w:tcBorders>
          </w:tcPr>
          <w:p>
            <w:pPr>
              <w:spacing w:after="0"/>
              <w:rPr>
                <w:sz w:val="18"/>
                <w:szCs w:val="18"/>
                <w:color w:val="auto"/>
              </w:rPr>
            </w:pPr>
          </w:p>
        </w:tc>
        <w:tc>
          <w:tcPr>
            <w:tcW w:w="920" w:type="dxa"/>
            <w:vAlign w:val="bottom"/>
            <w:tcBorders>
              <w:top w:val="single" w:sz="8" w:color="231F20"/>
            </w:tcBorders>
          </w:tcPr>
          <w:p>
            <w:pPr>
              <w:ind w:left="720"/>
              <w:spacing w:after="0" w:line="214" w:lineRule="exact"/>
              <w:rPr>
                <w:sz w:val="20"/>
                <w:szCs w:val="20"/>
                <w:color w:val="auto"/>
              </w:rPr>
            </w:pPr>
            <w:r>
              <w:rPr>
                <w:rFonts w:ascii="Times New Roman" w:cs="Times New Roman" w:eastAsia="Times New Roman" w:hAnsi="Times New Roman"/>
                <w:sz w:val="19"/>
                <w:szCs w:val="19"/>
                <w:color w:val="231F20"/>
                <w:w w:val="94"/>
              </w:rPr>
              <w:t>—</w:t>
            </w:r>
          </w:p>
        </w:tc>
        <w:tc>
          <w:tcPr>
            <w:tcW w:w="200" w:type="dxa"/>
            <w:vAlign w:val="bottom"/>
          </w:tcPr>
          <w:p>
            <w:pPr>
              <w:spacing w:after="0"/>
              <w:rPr>
                <w:sz w:val="18"/>
                <w:szCs w:val="18"/>
                <w:color w:val="auto"/>
              </w:rPr>
            </w:pPr>
          </w:p>
        </w:tc>
        <w:tc>
          <w:tcPr>
            <w:tcW w:w="120" w:type="dxa"/>
            <w:vAlign w:val="bottom"/>
            <w:tcBorders>
              <w:top w:val="single" w:sz="8" w:color="231F20"/>
            </w:tcBorders>
          </w:tcPr>
          <w:p>
            <w:pPr>
              <w:spacing w:after="0"/>
              <w:rPr>
                <w:sz w:val="18"/>
                <w:szCs w:val="18"/>
                <w:color w:val="auto"/>
              </w:rPr>
            </w:pPr>
          </w:p>
        </w:tc>
        <w:tc>
          <w:tcPr>
            <w:tcW w:w="920" w:type="dxa"/>
            <w:vAlign w:val="bottom"/>
            <w:tcBorders>
              <w:top w:val="single" w:sz="8" w:color="231F20"/>
            </w:tcBorders>
          </w:tcPr>
          <w:p>
            <w:pPr>
              <w:ind w:left="720"/>
              <w:spacing w:after="0" w:line="214" w:lineRule="exact"/>
              <w:rPr>
                <w:sz w:val="20"/>
                <w:szCs w:val="20"/>
                <w:color w:val="auto"/>
              </w:rPr>
            </w:pPr>
            <w:r>
              <w:rPr>
                <w:rFonts w:ascii="Times New Roman" w:cs="Times New Roman" w:eastAsia="Times New Roman" w:hAnsi="Times New Roman"/>
                <w:sz w:val="19"/>
                <w:szCs w:val="19"/>
                <w:color w:val="231F20"/>
                <w:w w:val="94"/>
              </w:rPr>
              <w:t>—</w:t>
            </w:r>
          </w:p>
        </w:tc>
        <w:tc>
          <w:tcPr>
            <w:tcW w:w="60" w:type="dxa"/>
            <w:vAlign w:val="bottom"/>
          </w:tcPr>
          <w:p>
            <w:pPr>
              <w:spacing w:after="0"/>
              <w:rPr>
                <w:sz w:val="18"/>
                <w:szCs w:val="18"/>
                <w:color w:val="auto"/>
              </w:rPr>
            </w:pPr>
          </w:p>
        </w:tc>
      </w:tr>
      <w:tr>
        <w:trPr>
          <w:trHeight w:val="218"/>
        </w:trPr>
        <w:tc>
          <w:tcPr>
            <w:tcW w:w="478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19"/>
                <w:szCs w:val="19"/>
                <w:color w:val="231F20"/>
              </w:rPr>
              <w:t>Cash Equivalents</w:t>
            </w:r>
          </w:p>
        </w:tc>
        <w:tc>
          <w:tcPr>
            <w:tcW w:w="120" w:type="dxa"/>
            <w:vAlign w:val="bottom"/>
            <w:shd w:val="clear" w:color="auto" w:fill="E6E7E8"/>
          </w:tcPr>
          <w:p>
            <w:pPr>
              <w:spacing w:after="0"/>
              <w:rPr>
                <w:sz w:val="19"/>
                <w:szCs w:val="19"/>
                <w:color w:val="auto"/>
              </w:rPr>
            </w:pPr>
          </w:p>
        </w:tc>
        <w:tc>
          <w:tcPr>
            <w:tcW w:w="240" w:type="dxa"/>
            <w:vAlign w:val="bottom"/>
            <w:shd w:val="clear" w:color="auto" w:fill="E6E7E8"/>
          </w:tcPr>
          <w:p>
            <w:pPr>
              <w:spacing w:after="0"/>
              <w:rPr>
                <w:sz w:val="19"/>
                <w:szCs w:val="19"/>
                <w:color w:val="auto"/>
              </w:rPr>
            </w:pPr>
          </w:p>
        </w:tc>
        <w:tc>
          <w:tcPr>
            <w:tcW w:w="900" w:type="dxa"/>
            <w:vAlign w:val="bottom"/>
            <w:gridSpan w:val="3"/>
            <w:shd w:val="clear" w:color="auto" w:fill="E6E7E8"/>
          </w:tcPr>
          <w:p>
            <w:pPr>
              <w:jc w:val="right"/>
              <w:ind w:right="120"/>
              <w:spacing w:after="0"/>
              <w:rPr>
                <w:sz w:val="20"/>
                <w:szCs w:val="20"/>
                <w:color w:val="auto"/>
              </w:rPr>
            </w:pPr>
            <w:r>
              <w:rPr>
                <w:rFonts w:ascii="Times New Roman" w:cs="Times New Roman" w:eastAsia="Times New Roman" w:hAnsi="Times New Roman"/>
                <w:sz w:val="19"/>
                <w:szCs w:val="19"/>
                <w:color w:val="231F20"/>
              </w:rPr>
              <w:t>392</w:t>
            </w:r>
          </w:p>
        </w:tc>
        <w:tc>
          <w:tcPr>
            <w:tcW w:w="10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1040" w:type="dxa"/>
            <w:vAlign w:val="bottom"/>
            <w:gridSpan w:val="2"/>
            <w:shd w:val="clear" w:color="auto" w:fill="E6E7E8"/>
          </w:tcPr>
          <w:p>
            <w:pPr>
              <w:jc w:val="right"/>
              <w:ind w:right="100"/>
              <w:spacing w:after="0"/>
              <w:rPr>
                <w:sz w:val="20"/>
                <w:szCs w:val="20"/>
                <w:color w:val="auto"/>
              </w:rPr>
            </w:pPr>
            <w:r>
              <w:rPr>
                <w:rFonts w:ascii="Times New Roman" w:cs="Times New Roman" w:eastAsia="Times New Roman" w:hAnsi="Times New Roman"/>
                <w:sz w:val="19"/>
                <w:szCs w:val="19"/>
                <w:color w:val="231F20"/>
              </w:rPr>
              <w:t>392</w:t>
            </w:r>
          </w:p>
        </w:tc>
        <w:tc>
          <w:tcPr>
            <w:tcW w:w="10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92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920" w:type="dxa"/>
            <w:vAlign w:val="bottom"/>
            <w:shd w:val="clear" w:color="auto" w:fill="E6E7E8"/>
          </w:tcPr>
          <w:p>
            <w:pPr>
              <w:spacing w:after="0"/>
              <w:rPr>
                <w:sz w:val="19"/>
                <w:szCs w:val="19"/>
                <w:color w:val="auto"/>
              </w:rPr>
            </w:pPr>
          </w:p>
        </w:tc>
        <w:tc>
          <w:tcPr>
            <w:tcW w:w="60" w:type="dxa"/>
            <w:vAlign w:val="bottom"/>
            <w:shd w:val="clear" w:color="auto" w:fill="E6E7E8"/>
          </w:tcPr>
          <w:p>
            <w:pPr>
              <w:spacing w:after="0"/>
              <w:rPr>
                <w:sz w:val="19"/>
                <w:szCs w:val="19"/>
                <w:color w:val="auto"/>
              </w:rPr>
            </w:pPr>
          </w:p>
        </w:tc>
      </w:tr>
      <w:tr>
        <w:trPr>
          <w:trHeight w:val="214"/>
        </w:trPr>
        <w:tc>
          <w:tcPr>
            <w:tcW w:w="380" w:type="dxa"/>
            <w:vAlign w:val="bottom"/>
          </w:tcPr>
          <w:p>
            <w:pPr>
              <w:spacing w:after="0"/>
              <w:rPr>
                <w:sz w:val="18"/>
                <w:szCs w:val="18"/>
                <w:color w:val="auto"/>
              </w:rPr>
            </w:pPr>
          </w:p>
        </w:tc>
        <w:tc>
          <w:tcPr>
            <w:tcW w:w="4400" w:type="dxa"/>
            <w:vAlign w:val="bottom"/>
          </w:tcPr>
          <w:p>
            <w:pPr>
              <w:ind w:left="20"/>
              <w:spacing w:after="0" w:line="214" w:lineRule="exact"/>
              <w:rPr>
                <w:sz w:val="20"/>
                <w:szCs w:val="20"/>
                <w:color w:val="auto"/>
              </w:rPr>
            </w:pPr>
            <w:r>
              <w:rPr>
                <w:rFonts w:ascii="Times New Roman" w:cs="Times New Roman" w:eastAsia="Times New Roman" w:hAnsi="Times New Roman"/>
                <w:sz w:val="19"/>
                <w:szCs w:val="19"/>
                <w:color w:val="231F20"/>
              </w:rPr>
              <w:t>Total Assets in the Fair Value Hierarchy</w:t>
            </w:r>
          </w:p>
        </w:tc>
        <w:tc>
          <w:tcPr>
            <w:tcW w:w="120" w:type="dxa"/>
            <w:vAlign w:val="bottom"/>
          </w:tcPr>
          <w:p>
            <w:pPr>
              <w:spacing w:after="0"/>
              <w:rPr>
                <w:sz w:val="18"/>
                <w:szCs w:val="18"/>
                <w:color w:val="auto"/>
              </w:rPr>
            </w:pPr>
          </w:p>
        </w:tc>
        <w:tc>
          <w:tcPr>
            <w:tcW w:w="240" w:type="dxa"/>
            <w:vAlign w:val="bottom"/>
            <w:tcBorders>
              <w:top w:val="single" w:sz="8" w:color="231F20"/>
            </w:tcBorders>
          </w:tcPr>
          <w:p>
            <w:pPr>
              <w:jc w:val="right"/>
              <w:ind w:right="77"/>
              <w:spacing w:after="0"/>
              <w:rPr>
                <w:sz w:val="20"/>
                <w:szCs w:val="20"/>
                <w:color w:val="auto"/>
              </w:rPr>
            </w:pPr>
            <w:r>
              <w:rPr>
                <w:rFonts w:ascii="Times New Roman" w:cs="Times New Roman" w:eastAsia="Times New Roman" w:hAnsi="Times New Roman"/>
                <w:sz w:val="17"/>
                <w:szCs w:val="17"/>
                <w:color w:val="231F20"/>
                <w:w w:val="70"/>
              </w:rPr>
              <w:t>$</w:t>
            </w:r>
          </w:p>
        </w:tc>
        <w:tc>
          <w:tcPr>
            <w:tcW w:w="780" w:type="dxa"/>
            <w:vAlign w:val="bottom"/>
            <w:tcBorders>
              <w:top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153,951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w w:val="83"/>
              </w:rPr>
              <w:t>$</w:t>
            </w:r>
          </w:p>
        </w:tc>
        <w:tc>
          <w:tcPr>
            <w:tcW w:w="920" w:type="dxa"/>
            <w:vAlign w:val="bottom"/>
            <w:tcBorders>
              <w:top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153,951</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line="214" w:lineRule="exact"/>
              <w:rPr>
                <w:sz w:val="20"/>
                <w:szCs w:val="20"/>
                <w:color w:val="auto"/>
              </w:rPr>
            </w:pPr>
            <w:r>
              <w:rPr>
                <w:rFonts w:ascii="Times New Roman" w:cs="Times New Roman" w:eastAsia="Times New Roman" w:hAnsi="Times New Roman"/>
                <w:sz w:val="19"/>
                <w:szCs w:val="19"/>
                <w:color w:val="231F20"/>
              </w:rPr>
              <w:t>$</w:t>
            </w:r>
          </w:p>
        </w:tc>
        <w:tc>
          <w:tcPr>
            <w:tcW w:w="1120" w:type="dxa"/>
            <w:vAlign w:val="bottom"/>
            <w:gridSpan w:val="2"/>
          </w:tcPr>
          <w:p>
            <w:pPr>
              <w:ind w:left="720"/>
              <w:spacing w:after="0" w:line="214" w:lineRule="exact"/>
              <w:rPr>
                <w:sz w:val="20"/>
                <w:szCs w:val="20"/>
                <w:color w:val="auto"/>
              </w:rPr>
            </w:pPr>
            <w:r>
              <w:rPr>
                <w:rFonts w:ascii="Times New Roman" w:cs="Times New Roman" w:eastAsia="Times New Roman" w:hAnsi="Times New Roman"/>
                <w:sz w:val="19"/>
                <w:szCs w:val="19"/>
                <w:color w:val="231F20"/>
              </w:rPr>
              <w:t>—</w:t>
            </w:r>
          </w:p>
        </w:tc>
        <w:tc>
          <w:tcPr>
            <w:tcW w:w="12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w w:val="83"/>
              </w:rPr>
              <w:t>$</w:t>
            </w:r>
          </w:p>
        </w:tc>
        <w:tc>
          <w:tcPr>
            <w:tcW w:w="980" w:type="dxa"/>
            <w:vAlign w:val="bottom"/>
            <w:gridSpan w:val="2"/>
          </w:tcPr>
          <w:p>
            <w:pPr>
              <w:ind w:left="720"/>
              <w:spacing w:after="0" w:line="214" w:lineRule="exact"/>
              <w:rPr>
                <w:sz w:val="20"/>
                <w:szCs w:val="20"/>
                <w:color w:val="auto"/>
              </w:rPr>
            </w:pPr>
            <w:r>
              <w:rPr>
                <w:rFonts w:ascii="Times New Roman" w:cs="Times New Roman" w:eastAsia="Times New Roman" w:hAnsi="Times New Roman"/>
                <w:sz w:val="19"/>
                <w:szCs w:val="19"/>
                <w:color w:val="231F20"/>
              </w:rPr>
              <w:t>—</w:t>
            </w:r>
          </w:p>
        </w:tc>
      </w:tr>
      <w:tr>
        <w:trPr>
          <w:trHeight w:val="213"/>
        </w:trPr>
        <w:tc>
          <w:tcPr>
            <w:tcW w:w="4780" w:type="dxa"/>
            <w:vAlign w:val="bottom"/>
            <w:tcBorders>
              <w:top w:val="single" w:sz="8" w:color="E6E7E8"/>
            </w:tcBorders>
            <w:gridSpan w:val="2"/>
            <w:shd w:val="clear" w:color="auto" w:fill="E6E7E8"/>
          </w:tcPr>
          <w:p>
            <w:pPr>
              <w:ind w:left="200"/>
              <w:spacing w:after="0" w:line="214" w:lineRule="exact"/>
              <w:rPr>
                <w:sz w:val="20"/>
                <w:szCs w:val="20"/>
                <w:color w:val="auto"/>
              </w:rPr>
            </w:pPr>
            <w:r>
              <w:rPr>
                <w:rFonts w:ascii="Times New Roman" w:cs="Times New Roman" w:eastAsia="Times New Roman" w:hAnsi="Times New Roman"/>
                <w:sz w:val="19"/>
                <w:szCs w:val="19"/>
                <w:color w:val="231F20"/>
              </w:rPr>
              <w:t>Real Estate Fund–Measured at Net Asset Value</w:t>
            </w:r>
          </w:p>
        </w:tc>
        <w:tc>
          <w:tcPr>
            <w:tcW w:w="120" w:type="dxa"/>
            <w:vAlign w:val="bottom"/>
            <w:tcBorders>
              <w:top w:val="single" w:sz="8" w:color="E6E7E8"/>
            </w:tcBorders>
            <w:shd w:val="clear" w:color="auto" w:fill="E6E7E8"/>
          </w:tcPr>
          <w:p>
            <w:pPr>
              <w:spacing w:after="0"/>
              <w:rPr>
                <w:sz w:val="18"/>
                <w:szCs w:val="18"/>
                <w:color w:val="auto"/>
              </w:rPr>
            </w:pPr>
          </w:p>
        </w:tc>
        <w:tc>
          <w:tcPr>
            <w:tcW w:w="240" w:type="dxa"/>
            <w:vAlign w:val="bottom"/>
            <w:tcBorders>
              <w:top w:val="single" w:sz="8" w:color="231F20"/>
              <w:bottom w:val="single" w:sz="8" w:color="231F20"/>
            </w:tcBorders>
            <w:shd w:val="clear" w:color="auto" w:fill="E6E7E8"/>
          </w:tcPr>
          <w:p>
            <w:pPr>
              <w:spacing w:after="0"/>
              <w:rPr>
                <w:sz w:val="18"/>
                <w:szCs w:val="18"/>
                <w:color w:val="auto"/>
              </w:rPr>
            </w:pPr>
          </w:p>
        </w:tc>
        <w:tc>
          <w:tcPr>
            <w:tcW w:w="780" w:type="dxa"/>
            <w:vAlign w:val="bottom"/>
            <w:tcBorders>
              <w:top w:val="single" w:sz="8" w:color="231F20"/>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9,347</w:t>
            </w:r>
          </w:p>
        </w:tc>
        <w:tc>
          <w:tcPr>
            <w:tcW w:w="20" w:type="dxa"/>
            <w:vAlign w:val="bottom"/>
            <w:tcBorders>
              <w:top w:val="single" w:sz="8" w:color="E6E7E8"/>
            </w:tcBorders>
            <w:shd w:val="clear" w:color="auto" w:fill="E6E7E8"/>
          </w:tcPr>
          <w:p>
            <w:pPr>
              <w:spacing w:after="0"/>
              <w:rPr>
                <w:sz w:val="18"/>
                <w:szCs w:val="18"/>
                <w:color w:val="auto"/>
              </w:rPr>
            </w:pPr>
          </w:p>
        </w:tc>
        <w:tc>
          <w:tcPr>
            <w:tcW w:w="100" w:type="dxa"/>
            <w:vAlign w:val="bottom"/>
            <w:tcBorders>
              <w:top w:val="single" w:sz="8" w:color="E6E7E8"/>
            </w:tcBorders>
            <w:shd w:val="clear" w:color="auto" w:fill="E6E7E8"/>
          </w:tcPr>
          <w:p>
            <w:pPr>
              <w:spacing w:after="0"/>
              <w:rPr>
                <w:sz w:val="18"/>
                <w:szCs w:val="18"/>
                <w:color w:val="auto"/>
              </w:rPr>
            </w:pPr>
          </w:p>
        </w:tc>
        <w:tc>
          <w:tcPr>
            <w:tcW w:w="100" w:type="dxa"/>
            <w:vAlign w:val="bottom"/>
            <w:tcBorders>
              <w:top w:val="single" w:sz="8" w:color="E6E7E8"/>
            </w:tcBorders>
            <w:shd w:val="clear" w:color="auto" w:fill="E6E7E8"/>
          </w:tcPr>
          <w:p>
            <w:pPr>
              <w:spacing w:after="0"/>
              <w:rPr>
                <w:sz w:val="18"/>
                <w:szCs w:val="18"/>
                <w:color w:val="auto"/>
              </w:rPr>
            </w:pPr>
          </w:p>
        </w:tc>
        <w:tc>
          <w:tcPr>
            <w:tcW w:w="100" w:type="dxa"/>
            <w:vAlign w:val="bottom"/>
            <w:tcBorders>
              <w:top w:val="single" w:sz="8" w:color="231F20"/>
            </w:tcBorders>
            <w:shd w:val="clear" w:color="auto" w:fill="E6E7E8"/>
          </w:tcPr>
          <w:p>
            <w:pPr>
              <w:spacing w:after="0"/>
              <w:rPr>
                <w:sz w:val="18"/>
                <w:szCs w:val="18"/>
                <w:color w:val="auto"/>
              </w:rPr>
            </w:pPr>
          </w:p>
        </w:tc>
        <w:tc>
          <w:tcPr>
            <w:tcW w:w="920" w:type="dxa"/>
            <w:vAlign w:val="bottom"/>
            <w:tcBorders>
              <w:top w:val="single" w:sz="8" w:color="231F20"/>
            </w:tcBorders>
            <w:shd w:val="clear" w:color="auto" w:fill="E6E7E8"/>
          </w:tcPr>
          <w:p>
            <w:pPr>
              <w:spacing w:after="0"/>
              <w:rPr>
                <w:sz w:val="18"/>
                <w:szCs w:val="18"/>
                <w:color w:val="auto"/>
              </w:rPr>
            </w:pPr>
          </w:p>
        </w:tc>
        <w:tc>
          <w:tcPr>
            <w:tcW w:w="120" w:type="dxa"/>
            <w:vAlign w:val="bottom"/>
            <w:tcBorders>
              <w:top w:val="single" w:sz="8" w:color="E6E7E8"/>
            </w:tcBorders>
            <w:shd w:val="clear" w:color="auto" w:fill="E6E7E8"/>
          </w:tcPr>
          <w:p>
            <w:pPr>
              <w:spacing w:after="0"/>
              <w:rPr>
                <w:sz w:val="18"/>
                <w:szCs w:val="18"/>
                <w:color w:val="auto"/>
              </w:rPr>
            </w:pPr>
          </w:p>
        </w:tc>
        <w:tc>
          <w:tcPr>
            <w:tcW w:w="100" w:type="dxa"/>
            <w:vAlign w:val="bottom"/>
            <w:tcBorders>
              <w:top w:val="single" w:sz="8" w:color="E6E7E8"/>
            </w:tcBorders>
            <w:shd w:val="clear" w:color="auto" w:fill="E6E7E8"/>
          </w:tcPr>
          <w:p>
            <w:pPr>
              <w:spacing w:after="0"/>
              <w:rPr>
                <w:sz w:val="18"/>
                <w:szCs w:val="18"/>
                <w:color w:val="auto"/>
              </w:rPr>
            </w:pPr>
          </w:p>
        </w:tc>
        <w:tc>
          <w:tcPr>
            <w:tcW w:w="120" w:type="dxa"/>
            <w:vAlign w:val="bottom"/>
            <w:tcBorders>
              <w:top w:val="single" w:sz="8" w:color="231F20"/>
            </w:tcBorders>
            <w:shd w:val="clear" w:color="auto" w:fill="E6E7E8"/>
          </w:tcPr>
          <w:p>
            <w:pPr>
              <w:spacing w:after="0"/>
              <w:rPr>
                <w:sz w:val="18"/>
                <w:szCs w:val="18"/>
                <w:color w:val="auto"/>
              </w:rPr>
            </w:pPr>
          </w:p>
        </w:tc>
        <w:tc>
          <w:tcPr>
            <w:tcW w:w="920" w:type="dxa"/>
            <w:vAlign w:val="bottom"/>
            <w:tcBorders>
              <w:top w:val="single" w:sz="8" w:color="231F20"/>
            </w:tcBorders>
            <w:shd w:val="clear" w:color="auto" w:fill="E6E7E8"/>
          </w:tcPr>
          <w:p>
            <w:pPr>
              <w:spacing w:after="0"/>
              <w:rPr>
                <w:sz w:val="18"/>
                <w:szCs w:val="18"/>
                <w:color w:val="auto"/>
              </w:rPr>
            </w:pPr>
          </w:p>
        </w:tc>
        <w:tc>
          <w:tcPr>
            <w:tcW w:w="200" w:type="dxa"/>
            <w:vAlign w:val="bottom"/>
            <w:tcBorders>
              <w:top w:val="single" w:sz="8" w:color="E6E7E8"/>
            </w:tcBorders>
            <w:shd w:val="clear" w:color="auto" w:fill="E6E7E8"/>
          </w:tcPr>
          <w:p>
            <w:pPr>
              <w:spacing w:after="0"/>
              <w:rPr>
                <w:sz w:val="18"/>
                <w:szCs w:val="18"/>
                <w:color w:val="auto"/>
              </w:rPr>
            </w:pPr>
          </w:p>
        </w:tc>
        <w:tc>
          <w:tcPr>
            <w:tcW w:w="120" w:type="dxa"/>
            <w:vAlign w:val="bottom"/>
            <w:tcBorders>
              <w:top w:val="single" w:sz="8" w:color="231F20"/>
            </w:tcBorders>
            <w:shd w:val="clear" w:color="auto" w:fill="E6E7E8"/>
          </w:tcPr>
          <w:p>
            <w:pPr>
              <w:spacing w:after="0"/>
              <w:rPr>
                <w:sz w:val="18"/>
                <w:szCs w:val="18"/>
                <w:color w:val="auto"/>
              </w:rPr>
            </w:pPr>
          </w:p>
        </w:tc>
        <w:tc>
          <w:tcPr>
            <w:tcW w:w="920" w:type="dxa"/>
            <w:vAlign w:val="bottom"/>
            <w:tcBorders>
              <w:top w:val="single" w:sz="8" w:color="231F20"/>
            </w:tcBorders>
            <w:shd w:val="clear" w:color="auto" w:fill="E6E7E8"/>
          </w:tcPr>
          <w:p>
            <w:pPr>
              <w:spacing w:after="0"/>
              <w:rPr>
                <w:sz w:val="18"/>
                <w:szCs w:val="18"/>
                <w:color w:val="auto"/>
              </w:rPr>
            </w:pPr>
          </w:p>
        </w:tc>
        <w:tc>
          <w:tcPr>
            <w:tcW w:w="60" w:type="dxa"/>
            <w:vAlign w:val="bottom"/>
            <w:tcBorders>
              <w:top w:val="single" w:sz="8" w:color="E6E7E8"/>
            </w:tcBorders>
            <w:shd w:val="clear" w:color="auto" w:fill="E6E7E8"/>
          </w:tcPr>
          <w:p>
            <w:pPr>
              <w:spacing w:after="0"/>
              <w:rPr>
                <w:sz w:val="18"/>
                <w:szCs w:val="18"/>
                <w:color w:val="auto"/>
              </w:rPr>
            </w:pPr>
          </w:p>
        </w:tc>
      </w:tr>
      <w:tr>
        <w:trPr>
          <w:trHeight w:val="254"/>
        </w:trPr>
        <w:tc>
          <w:tcPr>
            <w:tcW w:w="4780" w:type="dxa"/>
            <w:vAlign w:val="bottom"/>
            <w:tcBorders>
              <w:bottom w:val="single" w:sz="8" w:color="E6E7E8"/>
            </w:tcBorders>
            <w:gridSpan w:val="2"/>
          </w:tcPr>
          <w:p>
            <w:pPr>
              <w:spacing w:after="0" w:line="214" w:lineRule="exact"/>
              <w:rPr>
                <w:sz w:val="20"/>
                <w:szCs w:val="20"/>
                <w:color w:val="auto"/>
              </w:rPr>
            </w:pPr>
            <w:r>
              <w:rPr>
                <w:rFonts w:ascii="Times New Roman" w:cs="Times New Roman" w:eastAsia="Times New Roman" w:hAnsi="Times New Roman"/>
                <w:sz w:val="19"/>
                <w:szCs w:val="19"/>
                <w:color w:val="231F20"/>
              </w:rPr>
              <w:t>Total Assets</w:t>
            </w:r>
          </w:p>
        </w:tc>
        <w:tc>
          <w:tcPr>
            <w:tcW w:w="120" w:type="dxa"/>
            <w:vAlign w:val="bottom"/>
            <w:tcBorders>
              <w:bottom w:val="single" w:sz="8" w:color="E6E7E8"/>
            </w:tcBorders>
          </w:tcPr>
          <w:p>
            <w:pPr>
              <w:spacing w:after="0"/>
              <w:rPr>
                <w:sz w:val="22"/>
                <w:szCs w:val="22"/>
                <w:color w:val="auto"/>
              </w:rPr>
            </w:pPr>
          </w:p>
        </w:tc>
        <w:tc>
          <w:tcPr>
            <w:tcW w:w="240" w:type="dxa"/>
            <w:vAlign w:val="bottom"/>
            <w:tcBorders>
              <w:bottom w:val="single" w:sz="8" w:color="231F20"/>
            </w:tcBorders>
          </w:tcPr>
          <w:p>
            <w:pPr>
              <w:jc w:val="right"/>
              <w:ind w:right="77"/>
              <w:spacing w:after="0"/>
              <w:rPr>
                <w:sz w:val="20"/>
                <w:szCs w:val="20"/>
                <w:color w:val="auto"/>
              </w:rPr>
            </w:pPr>
            <w:r>
              <w:rPr>
                <w:rFonts w:ascii="Times New Roman" w:cs="Times New Roman" w:eastAsia="Times New Roman" w:hAnsi="Times New Roman"/>
                <w:sz w:val="17"/>
                <w:szCs w:val="17"/>
                <w:color w:val="231F20"/>
                <w:w w:val="70"/>
              </w:rPr>
              <w:t>$</w:t>
            </w:r>
          </w:p>
        </w:tc>
        <w:tc>
          <w:tcPr>
            <w:tcW w:w="78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163,298</w:t>
            </w:r>
          </w:p>
        </w:tc>
        <w:tc>
          <w:tcPr>
            <w:tcW w:w="20" w:type="dxa"/>
            <w:vAlign w:val="bottom"/>
            <w:tcBorders>
              <w:bottom w:val="single" w:sz="8" w:color="E6E7E8"/>
            </w:tcBorders>
          </w:tcPr>
          <w:p>
            <w:pPr>
              <w:spacing w:after="0"/>
              <w:rPr>
                <w:sz w:val="22"/>
                <w:szCs w:val="22"/>
                <w:color w:val="auto"/>
              </w:rPr>
            </w:pPr>
          </w:p>
        </w:tc>
        <w:tc>
          <w:tcPr>
            <w:tcW w:w="100" w:type="dxa"/>
            <w:vAlign w:val="bottom"/>
            <w:tcBorders>
              <w:bottom w:val="single" w:sz="8" w:color="E6E7E8"/>
            </w:tcBorders>
          </w:tcPr>
          <w:p>
            <w:pPr>
              <w:spacing w:after="0"/>
              <w:rPr>
                <w:sz w:val="22"/>
                <w:szCs w:val="22"/>
                <w:color w:val="auto"/>
              </w:rPr>
            </w:pPr>
          </w:p>
        </w:tc>
        <w:tc>
          <w:tcPr>
            <w:tcW w:w="100" w:type="dxa"/>
            <w:vAlign w:val="bottom"/>
            <w:tcBorders>
              <w:bottom w:val="single" w:sz="8" w:color="E6E7E8"/>
            </w:tcBorders>
          </w:tcPr>
          <w:p>
            <w:pPr>
              <w:spacing w:after="0"/>
              <w:rPr>
                <w:sz w:val="22"/>
                <w:szCs w:val="22"/>
                <w:color w:val="auto"/>
              </w:rPr>
            </w:pPr>
          </w:p>
        </w:tc>
        <w:tc>
          <w:tcPr>
            <w:tcW w:w="100" w:type="dxa"/>
            <w:vAlign w:val="bottom"/>
            <w:tcBorders>
              <w:bottom w:val="single" w:sz="8" w:color="E6E7E8"/>
            </w:tcBorders>
          </w:tcPr>
          <w:p>
            <w:pPr>
              <w:spacing w:after="0"/>
              <w:rPr>
                <w:sz w:val="22"/>
                <w:szCs w:val="22"/>
                <w:color w:val="auto"/>
              </w:rPr>
            </w:pPr>
          </w:p>
        </w:tc>
        <w:tc>
          <w:tcPr>
            <w:tcW w:w="920" w:type="dxa"/>
            <w:vAlign w:val="bottom"/>
            <w:tcBorders>
              <w:bottom w:val="single" w:sz="8" w:color="E6E7E8"/>
            </w:tcBorders>
          </w:tcPr>
          <w:p>
            <w:pPr>
              <w:spacing w:after="0"/>
              <w:rPr>
                <w:sz w:val="22"/>
                <w:szCs w:val="22"/>
                <w:color w:val="auto"/>
              </w:rPr>
            </w:pPr>
          </w:p>
        </w:tc>
        <w:tc>
          <w:tcPr>
            <w:tcW w:w="120" w:type="dxa"/>
            <w:vAlign w:val="bottom"/>
            <w:tcBorders>
              <w:bottom w:val="single" w:sz="8" w:color="E6E7E8"/>
            </w:tcBorders>
          </w:tcPr>
          <w:p>
            <w:pPr>
              <w:spacing w:after="0"/>
              <w:rPr>
                <w:sz w:val="22"/>
                <w:szCs w:val="22"/>
                <w:color w:val="auto"/>
              </w:rPr>
            </w:pPr>
          </w:p>
        </w:tc>
        <w:tc>
          <w:tcPr>
            <w:tcW w:w="100" w:type="dxa"/>
            <w:vAlign w:val="bottom"/>
            <w:tcBorders>
              <w:bottom w:val="single" w:sz="8" w:color="E6E7E8"/>
            </w:tcBorders>
          </w:tcPr>
          <w:p>
            <w:pPr>
              <w:spacing w:after="0"/>
              <w:rPr>
                <w:sz w:val="22"/>
                <w:szCs w:val="22"/>
                <w:color w:val="auto"/>
              </w:rPr>
            </w:pPr>
          </w:p>
        </w:tc>
        <w:tc>
          <w:tcPr>
            <w:tcW w:w="120" w:type="dxa"/>
            <w:vAlign w:val="bottom"/>
            <w:tcBorders>
              <w:bottom w:val="single" w:sz="8" w:color="E6E7E8"/>
            </w:tcBorders>
          </w:tcPr>
          <w:p>
            <w:pPr>
              <w:spacing w:after="0"/>
              <w:rPr>
                <w:sz w:val="22"/>
                <w:szCs w:val="22"/>
                <w:color w:val="auto"/>
              </w:rPr>
            </w:pPr>
          </w:p>
        </w:tc>
        <w:tc>
          <w:tcPr>
            <w:tcW w:w="920" w:type="dxa"/>
            <w:vAlign w:val="bottom"/>
            <w:tcBorders>
              <w:bottom w:val="single" w:sz="8" w:color="E6E7E8"/>
            </w:tcBorders>
          </w:tcPr>
          <w:p>
            <w:pPr>
              <w:spacing w:after="0"/>
              <w:rPr>
                <w:sz w:val="22"/>
                <w:szCs w:val="22"/>
                <w:color w:val="auto"/>
              </w:rPr>
            </w:pPr>
          </w:p>
        </w:tc>
        <w:tc>
          <w:tcPr>
            <w:tcW w:w="200" w:type="dxa"/>
            <w:vAlign w:val="bottom"/>
            <w:tcBorders>
              <w:bottom w:val="single" w:sz="8" w:color="E6E7E8"/>
            </w:tcBorders>
          </w:tcPr>
          <w:p>
            <w:pPr>
              <w:spacing w:after="0"/>
              <w:rPr>
                <w:sz w:val="22"/>
                <w:szCs w:val="22"/>
                <w:color w:val="auto"/>
              </w:rPr>
            </w:pPr>
          </w:p>
        </w:tc>
        <w:tc>
          <w:tcPr>
            <w:tcW w:w="120" w:type="dxa"/>
            <w:vAlign w:val="bottom"/>
            <w:tcBorders>
              <w:bottom w:val="single" w:sz="8" w:color="E6E7E8"/>
            </w:tcBorders>
          </w:tcPr>
          <w:p>
            <w:pPr>
              <w:spacing w:after="0"/>
              <w:rPr>
                <w:sz w:val="22"/>
                <w:szCs w:val="22"/>
                <w:color w:val="auto"/>
              </w:rPr>
            </w:pPr>
          </w:p>
        </w:tc>
        <w:tc>
          <w:tcPr>
            <w:tcW w:w="920" w:type="dxa"/>
            <w:vAlign w:val="bottom"/>
            <w:tcBorders>
              <w:bottom w:val="single" w:sz="8" w:color="E6E7E8"/>
            </w:tcBorders>
          </w:tcPr>
          <w:p>
            <w:pPr>
              <w:spacing w:after="0"/>
              <w:rPr>
                <w:sz w:val="22"/>
                <w:szCs w:val="22"/>
                <w:color w:val="auto"/>
              </w:rPr>
            </w:pPr>
          </w:p>
        </w:tc>
        <w:tc>
          <w:tcPr>
            <w:tcW w:w="60" w:type="dxa"/>
            <w:vAlign w:val="bottom"/>
            <w:tcBorders>
              <w:bottom w:val="single" w:sz="8" w:color="E6E7E8"/>
            </w:tcBorders>
          </w:tcPr>
          <w:p>
            <w:pPr>
              <w:spacing w:after="0"/>
              <w:rPr>
                <w:sz w:val="22"/>
                <w:szCs w:val="22"/>
                <w:color w:val="auto"/>
              </w:rPr>
            </w:pPr>
          </w:p>
        </w:tc>
      </w:tr>
      <w:tr>
        <w:trPr>
          <w:trHeight w:val="192"/>
        </w:trPr>
        <w:tc>
          <w:tcPr>
            <w:tcW w:w="380" w:type="dxa"/>
            <w:vAlign w:val="bottom"/>
            <w:tcBorders>
              <w:bottom w:val="single" w:sz="8" w:color="231F20"/>
            </w:tcBorders>
            <w:shd w:val="clear" w:color="auto" w:fill="E6E7E8"/>
          </w:tcPr>
          <w:p>
            <w:pPr>
              <w:spacing w:after="0" w:line="193" w:lineRule="exact"/>
              <w:rPr>
                <w:sz w:val="20"/>
                <w:szCs w:val="20"/>
                <w:color w:val="auto"/>
              </w:rPr>
            </w:pPr>
            <w:r>
              <w:rPr>
                <w:rFonts w:ascii="Times New Roman" w:cs="Times New Roman" w:eastAsia="Times New Roman" w:hAnsi="Times New Roman"/>
                <w:sz w:val="19"/>
                <w:szCs w:val="19"/>
                <w:b w:val="1"/>
                <w:bCs w:val="1"/>
                <w:color w:val="231F20"/>
                <w:w w:val="94"/>
              </w:rPr>
              <w:t>2024</w:t>
            </w:r>
          </w:p>
        </w:tc>
        <w:tc>
          <w:tcPr>
            <w:tcW w:w="4400" w:type="dxa"/>
            <w:vAlign w:val="bottom"/>
            <w:tcBorders>
              <w:bottom w:val="single" w:sz="8" w:color="E6E7E8"/>
            </w:tcBorders>
            <w:shd w:val="clear" w:color="auto" w:fill="E6E7E8"/>
          </w:tcPr>
          <w:p>
            <w:pPr>
              <w:spacing w:after="0"/>
              <w:rPr>
                <w:sz w:val="16"/>
                <w:szCs w:val="16"/>
                <w:color w:val="auto"/>
              </w:rPr>
            </w:pPr>
          </w:p>
        </w:tc>
        <w:tc>
          <w:tcPr>
            <w:tcW w:w="120" w:type="dxa"/>
            <w:vAlign w:val="bottom"/>
            <w:tcBorders>
              <w:bottom w:val="single" w:sz="8" w:color="E6E7E8"/>
            </w:tcBorders>
            <w:shd w:val="clear" w:color="auto" w:fill="E6E7E8"/>
          </w:tcPr>
          <w:p>
            <w:pPr>
              <w:spacing w:after="0"/>
              <w:rPr>
                <w:sz w:val="16"/>
                <w:szCs w:val="16"/>
                <w:color w:val="auto"/>
              </w:rPr>
            </w:pPr>
          </w:p>
        </w:tc>
        <w:tc>
          <w:tcPr>
            <w:tcW w:w="240" w:type="dxa"/>
            <w:vAlign w:val="bottom"/>
            <w:tcBorders>
              <w:bottom w:val="single" w:sz="8" w:color="E6E7E8"/>
            </w:tcBorders>
            <w:shd w:val="clear" w:color="auto" w:fill="E6E7E8"/>
          </w:tcPr>
          <w:p>
            <w:pPr>
              <w:spacing w:after="0"/>
              <w:rPr>
                <w:sz w:val="16"/>
                <w:szCs w:val="16"/>
                <w:color w:val="auto"/>
              </w:rPr>
            </w:pPr>
          </w:p>
        </w:tc>
        <w:tc>
          <w:tcPr>
            <w:tcW w:w="780" w:type="dxa"/>
            <w:vAlign w:val="bottom"/>
            <w:tcBorders>
              <w:bottom w:val="single" w:sz="8" w:color="E6E7E8"/>
            </w:tcBorders>
            <w:shd w:val="clear" w:color="auto" w:fill="E6E7E8"/>
          </w:tcPr>
          <w:p>
            <w:pPr>
              <w:spacing w:after="0"/>
              <w:rPr>
                <w:sz w:val="16"/>
                <w:szCs w:val="16"/>
                <w:color w:val="auto"/>
              </w:rPr>
            </w:pPr>
          </w:p>
        </w:tc>
        <w:tc>
          <w:tcPr>
            <w:tcW w:w="20" w:type="dxa"/>
            <w:vAlign w:val="bottom"/>
            <w:tcBorders>
              <w:bottom w:val="single" w:sz="8" w:color="E6E7E8"/>
            </w:tcBorders>
            <w:shd w:val="clear" w:color="auto" w:fill="E6E7E8"/>
          </w:tcPr>
          <w:p>
            <w:pPr>
              <w:spacing w:after="0"/>
              <w:rPr>
                <w:sz w:val="16"/>
                <w:szCs w:val="16"/>
                <w:color w:val="auto"/>
              </w:rPr>
            </w:pPr>
          </w:p>
        </w:tc>
        <w:tc>
          <w:tcPr>
            <w:tcW w:w="100" w:type="dxa"/>
            <w:vAlign w:val="bottom"/>
            <w:tcBorders>
              <w:bottom w:val="single" w:sz="8" w:color="E6E7E8"/>
            </w:tcBorders>
            <w:shd w:val="clear" w:color="auto" w:fill="E6E7E8"/>
          </w:tcPr>
          <w:p>
            <w:pPr>
              <w:spacing w:after="0"/>
              <w:rPr>
                <w:sz w:val="16"/>
                <w:szCs w:val="16"/>
                <w:color w:val="auto"/>
              </w:rPr>
            </w:pPr>
          </w:p>
        </w:tc>
        <w:tc>
          <w:tcPr>
            <w:tcW w:w="100" w:type="dxa"/>
            <w:vAlign w:val="bottom"/>
            <w:tcBorders>
              <w:bottom w:val="single" w:sz="8" w:color="E6E7E8"/>
            </w:tcBorders>
            <w:shd w:val="clear" w:color="auto" w:fill="E6E7E8"/>
          </w:tcPr>
          <w:p>
            <w:pPr>
              <w:spacing w:after="0"/>
              <w:rPr>
                <w:sz w:val="16"/>
                <w:szCs w:val="16"/>
                <w:color w:val="auto"/>
              </w:rPr>
            </w:pPr>
          </w:p>
        </w:tc>
        <w:tc>
          <w:tcPr>
            <w:tcW w:w="100" w:type="dxa"/>
            <w:vAlign w:val="bottom"/>
            <w:tcBorders>
              <w:bottom w:val="single" w:sz="8" w:color="E6E7E8"/>
            </w:tcBorders>
            <w:shd w:val="clear" w:color="auto" w:fill="E6E7E8"/>
          </w:tcPr>
          <w:p>
            <w:pPr>
              <w:spacing w:after="0"/>
              <w:rPr>
                <w:sz w:val="16"/>
                <w:szCs w:val="16"/>
                <w:color w:val="auto"/>
              </w:rPr>
            </w:pPr>
          </w:p>
        </w:tc>
        <w:tc>
          <w:tcPr>
            <w:tcW w:w="920" w:type="dxa"/>
            <w:vAlign w:val="bottom"/>
            <w:tcBorders>
              <w:bottom w:val="single" w:sz="8" w:color="E6E7E8"/>
            </w:tcBorders>
            <w:shd w:val="clear" w:color="auto" w:fill="E6E7E8"/>
          </w:tcPr>
          <w:p>
            <w:pPr>
              <w:spacing w:after="0"/>
              <w:rPr>
                <w:sz w:val="16"/>
                <w:szCs w:val="16"/>
                <w:color w:val="auto"/>
              </w:rPr>
            </w:pPr>
          </w:p>
        </w:tc>
        <w:tc>
          <w:tcPr>
            <w:tcW w:w="120" w:type="dxa"/>
            <w:vAlign w:val="bottom"/>
            <w:tcBorders>
              <w:bottom w:val="single" w:sz="8" w:color="E6E7E8"/>
            </w:tcBorders>
            <w:shd w:val="clear" w:color="auto" w:fill="E6E7E8"/>
          </w:tcPr>
          <w:p>
            <w:pPr>
              <w:spacing w:after="0"/>
              <w:rPr>
                <w:sz w:val="16"/>
                <w:szCs w:val="16"/>
                <w:color w:val="auto"/>
              </w:rPr>
            </w:pPr>
          </w:p>
        </w:tc>
        <w:tc>
          <w:tcPr>
            <w:tcW w:w="100" w:type="dxa"/>
            <w:vAlign w:val="bottom"/>
            <w:tcBorders>
              <w:bottom w:val="single" w:sz="8" w:color="E6E7E8"/>
            </w:tcBorders>
            <w:shd w:val="clear" w:color="auto" w:fill="E6E7E8"/>
          </w:tcPr>
          <w:p>
            <w:pPr>
              <w:spacing w:after="0"/>
              <w:rPr>
                <w:sz w:val="16"/>
                <w:szCs w:val="16"/>
                <w:color w:val="auto"/>
              </w:rPr>
            </w:pPr>
          </w:p>
        </w:tc>
        <w:tc>
          <w:tcPr>
            <w:tcW w:w="120" w:type="dxa"/>
            <w:vAlign w:val="bottom"/>
            <w:tcBorders>
              <w:bottom w:val="single" w:sz="8" w:color="E6E7E8"/>
            </w:tcBorders>
            <w:shd w:val="clear" w:color="auto" w:fill="E6E7E8"/>
          </w:tcPr>
          <w:p>
            <w:pPr>
              <w:spacing w:after="0"/>
              <w:rPr>
                <w:sz w:val="16"/>
                <w:szCs w:val="16"/>
                <w:color w:val="auto"/>
              </w:rPr>
            </w:pPr>
          </w:p>
        </w:tc>
        <w:tc>
          <w:tcPr>
            <w:tcW w:w="920" w:type="dxa"/>
            <w:vAlign w:val="bottom"/>
            <w:tcBorders>
              <w:bottom w:val="single" w:sz="8" w:color="E6E7E8"/>
            </w:tcBorders>
            <w:shd w:val="clear" w:color="auto" w:fill="E6E7E8"/>
          </w:tcPr>
          <w:p>
            <w:pPr>
              <w:spacing w:after="0"/>
              <w:rPr>
                <w:sz w:val="16"/>
                <w:szCs w:val="16"/>
                <w:color w:val="auto"/>
              </w:rPr>
            </w:pPr>
          </w:p>
        </w:tc>
        <w:tc>
          <w:tcPr>
            <w:tcW w:w="200" w:type="dxa"/>
            <w:vAlign w:val="bottom"/>
            <w:tcBorders>
              <w:bottom w:val="single" w:sz="8" w:color="E6E7E8"/>
            </w:tcBorders>
            <w:shd w:val="clear" w:color="auto" w:fill="E6E7E8"/>
          </w:tcPr>
          <w:p>
            <w:pPr>
              <w:spacing w:after="0"/>
              <w:rPr>
                <w:sz w:val="16"/>
                <w:szCs w:val="16"/>
                <w:color w:val="auto"/>
              </w:rPr>
            </w:pPr>
          </w:p>
        </w:tc>
        <w:tc>
          <w:tcPr>
            <w:tcW w:w="120" w:type="dxa"/>
            <w:vAlign w:val="bottom"/>
            <w:tcBorders>
              <w:bottom w:val="single" w:sz="8" w:color="E6E7E8"/>
            </w:tcBorders>
            <w:shd w:val="clear" w:color="auto" w:fill="E6E7E8"/>
          </w:tcPr>
          <w:p>
            <w:pPr>
              <w:spacing w:after="0"/>
              <w:rPr>
                <w:sz w:val="16"/>
                <w:szCs w:val="16"/>
                <w:color w:val="auto"/>
              </w:rPr>
            </w:pPr>
          </w:p>
        </w:tc>
        <w:tc>
          <w:tcPr>
            <w:tcW w:w="920" w:type="dxa"/>
            <w:vAlign w:val="bottom"/>
            <w:tcBorders>
              <w:bottom w:val="single" w:sz="8" w:color="E6E7E8"/>
            </w:tcBorders>
            <w:shd w:val="clear" w:color="auto" w:fill="E6E7E8"/>
          </w:tcPr>
          <w:p>
            <w:pPr>
              <w:spacing w:after="0"/>
              <w:rPr>
                <w:sz w:val="16"/>
                <w:szCs w:val="16"/>
                <w:color w:val="auto"/>
              </w:rPr>
            </w:pPr>
          </w:p>
        </w:tc>
        <w:tc>
          <w:tcPr>
            <w:tcW w:w="60" w:type="dxa"/>
            <w:vAlign w:val="bottom"/>
            <w:tcBorders>
              <w:bottom w:val="single" w:sz="8" w:color="E6E7E8"/>
            </w:tcBorders>
            <w:shd w:val="clear" w:color="auto" w:fill="E6E7E8"/>
          </w:tcPr>
          <w:p>
            <w:pPr>
              <w:spacing w:after="0"/>
              <w:rPr>
                <w:sz w:val="16"/>
                <w:szCs w:val="16"/>
                <w:color w:val="auto"/>
              </w:rPr>
            </w:pPr>
          </w:p>
        </w:tc>
      </w:tr>
      <w:tr>
        <w:trPr>
          <w:trHeight w:val="210"/>
        </w:trPr>
        <w:tc>
          <w:tcPr>
            <w:tcW w:w="478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231F20"/>
              </w:rPr>
              <w:t>Pension Plan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478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19"/>
                <w:szCs w:val="19"/>
                <w:color w:val="231F20"/>
              </w:rPr>
              <w:t>Mutual Funds:</w:t>
            </w:r>
          </w:p>
        </w:tc>
        <w:tc>
          <w:tcPr>
            <w:tcW w:w="120" w:type="dxa"/>
            <w:vAlign w:val="bottom"/>
            <w:shd w:val="clear" w:color="auto" w:fill="E6E7E8"/>
          </w:tcPr>
          <w:p>
            <w:pPr>
              <w:spacing w:after="0"/>
              <w:rPr>
                <w:sz w:val="19"/>
                <w:szCs w:val="19"/>
                <w:color w:val="auto"/>
              </w:rPr>
            </w:pPr>
          </w:p>
        </w:tc>
        <w:tc>
          <w:tcPr>
            <w:tcW w:w="240" w:type="dxa"/>
            <w:vAlign w:val="bottom"/>
            <w:shd w:val="clear" w:color="auto" w:fill="E6E7E8"/>
          </w:tcPr>
          <w:p>
            <w:pPr>
              <w:spacing w:after="0"/>
              <w:rPr>
                <w:sz w:val="19"/>
                <w:szCs w:val="19"/>
                <w:color w:val="auto"/>
              </w:rPr>
            </w:pPr>
          </w:p>
        </w:tc>
        <w:tc>
          <w:tcPr>
            <w:tcW w:w="78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92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92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920" w:type="dxa"/>
            <w:vAlign w:val="bottom"/>
            <w:shd w:val="clear" w:color="auto" w:fill="E6E7E8"/>
          </w:tcPr>
          <w:p>
            <w:pPr>
              <w:spacing w:after="0"/>
              <w:rPr>
                <w:sz w:val="19"/>
                <w:szCs w:val="19"/>
                <w:color w:val="auto"/>
              </w:rPr>
            </w:pPr>
          </w:p>
        </w:tc>
        <w:tc>
          <w:tcPr>
            <w:tcW w:w="60" w:type="dxa"/>
            <w:vAlign w:val="bottom"/>
            <w:shd w:val="clear" w:color="auto" w:fill="E6E7E8"/>
          </w:tcPr>
          <w:p>
            <w:pPr>
              <w:spacing w:after="0"/>
              <w:rPr>
                <w:sz w:val="19"/>
                <w:szCs w:val="19"/>
                <w:color w:val="auto"/>
              </w:rPr>
            </w:pPr>
          </w:p>
        </w:tc>
      </w:tr>
      <w:tr>
        <w:trPr>
          <w:trHeight w:val="219"/>
        </w:trPr>
        <w:tc>
          <w:tcPr>
            <w:tcW w:w="478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Equity Funds</w:t>
            </w:r>
          </w:p>
        </w:tc>
        <w:tc>
          <w:tcPr>
            <w:tcW w:w="360" w:type="dxa"/>
            <w:vAlign w:val="bottom"/>
            <w:gridSpan w:val="2"/>
          </w:tcPr>
          <w:p>
            <w:pPr>
              <w:jc w:val="right"/>
              <w:ind w:right="77"/>
              <w:spacing w:after="0"/>
              <w:rPr>
                <w:sz w:val="20"/>
                <w:szCs w:val="20"/>
                <w:color w:val="auto"/>
              </w:rPr>
            </w:pPr>
            <w:r>
              <w:rPr>
                <w:rFonts w:ascii="Times New Roman" w:cs="Times New Roman" w:eastAsia="Times New Roman" w:hAnsi="Times New Roman"/>
                <w:sz w:val="19"/>
                <w:szCs w:val="19"/>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78,407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78,407</w:t>
            </w:r>
          </w:p>
        </w:tc>
        <w:tc>
          <w:tcPr>
            <w:tcW w:w="12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231F20"/>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9"/>
                <w:szCs w:val="19"/>
                <w:color w:val="231F20"/>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9"/>
                <w:szCs w:val="19"/>
                <w:color w:val="231F20"/>
              </w:rPr>
              <w:t>—</w:t>
            </w:r>
          </w:p>
        </w:tc>
      </w:tr>
      <w:tr>
        <w:trPr>
          <w:trHeight w:val="219"/>
        </w:trPr>
        <w:tc>
          <w:tcPr>
            <w:tcW w:w="478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Fixed Income Funds</w:t>
            </w:r>
          </w:p>
        </w:tc>
        <w:tc>
          <w:tcPr>
            <w:tcW w:w="120" w:type="dxa"/>
            <w:vAlign w:val="bottom"/>
            <w:shd w:val="clear" w:color="auto" w:fill="E6E7E8"/>
          </w:tcPr>
          <w:p>
            <w:pPr>
              <w:spacing w:after="0"/>
              <w:rPr>
                <w:sz w:val="19"/>
                <w:szCs w:val="19"/>
                <w:color w:val="auto"/>
              </w:rPr>
            </w:pPr>
          </w:p>
        </w:tc>
        <w:tc>
          <w:tcPr>
            <w:tcW w:w="240" w:type="dxa"/>
            <w:vAlign w:val="bottom"/>
            <w:shd w:val="clear" w:color="auto" w:fill="E6E7E8"/>
          </w:tcPr>
          <w:p>
            <w:pPr>
              <w:spacing w:after="0"/>
              <w:rPr>
                <w:sz w:val="19"/>
                <w:szCs w:val="19"/>
                <w:color w:val="auto"/>
              </w:rPr>
            </w:pPr>
          </w:p>
        </w:tc>
        <w:tc>
          <w:tcPr>
            <w:tcW w:w="7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61,741</w:t>
            </w:r>
          </w:p>
        </w:tc>
        <w:tc>
          <w:tcPr>
            <w:tcW w:w="2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9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61,741</w:t>
            </w:r>
          </w:p>
        </w:tc>
        <w:tc>
          <w:tcPr>
            <w:tcW w:w="12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1120" w:type="dxa"/>
            <w:vAlign w:val="bottom"/>
            <w:gridSpan w:val="2"/>
            <w:shd w:val="clear" w:color="auto" w:fill="E6E7E8"/>
          </w:tcPr>
          <w:p>
            <w:pPr>
              <w:ind w:left="720"/>
              <w:spacing w:after="0"/>
              <w:rPr>
                <w:sz w:val="20"/>
                <w:szCs w:val="20"/>
                <w:color w:val="auto"/>
              </w:rPr>
            </w:pPr>
            <w:r>
              <w:rPr>
                <w:rFonts w:ascii="Times New Roman" w:cs="Times New Roman" w:eastAsia="Times New Roman" w:hAnsi="Times New Roman"/>
                <w:sz w:val="19"/>
                <w:szCs w:val="19"/>
                <w:color w:val="231F20"/>
              </w:rPr>
              <w:t>—</w:t>
            </w:r>
          </w:p>
        </w:tc>
        <w:tc>
          <w:tcPr>
            <w:tcW w:w="120" w:type="dxa"/>
            <w:vAlign w:val="bottom"/>
            <w:shd w:val="clear" w:color="auto" w:fill="E6E7E8"/>
          </w:tcPr>
          <w:p>
            <w:pPr>
              <w:spacing w:after="0"/>
              <w:rPr>
                <w:sz w:val="19"/>
                <w:szCs w:val="19"/>
                <w:color w:val="auto"/>
              </w:rPr>
            </w:pPr>
          </w:p>
        </w:tc>
        <w:tc>
          <w:tcPr>
            <w:tcW w:w="980" w:type="dxa"/>
            <w:vAlign w:val="bottom"/>
            <w:gridSpan w:val="2"/>
            <w:shd w:val="clear" w:color="auto" w:fill="E6E7E8"/>
          </w:tcPr>
          <w:p>
            <w:pPr>
              <w:ind w:left="720"/>
              <w:spacing w:after="0"/>
              <w:rPr>
                <w:sz w:val="20"/>
                <w:szCs w:val="20"/>
                <w:color w:val="auto"/>
              </w:rPr>
            </w:pPr>
            <w:r>
              <w:rPr>
                <w:rFonts w:ascii="Times New Roman" w:cs="Times New Roman" w:eastAsia="Times New Roman" w:hAnsi="Times New Roman"/>
                <w:sz w:val="19"/>
                <w:szCs w:val="19"/>
                <w:color w:val="231F20"/>
              </w:rPr>
              <w:t>—</w:t>
            </w:r>
          </w:p>
        </w:tc>
      </w:tr>
      <w:tr>
        <w:trPr>
          <w:trHeight w:val="214"/>
        </w:trPr>
        <w:tc>
          <w:tcPr>
            <w:tcW w:w="4780" w:type="dxa"/>
            <w:vAlign w:val="bottom"/>
            <w:gridSpan w:val="2"/>
          </w:tcPr>
          <w:p>
            <w:pPr>
              <w:spacing w:after="0" w:line="214" w:lineRule="exact"/>
              <w:rPr>
                <w:sz w:val="20"/>
                <w:szCs w:val="20"/>
                <w:color w:val="auto"/>
              </w:rPr>
            </w:pPr>
            <w:r>
              <w:rPr>
                <w:rFonts w:ascii="Times New Roman" w:cs="Times New Roman" w:eastAsia="Times New Roman" w:hAnsi="Times New Roman"/>
                <w:sz w:val="19"/>
                <w:szCs w:val="19"/>
                <w:color w:val="231F20"/>
              </w:rPr>
              <w:t>Total Mutual Funds</w:t>
            </w:r>
          </w:p>
        </w:tc>
        <w:tc>
          <w:tcPr>
            <w:tcW w:w="120" w:type="dxa"/>
            <w:vAlign w:val="bottom"/>
          </w:tcPr>
          <w:p>
            <w:pPr>
              <w:spacing w:after="0"/>
              <w:rPr>
                <w:sz w:val="18"/>
                <w:szCs w:val="18"/>
                <w:color w:val="auto"/>
              </w:rPr>
            </w:pPr>
          </w:p>
        </w:tc>
        <w:tc>
          <w:tcPr>
            <w:tcW w:w="240" w:type="dxa"/>
            <w:vAlign w:val="bottom"/>
            <w:tcBorders>
              <w:top w:val="single" w:sz="8" w:color="231F20"/>
            </w:tcBorders>
          </w:tcPr>
          <w:p>
            <w:pPr>
              <w:spacing w:after="0"/>
              <w:rPr>
                <w:sz w:val="18"/>
                <w:szCs w:val="18"/>
                <w:color w:val="auto"/>
              </w:rPr>
            </w:pPr>
          </w:p>
        </w:tc>
        <w:tc>
          <w:tcPr>
            <w:tcW w:w="780" w:type="dxa"/>
            <w:vAlign w:val="bottom"/>
            <w:tcBorders>
              <w:top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140,148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231F20"/>
            </w:tcBorders>
          </w:tcPr>
          <w:p>
            <w:pPr>
              <w:spacing w:after="0"/>
              <w:rPr>
                <w:sz w:val="18"/>
                <w:szCs w:val="18"/>
                <w:color w:val="auto"/>
              </w:rPr>
            </w:pPr>
          </w:p>
        </w:tc>
        <w:tc>
          <w:tcPr>
            <w:tcW w:w="920" w:type="dxa"/>
            <w:vAlign w:val="bottom"/>
            <w:tcBorders>
              <w:top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140,148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231F20"/>
            </w:tcBorders>
          </w:tcPr>
          <w:p>
            <w:pPr>
              <w:spacing w:after="0"/>
              <w:rPr>
                <w:sz w:val="18"/>
                <w:szCs w:val="18"/>
                <w:color w:val="auto"/>
              </w:rPr>
            </w:pPr>
          </w:p>
        </w:tc>
        <w:tc>
          <w:tcPr>
            <w:tcW w:w="920" w:type="dxa"/>
            <w:vAlign w:val="bottom"/>
            <w:tcBorders>
              <w:top w:val="single" w:sz="8" w:color="231F20"/>
            </w:tcBorders>
          </w:tcPr>
          <w:p>
            <w:pPr>
              <w:ind w:left="720"/>
              <w:spacing w:after="0" w:line="214" w:lineRule="exact"/>
              <w:rPr>
                <w:sz w:val="20"/>
                <w:szCs w:val="20"/>
                <w:color w:val="auto"/>
              </w:rPr>
            </w:pPr>
            <w:r>
              <w:rPr>
                <w:rFonts w:ascii="Times New Roman" w:cs="Times New Roman" w:eastAsia="Times New Roman" w:hAnsi="Times New Roman"/>
                <w:sz w:val="19"/>
                <w:szCs w:val="19"/>
                <w:color w:val="231F20"/>
                <w:w w:val="94"/>
              </w:rPr>
              <w:t>—</w:t>
            </w:r>
          </w:p>
        </w:tc>
        <w:tc>
          <w:tcPr>
            <w:tcW w:w="200" w:type="dxa"/>
            <w:vAlign w:val="bottom"/>
          </w:tcPr>
          <w:p>
            <w:pPr>
              <w:spacing w:after="0"/>
              <w:rPr>
                <w:sz w:val="18"/>
                <w:szCs w:val="18"/>
                <w:color w:val="auto"/>
              </w:rPr>
            </w:pPr>
          </w:p>
        </w:tc>
        <w:tc>
          <w:tcPr>
            <w:tcW w:w="120" w:type="dxa"/>
            <w:vAlign w:val="bottom"/>
            <w:tcBorders>
              <w:top w:val="single" w:sz="8" w:color="231F20"/>
            </w:tcBorders>
          </w:tcPr>
          <w:p>
            <w:pPr>
              <w:spacing w:after="0"/>
              <w:rPr>
                <w:sz w:val="18"/>
                <w:szCs w:val="18"/>
                <w:color w:val="auto"/>
              </w:rPr>
            </w:pPr>
          </w:p>
        </w:tc>
        <w:tc>
          <w:tcPr>
            <w:tcW w:w="920" w:type="dxa"/>
            <w:vAlign w:val="bottom"/>
            <w:tcBorders>
              <w:top w:val="single" w:sz="8" w:color="231F20"/>
            </w:tcBorders>
          </w:tcPr>
          <w:p>
            <w:pPr>
              <w:ind w:left="720"/>
              <w:spacing w:after="0" w:line="214" w:lineRule="exact"/>
              <w:rPr>
                <w:sz w:val="20"/>
                <w:szCs w:val="20"/>
                <w:color w:val="auto"/>
              </w:rPr>
            </w:pPr>
            <w:r>
              <w:rPr>
                <w:rFonts w:ascii="Times New Roman" w:cs="Times New Roman" w:eastAsia="Times New Roman" w:hAnsi="Times New Roman"/>
                <w:sz w:val="19"/>
                <w:szCs w:val="19"/>
                <w:color w:val="231F20"/>
                <w:w w:val="94"/>
              </w:rPr>
              <w:t>—</w:t>
            </w:r>
          </w:p>
        </w:tc>
        <w:tc>
          <w:tcPr>
            <w:tcW w:w="60" w:type="dxa"/>
            <w:vAlign w:val="bottom"/>
          </w:tcPr>
          <w:p>
            <w:pPr>
              <w:spacing w:after="0"/>
              <w:rPr>
                <w:sz w:val="18"/>
                <w:szCs w:val="18"/>
                <w:color w:val="auto"/>
              </w:rPr>
            </w:pPr>
          </w:p>
        </w:tc>
      </w:tr>
      <w:tr>
        <w:trPr>
          <w:trHeight w:val="218"/>
        </w:trPr>
        <w:tc>
          <w:tcPr>
            <w:tcW w:w="478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19"/>
                <w:szCs w:val="19"/>
                <w:color w:val="231F20"/>
              </w:rPr>
              <w:t>Cash Equivalents</w:t>
            </w:r>
          </w:p>
        </w:tc>
        <w:tc>
          <w:tcPr>
            <w:tcW w:w="120" w:type="dxa"/>
            <w:vAlign w:val="bottom"/>
            <w:shd w:val="clear" w:color="auto" w:fill="E6E7E8"/>
          </w:tcPr>
          <w:p>
            <w:pPr>
              <w:spacing w:after="0"/>
              <w:rPr>
                <w:sz w:val="19"/>
                <w:szCs w:val="19"/>
                <w:color w:val="auto"/>
              </w:rPr>
            </w:pPr>
          </w:p>
        </w:tc>
        <w:tc>
          <w:tcPr>
            <w:tcW w:w="240" w:type="dxa"/>
            <w:vAlign w:val="bottom"/>
            <w:tcBorders>
              <w:bottom w:val="single" w:sz="8" w:color="231F20"/>
            </w:tcBorders>
            <w:shd w:val="clear" w:color="auto" w:fill="E6E7E8"/>
          </w:tcPr>
          <w:p>
            <w:pPr>
              <w:spacing w:after="0"/>
              <w:rPr>
                <w:sz w:val="19"/>
                <w:szCs w:val="19"/>
                <w:color w:val="auto"/>
              </w:rPr>
            </w:pPr>
          </w:p>
        </w:tc>
        <w:tc>
          <w:tcPr>
            <w:tcW w:w="78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1,504</w:t>
            </w:r>
          </w:p>
        </w:tc>
        <w:tc>
          <w:tcPr>
            <w:tcW w:w="2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100" w:type="dxa"/>
            <w:vAlign w:val="bottom"/>
            <w:tcBorders>
              <w:bottom w:val="single" w:sz="8" w:color="231F20"/>
            </w:tcBorders>
            <w:shd w:val="clear" w:color="auto" w:fill="E6E7E8"/>
          </w:tcPr>
          <w:p>
            <w:pPr>
              <w:spacing w:after="0"/>
              <w:rPr>
                <w:sz w:val="19"/>
                <w:szCs w:val="19"/>
                <w:color w:val="auto"/>
              </w:rPr>
            </w:pPr>
          </w:p>
        </w:tc>
        <w:tc>
          <w:tcPr>
            <w:tcW w:w="9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1,504</w:t>
            </w:r>
          </w:p>
        </w:tc>
        <w:tc>
          <w:tcPr>
            <w:tcW w:w="12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92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920" w:type="dxa"/>
            <w:vAlign w:val="bottom"/>
            <w:shd w:val="clear" w:color="auto" w:fill="E6E7E8"/>
          </w:tcPr>
          <w:p>
            <w:pPr>
              <w:spacing w:after="0"/>
              <w:rPr>
                <w:sz w:val="19"/>
                <w:szCs w:val="19"/>
                <w:color w:val="auto"/>
              </w:rPr>
            </w:pPr>
          </w:p>
        </w:tc>
        <w:tc>
          <w:tcPr>
            <w:tcW w:w="60" w:type="dxa"/>
            <w:vAlign w:val="bottom"/>
            <w:shd w:val="clear" w:color="auto" w:fill="E6E7E8"/>
          </w:tcPr>
          <w:p>
            <w:pPr>
              <w:spacing w:after="0"/>
              <w:rPr>
                <w:sz w:val="19"/>
                <w:szCs w:val="19"/>
                <w:color w:val="auto"/>
              </w:rPr>
            </w:pPr>
          </w:p>
        </w:tc>
      </w:tr>
      <w:tr>
        <w:trPr>
          <w:trHeight w:val="214"/>
        </w:trPr>
        <w:tc>
          <w:tcPr>
            <w:tcW w:w="380" w:type="dxa"/>
            <w:vAlign w:val="bottom"/>
          </w:tcPr>
          <w:p>
            <w:pPr>
              <w:spacing w:after="0"/>
              <w:rPr>
                <w:sz w:val="18"/>
                <w:szCs w:val="18"/>
                <w:color w:val="auto"/>
              </w:rPr>
            </w:pPr>
          </w:p>
        </w:tc>
        <w:tc>
          <w:tcPr>
            <w:tcW w:w="4400" w:type="dxa"/>
            <w:vAlign w:val="bottom"/>
          </w:tcPr>
          <w:p>
            <w:pPr>
              <w:ind w:left="20"/>
              <w:spacing w:after="0" w:line="214" w:lineRule="exact"/>
              <w:rPr>
                <w:sz w:val="20"/>
                <w:szCs w:val="20"/>
                <w:color w:val="auto"/>
              </w:rPr>
            </w:pPr>
            <w:r>
              <w:rPr>
                <w:rFonts w:ascii="Times New Roman" w:cs="Times New Roman" w:eastAsia="Times New Roman" w:hAnsi="Times New Roman"/>
                <w:sz w:val="19"/>
                <w:szCs w:val="19"/>
                <w:color w:val="231F20"/>
              </w:rPr>
              <w:t>Total Assets in the Fair Value Hierarchy</w:t>
            </w:r>
          </w:p>
        </w:tc>
        <w:tc>
          <w:tcPr>
            <w:tcW w:w="120" w:type="dxa"/>
            <w:vAlign w:val="bottom"/>
          </w:tcPr>
          <w:p>
            <w:pPr>
              <w:spacing w:after="0"/>
              <w:rPr>
                <w:sz w:val="18"/>
                <w:szCs w:val="18"/>
                <w:color w:val="auto"/>
              </w:rPr>
            </w:pP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231F20"/>
                <w:w w:val="70"/>
              </w:rPr>
              <w:t>$</w:t>
            </w:r>
          </w:p>
        </w:tc>
        <w:tc>
          <w:tcPr>
            <w:tcW w:w="78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rPr>
              <w:t>141,652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w w:val="83"/>
              </w:rPr>
              <w:t>$</w:t>
            </w:r>
          </w:p>
        </w:tc>
        <w:tc>
          <w:tcPr>
            <w:tcW w:w="92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rPr>
              <w:t>141,652</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line="214" w:lineRule="exact"/>
              <w:rPr>
                <w:sz w:val="20"/>
                <w:szCs w:val="20"/>
                <w:color w:val="auto"/>
              </w:rPr>
            </w:pPr>
            <w:r>
              <w:rPr>
                <w:rFonts w:ascii="Times New Roman" w:cs="Times New Roman" w:eastAsia="Times New Roman" w:hAnsi="Times New Roman"/>
                <w:sz w:val="19"/>
                <w:szCs w:val="19"/>
                <w:color w:val="231F20"/>
              </w:rPr>
              <w:t>$</w:t>
            </w:r>
          </w:p>
        </w:tc>
        <w:tc>
          <w:tcPr>
            <w:tcW w:w="1120" w:type="dxa"/>
            <w:vAlign w:val="bottom"/>
            <w:gridSpan w:val="2"/>
          </w:tcPr>
          <w:p>
            <w:pPr>
              <w:ind w:left="720"/>
              <w:spacing w:after="0" w:line="214" w:lineRule="exact"/>
              <w:rPr>
                <w:sz w:val="20"/>
                <w:szCs w:val="20"/>
                <w:color w:val="auto"/>
              </w:rPr>
            </w:pPr>
            <w:r>
              <w:rPr>
                <w:rFonts w:ascii="Times New Roman" w:cs="Times New Roman" w:eastAsia="Times New Roman" w:hAnsi="Times New Roman"/>
                <w:sz w:val="19"/>
                <w:szCs w:val="19"/>
                <w:color w:val="231F20"/>
              </w:rPr>
              <w:t>—</w:t>
            </w:r>
          </w:p>
        </w:tc>
        <w:tc>
          <w:tcPr>
            <w:tcW w:w="12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w w:val="83"/>
              </w:rPr>
              <w:t>$</w:t>
            </w:r>
          </w:p>
        </w:tc>
        <w:tc>
          <w:tcPr>
            <w:tcW w:w="980" w:type="dxa"/>
            <w:vAlign w:val="bottom"/>
            <w:gridSpan w:val="2"/>
          </w:tcPr>
          <w:p>
            <w:pPr>
              <w:ind w:left="720"/>
              <w:spacing w:after="0" w:line="214" w:lineRule="exact"/>
              <w:rPr>
                <w:sz w:val="20"/>
                <w:szCs w:val="20"/>
                <w:color w:val="auto"/>
              </w:rPr>
            </w:pPr>
            <w:r>
              <w:rPr>
                <w:rFonts w:ascii="Times New Roman" w:cs="Times New Roman" w:eastAsia="Times New Roman" w:hAnsi="Times New Roman"/>
                <w:sz w:val="19"/>
                <w:szCs w:val="19"/>
                <w:color w:val="231F20"/>
              </w:rPr>
              <w:t>—</w:t>
            </w:r>
          </w:p>
        </w:tc>
      </w:tr>
      <w:tr>
        <w:trPr>
          <w:trHeight w:val="214"/>
        </w:trPr>
        <w:tc>
          <w:tcPr>
            <w:tcW w:w="4780" w:type="dxa"/>
            <w:vAlign w:val="bottom"/>
            <w:tcBorders>
              <w:top w:val="single" w:sz="8" w:color="E6E7E8"/>
            </w:tcBorders>
            <w:gridSpan w:val="2"/>
            <w:shd w:val="clear" w:color="auto" w:fill="E6E7E8"/>
          </w:tcPr>
          <w:p>
            <w:pPr>
              <w:ind w:left="200"/>
              <w:spacing w:after="0" w:line="214" w:lineRule="exact"/>
              <w:rPr>
                <w:sz w:val="20"/>
                <w:szCs w:val="20"/>
                <w:color w:val="auto"/>
              </w:rPr>
            </w:pPr>
            <w:r>
              <w:rPr>
                <w:rFonts w:ascii="Times New Roman" w:cs="Times New Roman" w:eastAsia="Times New Roman" w:hAnsi="Times New Roman"/>
                <w:sz w:val="19"/>
                <w:szCs w:val="19"/>
                <w:color w:val="231F20"/>
              </w:rPr>
              <w:t>Real Estate Fund–Measured at Net Asset Value</w:t>
            </w:r>
          </w:p>
        </w:tc>
        <w:tc>
          <w:tcPr>
            <w:tcW w:w="120" w:type="dxa"/>
            <w:vAlign w:val="bottom"/>
            <w:tcBorders>
              <w:top w:val="single" w:sz="8" w:color="E6E7E8"/>
            </w:tcBorders>
            <w:shd w:val="clear" w:color="auto" w:fill="E6E7E8"/>
          </w:tcPr>
          <w:p>
            <w:pPr>
              <w:spacing w:after="0"/>
              <w:rPr>
                <w:sz w:val="18"/>
                <w:szCs w:val="18"/>
                <w:color w:val="auto"/>
              </w:rPr>
            </w:pPr>
          </w:p>
        </w:tc>
        <w:tc>
          <w:tcPr>
            <w:tcW w:w="240" w:type="dxa"/>
            <w:vAlign w:val="bottom"/>
            <w:tcBorders>
              <w:top w:val="single" w:sz="8" w:color="231F20"/>
              <w:bottom w:val="single" w:sz="8" w:color="231F20"/>
            </w:tcBorders>
            <w:shd w:val="clear" w:color="auto" w:fill="E6E7E8"/>
          </w:tcPr>
          <w:p>
            <w:pPr>
              <w:spacing w:after="0"/>
              <w:rPr>
                <w:sz w:val="18"/>
                <w:szCs w:val="18"/>
                <w:color w:val="auto"/>
              </w:rPr>
            </w:pPr>
          </w:p>
        </w:tc>
        <w:tc>
          <w:tcPr>
            <w:tcW w:w="780" w:type="dxa"/>
            <w:vAlign w:val="bottom"/>
            <w:tcBorders>
              <w:top w:val="single" w:sz="8" w:color="231F20"/>
              <w:bottom w:val="single" w:sz="8" w:color="231F20"/>
            </w:tcBorders>
            <w:shd w:val="clear" w:color="auto" w:fill="E6E7E8"/>
          </w:tcPr>
          <w:p>
            <w:pPr>
              <w:jc w:val="right"/>
              <w:spacing w:after="0" w:line="214" w:lineRule="exact"/>
              <w:rPr>
                <w:sz w:val="20"/>
                <w:szCs w:val="20"/>
                <w:color w:val="auto"/>
              </w:rPr>
            </w:pPr>
            <w:r>
              <w:rPr>
                <w:rFonts w:ascii="Times New Roman" w:cs="Times New Roman" w:eastAsia="Times New Roman" w:hAnsi="Times New Roman"/>
                <w:sz w:val="19"/>
                <w:szCs w:val="19"/>
                <w:color w:val="231F20"/>
              </w:rPr>
              <w:t>7,322</w:t>
            </w:r>
          </w:p>
        </w:tc>
        <w:tc>
          <w:tcPr>
            <w:tcW w:w="20" w:type="dxa"/>
            <w:vAlign w:val="bottom"/>
            <w:tcBorders>
              <w:top w:val="single" w:sz="8" w:color="E6E7E8"/>
            </w:tcBorders>
            <w:shd w:val="clear" w:color="auto" w:fill="E6E7E8"/>
          </w:tcPr>
          <w:p>
            <w:pPr>
              <w:spacing w:after="0"/>
              <w:rPr>
                <w:sz w:val="18"/>
                <w:szCs w:val="18"/>
                <w:color w:val="auto"/>
              </w:rPr>
            </w:pPr>
          </w:p>
        </w:tc>
        <w:tc>
          <w:tcPr>
            <w:tcW w:w="100" w:type="dxa"/>
            <w:vAlign w:val="bottom"/>
            <w:tcBorders>
              <w:top w:val="single" w:sz="8" w:color="E6E7E8"/>
            </w:tcBorders>
            <w:shd w:val="clear" w:color="auto" w:fill="E6E7E8"/>
          </w:tcPr>
          <w:p>
            <w:pPr>
              <w:spacing w:after="0"/>
              <w:rPr>
                <w:sz w:val="18"/>
                <w:szCs w:val="18"/>
                <w:color w:val="auto"/>
              </w:rPr>
            </w:pPr>
          </w:p>
        </w:tc>
        <w:tc>
          <w:tcPr>
            <w:tcW w:w="100" w:type="dxa"/>
            <w:vAlign w:val="bottom"/>
            <w:tcBorders>
              <w:top w:val="single" w:sz="8" w:color="E6E7E8"/>
            </w:tcBorders>
            <w:shd w:val="clear" w:color="auto" w:fill="E6E7E8"/>
          </w:tcPr>
          <w:p>
            <w:pPr>
              <w:spacing w:after="0"/>
              <w:rPr>
                <w:sz w:val="18"/>
                <w:szCs w:val="18"/>
                <w:color w:val="auto"/>
              </w:rPr>
            </w:pPr>
          </w:p>
        </w:tc>
        <w:tc>
          <w:tcPr>
            <w:tcW w:w="100" w:type="dxa"/>
            <w:vAlign w:val="bottom"/>
            <w:tcBorders>
              <w:top w:val="single" w:sz="8" w:color="231F20"/>
            </w:tcBorders>
            <w:shd w:val="clear" w:color="auto" w:fill="E6E7E8"/>
          </w:tcPr>
          <w:p>
            <w:pPr>
              <w:spacing w:after="0"/>
              <w:rPr>
                <w:sz w:val="18"/>
                <w:szCs w:val="18"/>
                <w:color w:val="auto"/>
              </w:rPr>
            </w:pPr>
          </w:p>
        </w:tc>
        <w:tc>
          <w:tcPr>
            <w:tcW w:w="920" w:type="dxa"/>
            <w:vAlign w:val="bottom"/>
            <w:tcBorders>
              <w:top w:val="single" w:sz="8" w:color="231F20"/>
            </w:tcBorders>
            <w:shd w:val="clear" w:color="auto" w:fill="E6E7E8"/>
          </w:tcPr>
          <w:p>
            <w:pPr>
              <w:spacing w:after="0"/>
              <w:rPr>
                <w:sz w:val="18"/>
                <w:szCs w:val="18"/>
                <w:color w:val="auto"/>
              </w:rPr>
            </w:pPr>
          </w:p>
        </w:tc>
        <w:tc>
          <w:tcPr>
            <w:tcW w:w="120" w:type="dxa"/>
            <w:vAlign w:val="bottom"/>
            <w:tcBorders>
              <w:top w:val="single" w:sz="8" w:color="E6E7E8"/>
            </w:tcBorders>
            <w:shd w:val="clear" w:color="auto" w:fill="E6E7E8"/>
          </w:tcPr>
          <w:p>
            <w:pPr>
              <w:spacing w:after="0"/>
              <w:rPr>
                <w:sz w:val="18"/>
                <w:szCs w:val="18"/>
                <w:color w:val="auto"/>
              </w:rPr>
            </w:pPr>
          </w:p>
        </w:tc>
        <w:tc>
          <w:tcPr>
            <w:tcW w:w="100" w:type="dxa"/>
            <w:vAlign w:val="bottom"/>
            <w:tcBorders>
              <w:top w:val="single" w:sz="8" w:color="E6E7E8"/>
            </w:tcBorders>
            <w:shd w:val="clear" w:color="auto" w:fill="E6E7E8"/>
          </w:tcPr>
          <w:p>
            <w:pPr>
              <w:spacing w:after="0"/>
              <w:rPr>
                <w:sz w:val="18"/>
                <w:szCs w:val="18"/>
                <w:color w:val="auto"/>
              </w:rPr>
            </w:pPr>
          </w:p>
        </w:tc>
        <w:tc>
          <w:tcPr>
            <w:tcW w:w="120" w:type="dxa"/>
            <w:vAlign w:val="bottom"/>
            <w:tcBorders>
              <w:top w:val="single" w:sz="8" w:color="231F20"/>
            </w:tcBorders>
            <w:shd w:val="clear" w:color="auto" w:fill="E6E7E8"/>
          </w:tcPr>
          <w:p>
            <w:pPr>
              <w:spacing w:after="0"/>
              <w:rPr>
                <w:sz w:val="18"/>
                <w:szCs w:val="18"/>
                <w:color w:val="auto"/>
              </w:rPr>
            </w:pPr>
          </w:p>
        </w:tc>
        <w:tc>
          <w:tcPr>
            <w:tcW w:w="920" w:type="dxa"/>
            <w:vAlign w:val="bottom"/>
            <w:tcBorders>
              <w:top w:val="single" w:sz="8" w:color="231F20"/>
            </w:tcBorders>
            <w:shd w:val="clear" w:color="auto" w:fill="E6E7E8"/>
          </w:tcPr>
          <w:p>
            <w:pPr>
              <w:spacing w:after="0"/>
              <w:rPr>
                <w:sz w:val="18"/>
                <w:szCs w:val="18"/>
                <w:color w:val="auto"/>
              </w:rPr>
            </w:pPr>
          </w:p>
        </w:tc>
        <w:tc>
          <w:tcPr>
            <w:tcW w:w="200" w:type="dxa"/>
            <w:vAlign w:val="bottom"/>
            <w:tcBorders>
              <w:top w:val="single" w:sz="8" w:color="E6E7E8"/>
            </w:tcBorders>
            <w:shd w:val="clear" w:color="auto" w:fill="E6E7E8"/>
          </w:tcPr>
          <w:p>
            <w:pPr>
              <w:spacing w:after="0"/>
              <w:rPr>
                <w:sz w:val="18"/>
                <w:szCs w:val="18"/>
                <w:color w:val="auto"/>
              </w:rPr>
            </w:pPr>
          </w:p>
        </w:tc>
        <w:tc>
          <w:tcPr>
            <w:tcW w:w="120" w:type="dxa"/>
            <w:vAlign w:val="bottom"/>
            <w:tcBorders>
              <w:top w:val="single" w:sz="8" w:color="231F20"/>
            </w:tcBorders>
            <w:shd w:val="clear" w:color="auto" w:fill="E6E7E8"/>
          </w:tcPr>
          <w:p>
            <w:pPr>
              <w:spacing w:after="0"/>
              <w:rPr>
                <w:sz w:val="18"/>
                <w:szCs w:val="18"/>
                <w:color w:val="auto"/>
              </w:rPr>
            </w:pPr>
          </w:p>
        </w:tc>
        <w:tc>
          <w:tcPr>
            <w:tcW w:w="920" w:type="dxa"/>
            <w:vAlign w:val="bottom"/>
            <w:tcBorders>
              <w:top w:val="single" w:sz="8" w:color="231F20"/>
            </w:tcBorders>
            <w:shd w:val="clear" w:color="auto" w:fill="E6E7E8"/>
          </w:tcPr>
          <w:p>
            <w:pPr>
              <w:spacing w:after="0"/>
              <w:rPr>
                <w:sz w:val="18"/>
                <w:szCs w:val="18"/>
                <w:color w:val="auto"/>
              </w:rPr>
            </w:pPr>
          </w:p>
        </w:tc>
        <w:tc>
          <w:tcPr>
            <w:tcW w:w="60" w:type="dxa"/>
            <w:vAlign w:val="bottom"/>
            <w:tcBorders>
              <w:top w:val="single" w:sz="8" w:color="E6E7E8"/>
            </w:tcBorders>
            <w:shd w:val="clear" w:color="auto" w:fill="E6E7E8"/>
          </w:tcPr>
          <w:p>
            <w:pPr>
              <w:spacing w:after="0"/>
              <w:rPr>
                <w:sz w:val="18"/>
                <w:szCs w:val="18"/>
                <w:color w:val="auto"/>
              </w:rPr>
            </w:pPr>
          </w:p>
        </w:tc>
      </w:tr>
      <w:tr>
        <w:trPr>
          <w:trHeight w:val="214"/>
        </w:trPr>
        <w:tc>
          <w:tcPr>
            <w:tcW w:w="4780" w:type="dxa"/>
            <w:vAlign w:val="bottom"/>
            <w:gridSpan w:val="2"/>
          </w:tcPr>
          <w:p>
            <w:pPr>
              <w:spacing w:after="0" w:line="214" w:lineRule="exact"/>
              <w:rPr>
                <w:sz w:val="20"/>
                <w:szCs w:val="20"/>
                <w:color w:val="auto"/>
              </w:rPr>
            </w:pPr>
            <w:r>
              <w:rPr>
                <w:rFonts w:ascii="Times New Roman" w:cs="Times New Roman" w:eastAsia="Times New Roman" w:hAnsi="Times New Roman"/>
                <w:sz w:val="19"/>
                <w:szCs w:val="19"/>
                <w:color w:val="231F20"/>
              </w:rPr>
              <w:t>Total Assets</w:t>
            </w:r>
          </w:p>
        </w:tc>
        <w:tc>
          <w:tcPr>
            <w:tcW w:w="120" w:type="dxa"/>
            <w:vAlign w:val="bottom"/>
          </w:tcPr>
          <w:p>
            <w:pPr>
              <w:spacing w:after="0"/>
              <w:rPr>
                <w:sz w:val="18"/>
                <w:szCs w:val="18"/>
                <w:color w:val="auto"/>
              </w:rPr>
            </w:pPr>
          </w:p>
        </w:tc>
        <w:tc>
          <w:tcPr>
            <w:tcW w:w="240" w:type="dxa"/>
            <w:vAlign w:val="bottom"/>
            <w:tcBorders>
              <w:bottom w:val="single" w:sz="8" w:color="231F20"/>
            </w:tcBorders>
          </w:tcPr>
          <w:p>
            <w:pPr>
              <w:jc w:val="right"/>
              <w:ind w:right="77"/>
              <w:spacing w:after="0"/>
              <w:rPr>
                <w:sz w:val="20"/>
                <w:szCs w:val="20"/>
                <w:color w:val="auto"/>
              </w:rPr>
            </w:pPr>
            <w:r>
              <w:rPr>
                <w:rFonts w:ascii="Times New Roman" w:cs="Times New Roman" w:eastAsia="Times New Roman" w:hAnsi="Times New Roman"/>
                <w:sz w:val="17"/>
                <w:szCs w:val="17"/>
                <w:color w:val="231F20"/>
                <w:w w:val="70"/>
              </w:rPr>
              <w:t>$</w:t>
            </w:r>
          </w:p>
        </w:tc>
        <w:tc>
          <w:tcPr>
            <w:tcW w:w="78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148,974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3429635</wp:posOffset>
            </wp:positionH>
            <wp:positionV relativeFrom="paragraph">
              <wp:posOffset>-3759200</wp:posOffset>
            </wp:positionV>
            <wp:extent cx="3065780"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58">
                      <a:extLst>
                        <a:ext uri="{28A0092B-C50C-407E-A947-70E740481C1C}"/>
                      </a:extLst>
                    </a:blip>
                    <a:srcRect/>
                    <a:stretch>
                      <a:fillRect/>
                    </a:stretch>
                  </pic:blipFill>
                  <pic:spPr bwMode="auto">
                    <a:xfrm>
                      <a:off x="0" y="0"/>
                      <a:ext cx="3065780" cy="38100"/>
                    </a:xfrm>
                    <a:prstGeom prst="rect">
                      <a:avLst/>
                    </a:prstGeom>
                    <a:noFill/>
                  </pic:spPr>
                </pic:pic>
              </a:graphicData>
            </a:graphic>
          </wp:anchor>
        </w:drawing>
      </w:r>
    </w:p>
    <w:p>
      <w:pPr>
        <w:spacing w:after="0" w:line="235" w:lineRule="exact"/>
        <w:rPr>
          <w:sz w:val="20"/>
          <w:szCs w:val="20"/>
          <w:color w:val="auto"/>
        </w:rPr>
      </w:pPr>
    </w:p>
    <w:p>
      <w:pPr>
        <w:ind w:firstLine="612"/>
        <w:spacing w:after="0" w:line="279" w:lineRule="auto"/>
        <w:rPr>
          <w:sz w:val="20"/>
          <w:szCs w:val="20"/>
          <w:color w:val="auto"/>
        </w:rPr>
      </w:pPr>
      <w:r>
        <w:rPr>
          <w:rFonts w:ascii="Times New Roman" w:cs="Times New Roman" w:eastAsia="Times New Roman" w:hAnsi="Times New Roman"/>
          <w:sz w:val="21"/>
          <w:szCs w:val="21"/>
          <w:color w:val="231F20"/>
        </w:rPr>
        <w:t>Redemptions of the Real Estate Fund are subject to a sixty-five day notice period and the fund is valued quarterly. There are no unfunded commitments.</w:t>
      </w:r>
    </w:p>
    <w:p>
      <w:pPr>
        <w:sectPr>
          <w:pgSz w:w="12240" w:h="15840" w:orient="portrait"/>
          <w:cols w:equalWidth="0" w:num="1">
            <w:col w:w="10740"/>
          </w:cols>
          <w:pgMar w:left="720" w:top="928" w:right="78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90</w:t>
      </w:r>
    </w:p>
    <w:p>
      <w:pPr>
        <w:sectPr>
          <w:pgSz w:w="12240" w:h="15840" w:orient="portrait"/>
          <w:cols w:equalWidth="0" w:num="1">
            <w:col w:w="10740"/>
          </w:cols>
          <w:pgMar w:left="720" w:top="928" w:right="780" w:bottom="188" w:gutter="0" w:footer="0" w:header="0"/>
          <w:type w:val="continuous"/>
        </w:sectPr>
      </w:pPr>
    </w:p>
    <w:bookmarkStart w:id="110" w:name="page111"/>
    <w:bookmarkEnd w:id="110"/>
    <w:p>
      <w:pPr>
        <w:ind w:right="160" w:firstLine="612"/>
        <w:spacing w:after="0" w:line="279" w:lineRule="auto"/>
        <w:rPr>
          <w:sz w:val="20"/>
          <w:szCs w:val="20"/>
          <w:color w:val="auto"/>
        </w:rPr>
      </w:pPr>
      <w:r>
        <w:rPr>
          <w:rFonts w:ascii="Times New Roman" w:cs="Times New Roman" w:eastAsia="Times New Roman" w:hAnsi="Times New Roman"/>
          <w:sz w:val="21"/>
          <w:szCs w:val="21"/>
          <w:color w:val="231F20"/>
        </w:rPr>
        <w:t>Assets measured at fair value on a recurring basis for the PBOP Plan as of December 31, 2025 and 2024 are as follows (000’s):</w:t>
      </w:r>
    </w:p>
    <w:p>
      <w:pPr>
        <w:spacing w:after="0" w:line="199" w:lineRule="exact"/>
        <w:rPr>
          <w:sz w:val="20"/>
          <w:szCs w:val="20"/>
          <w:color w:val="auto"/>
        </w:rPr>
      </w:pPr>
    </w:p>
    <w:tbl>
      <w:tblPr>
        <w:tblLayout w:type="fixed"/>
        <w:tblInd w:w="540" w:type="dxa"/>
        <w:tblCellMar>
          <w:top w:w="0" w:type="dxa"/>
          <w:left w:w="0" w:type="dxa"/>
          <w:bottom w:w="0" w:type="dxa"/>
          <w:right w:w="0" w:type="dxa"/>
        </w:tblCellMar>
      </w:tblPr>
      <w:tr>
        <w:trPr>
          <w:trHeight w:val="199"/>
        </w:trPr>
        <w:tc>
          <w:tcPr>
            <w:tcW w:w="38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520" w:type="dxa"/>
            <w:vAlign w:val="bottom"/>
            <w:gridSpan w:val="14"/>
          </w:tcPr>
          <w:p>
            <w:pPr>
              <w:ind w:left="340"/>
              <w:spacing w:after="0"/>
              <w:rPr>
                <w:sz w:val="20"/>
                <w:szCs w:val="20"/>
                <w:color w:val="auto"/>
              </w:rPr>
            </w:pPr>
            <w:r>
              <w:rPr>
                <w:rFonts w:ascii="Times New Roman" w:cs="Times New Roman" w:eastAsia="Times New Roman" w:hAnsi="Times New Roman"/>
                <w:sz w:val="16"/>
                <w:szCs w:val="16"/>
                <w:b w:val="1"/>
                <w:bCs w:val="1"/>
                <w:color w:val="231F20"/>
              </w:rPr>
              <w:t>Fair Value Measurements at Reporting Date Using</w:t>
            </w:r>
          </w:p>
        </w:tc>
      </w:tr>
      <w:tr>
        <w:trPr>
          <w:trHeight w:val="184"/>
        </w:trPr>
        <w:tc>
          <w:tcPr>
            <w:tcW w:w="38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8"/>
              </w:rPr>
              <w:t>Quoted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38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rPr>
              <w:t>Prices in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38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rPr>
              <w:t>Active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7"/>
              </w:rPr>
              <w:t>Significant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38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9"/>
              </w:rPr>
              <w:t>Markets for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7"/>
              </w:rPr>
              <w:t>Other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231F20"/>
              </w:rPr>
              <w:t>Significant</w:t>
            </w:r>
          </w:p>
        </w:tc>
      </w:tr>
      <w:tr>
        <w:trPr>
          <w:trHeight w:val="184"/>
        </w:trPr>
        <w:tc>
          <w:tcPr>
            <w:tcW w:w="38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w w:val="99"/>
              </w:rPr>
              <w:t>Identical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rPr>
              <w:t>Observable</w:t>
            </w:r>
          </w:p>
        </w:tc>
        <w:tc>
          <w:tcPr>
            <w:tcW w:w="100" w:type="dxa"/>
            <w:vAlign w:val="bottom"/>
          </w:tcPr>
          <w:p>
            <w:pPr>
              <w:spacing w:after="0"/>
              <w:rPr>
                <w:sz w:val="16"/>
                <w:szCs w:val="16"/>
                <w:color w:val="auto"/>
              </w:rPr>
            </w:pPr>
          </w:p>
        </w:tc>
        <w:tc>
          <w:tcPr>
            <w:tcW w:w="110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231F20"/>
                <w:w w:val="99"/>
              </w:rPr>
              <w:t>Unobservable</w:t>
            </w:r>
          </w:p>
        </w:tc>
      </w:tr>
      <w:tr>
        <w:trPr>
          <w:trHeight w:val="184"/>
        </w:trPr>
        <w:tc>
          <w:tcPr>
            <w:tcW w:w="38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231F20"/>
              </w:rPr>
              <w:t>Balance as of</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8"/>
              </w:rPr>
              <w:t>Assets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8"/>
              </w:rPr>
              <w:t>Inputs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231F20"/>
                <w:w w:val="98"/>
              </w:rPr>
              <w:t>Inputs</w:t>
            </w:r>
          </w:p>
        </w:tc>
      </w:tr>
      <w:tr>
        <w:trPr>
          <w:trHeight w:val="203"/>
        </w:trPr>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Description</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w w:val="99"/>
              </w:rPr>
              <w:t>(Level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9"/>
              </w:rPr>
              <w:t>(Level 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231F20"/>
                <w:w w:val="99"/>
              </w:rPr>
              <w:t>(Level 3)</w:t>
            </w:r>
          </w:p>
        </w:tc>
      </w:tr>
      <w:tr>
        <w:trPr>
          <w:trHeight w:val="222"/>
        </w:trPr>
        <w:tc>
          <w:tcPr>
            <w:tcW w:w="4780" w:type="dxa"/>
            <w:vAlign w:val="bottom"/>
            <w:tcBorders>
              <w:top w:val="single" w:sz="8" w:color="231F20"/>
            </w:tcBorders>
            <w:gridSpan w:val="2"/>
            <w:shd w:val="clear" w:color="auto" w:fill="E6E7E8"/>
          </w:tcPr>
          <w:p>
            <w:pPr>
              <w:spacing w:after="0" w:line="203" w:lineRule="exact"/>
              <w:rPr>
                <w:sz w:val="20"/>
                <w:szCs w:val="20"/>
                <w:color w:val="auto"/>
              </w:rPr>
            </w:pPr>
            <w:r>
              <w:rPr>
                <w:rFonts w:ascii="Times New Roman" w:cs="Times New Roman" w:eastAsia="Times New Roman" w:hAnsi="Times New Roman"/>
                <w:sz w:val="19"/>
                <w:szCs w:val="19"/>
                <w:b w:val="1"/>
                <w:bCs w:val="1"/>
                <w:color w:val="231F20"/>
              </w:rPr>
              <w:t>2025</w:t>
            </w:r>
          </w:p>
        </w:tc>
        <w:tc>
          <w:tcPr>
            <w:tcW w:w="120" w:type="dxa"/>
            <w:vAlign w:val="bottom"/>
            <w:tcBorders>
              <w:top w:val="single" w:sz="8" w:color="E6E7E8"/>
            </w:tcBorders>
            <w:shd w:val="clear" w:color="auto" w:fill="E6E7E8"/>
          </w:tcPr>
          <w:p>
            <w:pPr>
              <w:spacing w:after="0"/>
              <w:rPr>
                <w:sz w:val="19"/>
                <w:szCs w:val="19"/>
                <w:color w:val="auto"/>
              </w:rPr>
            </w:pPr>
          </w:p>
        </w:tc>
        <w:tc>
          <w:tcPr>
            <w:tcW w:w="20" w:type="dxa"/>
            <w:vAlign w:val="bottom"/>
            <w:tcBorders>
              <w:top w:val="single" w:sz="8" w:color="E6E7E8"/>
            </w:tcBorders>
            <w:shd w:val="clear" w:color="auto" w:fill="E6E7E8"/>
          </w:tcPr>
          <w:p>
            <w:pPr>
              <w:spacing w:after="0"/>
              <w:rPr>
                <w:sz w:val="19"/>
                <w:szCs w:val="19"/>
                <w:color w:val="auto"/>
              </w:rPr>
            </w:pPr>
          </w:p>
        </w:tc>
        <w:tc>
          <w:tcPr>
            <w:tcW w:w="280" w:type="dxa"/>
            <w:vAlign w:val="bottom"/>
            <w:tcBorders>
              <w:top w:val="single" w:sz="8" w:color="231F20"/>
            </w:tcBorders>
            <w:shd w:val="clear" w:color="auto" w:fill="E6E7E8"/>
          </w:tcPr>
          <w:p>
            <w:pPr>
              <w:spacing w:after="0"/>
              <w:rPr>
                <w:sz w:val="19"/>
                <w:szCs w:val="19"/>
                <w:color w:val="auto"/>
              </w:rPr>
            </w:pPr>
          </w:p>
        </w:tc>
        <w:tc>
          <w:tcPr>
            <w:tcW w:w="720" w:type="dxa"/>
            <w:vAlign w:val="bottom"/>
            <w:tcBorders>
              <w:top w:val="single" w:sz="8" w:color="231F20"/>
            </w:tcBorders>
            <w:shd w:val="clear" w:color="auto" w:fill="E6E7E8"/>
          </w:tcPr>
          <w:p>
            <w:pPr>
              <w:spacing w:after="0"/>
              <w:rPr>
                <w:sz w:val="19"/>
                <w:szCs w:val="19"/>
                <w:color w:val="auto"/>
              </w:rPr>
            </w:pPr>
          </w:p>
        </w:tc>
        <w:tc>
          <w:tcPr>
            <w:tcW w:w="20" w:type="dxa"/>
            <w:vAlign w:val="bottom"/>
            <w:tcBorders>
              <w:top w:val="single" w:sz="8" w:color="E6E7E8"/>
            </w:tcBorders>
            <w:shd w:val="clear" w:color="auto" w:fill="E6E7E8"/>
          </w:tcPr>
          <w:p>
            <w:pPr>
              <w:spacing w:after="0"/>
              <w:rPr>
                <w:sz w:val="19"/>
                <w:szCs w:val="19"/>
                <w:color w:val="auto"/>
              </w:rPr>
            </w:pPr>
          </w:p>
        </w:tc>
        <w:tc>
          <w:tcPr>
            <w:tcW w:w="200" w:type="dxa"/>
            <w:vAlign w:val="bottom"/>
            <w:tcBorders>
              <w:top w:val="single" w:sz="8" w:color="E6E7E8"/>
            </w:tcBorders>
            <w:shd w:val="clear" w:color="auto" w:fill="E6E7E8"/>
          </w:tcPr>
          <w:p>
            <w:pPr>
              <w:spacing w:after="0"/>
              <w:rPr>
                <w:sz w:val="19"/>
                <w:szCs w:val="19"/>
                <w:color w:val="auto"/>
              </w:rPr>
            </w:pPr>
          </w:p>
        </w:tc>
        <w:tc>
          <w:tcPr>
            <w:tcW w:w="100" w:type="dxa"/>
            <w:vAlign w:val="bottom"/>
            <w:tcBorders>
              <w:top w:val="single" w:sz="8" w:color="231F20"/>
            </w:tcBorders>
            <w:shd w:val="clear" w:color="auto" w:fill="E6E7E8"/>
          </w:tcPr>
          <w:p>
            <w:pPr>
              <w:spacing w:after="0"/>
              <w:rPr>
                <w:sz w:val="19"/>
                <w:szCs w:val="19"/>
                <w:color w:val="auto"/>
              </w:rPr>
            </w:pPr>
          </w:p>
        </w:tc>
        <w:tc>
          <w:tcPr>
            <w:tcW w:w="940" w:type="dxa"/>
            <w:vAlign w:val="bottom"/>
            <w:tcBorders>
              <w:top w:val="single" w:sz="8" w:color="231F20"/>
            </w:tcBorders>
            <w:shd w:val="clear" w:color="auto" w:fill="E6E7E8"/>
          </w:tcPr>
          <w:p>
            <w:pPr>
              <w:spacing w:after="0"/>
              <w:rPr>
                <w:sz w:val="19"/>
                <w:szCs w:val="19"/>
                <w:color w:val="auto"/>
              </w:rPr>
            </w:pPr>
          </w:p>
        </w:tc>
        <w:tc>
          <w:tcPr>
            <w:tcW w:w="100" w:type="dxa"/>
            <w:vAlign w:val="bottom"/>
            <w:tcBorders>
              <w:top w:val="single" w:sz="8" w:color="E6E7E8"/>
            </w:tcBorders>
            <w:shd w:val="clear" w:color="auto" w:fill="E6E7E8"/>
          </w:tcPr>
          <w:p>
            <w:pPr>
              <w:spacing w:after="0"/>
              <w:rPr>
                <w:sz w:val="19"/>
                <w:szCs w:val="19"/>
                <w:color w:val="auto"/>
              </w:rPr>
            </w:pPr>
          </w:p>
        </w:tc>
        <w:tc>
          <w:tcPr>
            <w:tcW w:w="100" w:type="dxa"/>
            <w:vAlign w:val="bottom"/>
            <w:tcBorders>
              <w:top w:val="single" w:sz="8" w:color="E6E7E8"/>
            </w:tcBorders>
            <w:shd w:val="clear" w:color="auto" w:fill="E6E7E8"/>
          </w:tcPr>
          <w:p>
            <w:pPr>
              <w:spacing w:after="0"/>
              <w:rPr>
                <w:sz w:val="19"/>
                <w:szCs w:val="19"/>
                <w:color w:val="auto"/>
              </w:rPr>
            </w:pPr>
          </w:p>
        </w:tc>
        <w:tc>
          <w:tcPr>
            <w:tcW w:w="120" w:type="dxa"/>
            <w:vAlign w:val="bottom"/>
            <w:tcBorders>
              <w:top w:val="single" w:sz="8" w:color="231F20"/>
            </w:tcBorders>
            <w:shd w:val="clear" w:color="auto" w:fill="E6E7E8"/>
          </w:tcPr>
          <w:p>
            <w:pPr>
              <w:spacing w:after="0"/>
              <w:rPr>
                <w:sz w:val="19"/>
                <w:szCs w:val="19"/>
                <w:color w:val="auto"/>
              </w:rPr>
            </w:pPr>
          </w:p>
        </w:tc>
        <w:tc>
          <w:tcPr>
            <w:tcW w:w="920" w:type="dxa"/>
            <w:vAlign w:val="bottom"/>
            <w:tcBorders>
              <w:top w:val="single" w:sz="8" w:color="231F20"/>
            </w:tcBorders>
            <w:shd w:val="clear" w:color="auto" w:fill="E6E7E8"/>
          </w:tcPr>
          <w:p>
            <w:pPr>
              <w:spacing w:after="0"/>
              <w:rPr>
                <w:sz w:val="19"/>
                <w:szCs w:val="19"/>
                <w:color w:val="auto"/>
              </w:rPr>
            </w:pPr>
          </w:p>
        </w:tc>
        <w:tc>
          <w:tcPr>
            <w:tcW w:w="100" w:type="dxa"/>
            <w:vAlign w:val="bottom"/>
            <w:tcBorders>
              <w:top w:val="single" w:sz="8" w:color="E6E7E8"/>
            </w:tcBorders>
            <w:shd w:val="clear" w:color="auto" w:fill="E6E7E8"/>
          </w:tcPr>
          <w:p>
            <w:pPr>
              <w:spacing w:after="0"/>
              <w:rPr>
                <w:sz w:val="19"/>
                <w:szCs w:val="19"/>
                <w:color w:val="auto"/>
              </w:rPr>
            </w:pPr>
          </w:p>
        </w:tc>
        <w:tc>
          <w:tcPr>
            <w:tcW w:w="100" w:type="dxa"/>
            <w:vAlign w:val="bottom"/>
            <w:tcBorders>
              <w:top w:val="single" w:sz="8" w:color="E6E7E8"/>
            </w:tcBorders>
            <w:shd w:val="clear" w:color="auto" w:fill="E6E7E8"/>
          </w:tcPr>
          <w:p>
            <w:pPr>
              <w:spacing w:after="0"/>
              <w:rPr>
                <w:sz w:val="19"/>
                <w:szCs w:val="19"/>
                <w:color w:val="auto"/>
              </w:rPr>
            </w:pPr>
          </w:p>
        </w:tc>
        <w:tc>
          <w:tcPr>
            <w:tcW w:w="120" w:type="dxa"/>
            <w:vAlign w:val="bottom"/>
            <w:tcBorders>
              <w:top w:val="single" w:sz="8" w:color="231F20"/>
            </w:tcBorders>
            <w:shd w:val="clear" w:color="auto" w:fill="E6E7E8"/>
          </w:tcPr>
          <w:p>
            <w:pPr>
              <w:spacing w:after="0"/>
              <w:rPr>
                <w:sz w:val="19"/>
                <w:szCs w:val="19"/>
                <w:color w:val="auto"/>
              </w:rPr>
            </w:pPr>
          </w:p>
        </w:tc>
        <w:tc>
          <w:tcPr>
            <w:tcW w:w="920" w:type="dxa"/>
            <w:vAlign w:val="bottom"/>
            <w:tcBorders>
              <w:top w:val="single" w:sz="8" w:color="231F20"/>
            </w:tcBorders>
            <w:shd w:val="clear" w:color="auto" w:fill="E6E7E8"/>
          </w:tcPr>
          <w:p>
            <w:pPr>
              <w:spacing w:after="0"/>
              <w:rPr>
                <w:sz w:val="19"/>
                <w:szCs w:val="19"/>
                <w:color w:val="auto"/>
              </w:rPr>
            </w:pPr>
          </w:p>
        </w:tc>
        <w:tc>
          <w:tcPr>
            <w:tcW w:w="60" w:type="dxa"/>
            <w:vAlign w:val="bottom"/>
            <w:tcBorders>
              <w:top w:val="single" w:sz="8" w:color="E6E7E8"/>
            </w:tcBorders>
            <w:shd w:val="clear" w:color="auto" w:fill="E6E7E8"/>
          </w:tcPr>
          <w:p>
            <w:pPr>
              <w:spacing w:after="0"/>
              <w:rPr>
                <w:sz w:val="19"/>
                <w:szCs w:val="19"/>
                <w:color w:val="auto"/>
              </w:rPr>
            </w:pPr>
          </w:p>
        </w:tc>
      </w:tr>
      <w:tr>
        <w:trPr>
          <w:trHeight w:val="190"/>
        </w:trPr>
        <w:tc>
          <w:tcPr>
            <w:tcW w:w="380" w:type="dxa"/>
            <w:vAlign w:val="bottom"/>
            <w:tcBorders>
              <w:top w:val="single" w:sz="8" w:color="231F20"/>
            </w:tcBorders>
          </w:tcPr>
          <w:p>
            <w:pPr>
              <w:spacing w:after="0" w:line="190" w:lineRule="exact"/>
              <w:rPr>
                <w:sz w:val="20"/>
                <w:szCs w:val="20"/>
                <w:color w:val="auto"/>
              </w:rPr>
            </w:pPr>
            <w:r>
              <w:rPr>
                <w:rFonts w:ascii="Times New Roman" w:cs="Times New Roman" w:eastAsia="Times New Roman" w:hAnsi="Times New Roman"/>
                <w:sz w:val="19"/>
                <w:szCs w:val="19"/>
                <w:color w:val="231F20"/>
                <w:w w:val="75"/>
              </w:rPr>
              <w:t>PBOP</w:t>
            </w:r>
          </w:p>
        </w:tc>
        <w:tc>
          <w:tcPr>
            <w:tcW w:w="4400" w:type="dxa"/>
            <w:vAlign w:val="bottom"/>
            <w:tcBorders>
              <w:top w:val="single" w:sz="8" w:color="E6E7E8"/>
            </w:tcBorders>
          </w:tcPr>
          <w:p>
            <w:pPr>
              <w:ind w:left="140"/>
              <w:spacing w:after="0" w:line="190" w:lineRule="exact"/>
              <w:rPr>
                <w:sz w:val="20"/>
                <w:szCs w:val="20"/>
                <w:color w:val="auto"/>
              </w:rPr>
            </w:pPr>
            <w:r>
              <w:rPr>
                <w:rFonts w:ascii="Times New Roman" w:cs="Times New Roman" w:eastAsia="Times New Roman" w:hAnsi="Times New Roman"/>
                <w:sz w:val="19"/>
                <w:szCs w:val="19"/>
                <w:color w:val="231F20"/>
              </w:rPr>
              <w:t>Plan Assets:</w:t>
            </w:r>
          </w:p>
        </w:tc>
        <w:tc>
          <w:tcPr>
            <w:tcW w:w="120" w:type="dxa"/>
            <w:vAlign w:val="bottom"/>
            <w:tcBorders>
              <w:top w:val="single" w:sz="8" w:color="E6E7E8"/>
            </w:tcBorders>
          </w:tcPr>
          <w:p>
            <w:pPr>
              <w:spacing w:after="0"/>
              <w:rPr>
                <w:sz w:val="16"/>
                <w:szCs w:val="16"/>
                <w:color w:val="auto"/>
              </w:rPr>
            </w:pPr>
          </w:p>
        </w:tc>
        <w:tc>
          <w:tcPr>
            <w:tcW w:w="20" w:type="dxa"/>
            <w:vAlign w:val="bottom"/>
            <w:tcBorders>
              <w:top w:val="single" w:sz="8" w:color="E6E7E8"/>
            </w:tcBorders>
          </w:tcPr>
          <w:p>
            <w:pPr>
              <w:spacing w:after="0"/>
              <w:rPr>
                <w:sz w:val="16"/>
                <w:szCs w:val="16"/>
                <w:color w:val="auto"/>
              </w:rPr>
            </w:pPr>
          </w:p>
        </w:tc>
        <w:tc>
          <w:tcPr>
            <w:tcW w:w="280" w:type="dxa"/>
            <w:vAlign w:val="bottom"/>
            <w:tcBorders>
              <w:top w:val="single" w:sz="8" w:color="E6E7E8"/>
            </w:tcBorders>
          </w:tcPr>
          <w:p>
            <w:pPr>
              <w:spacing w:after="0"/>
              <w:rPr>
                <w:sz w:val="16"/>
                <w:szCs w:val="16"/>
                <w:color w:val="auto"/>
              </w:rPr>
            </w:pPr>
          </w:p>
        </w:tc>
        <w:tc>
          <w:tcPr>
            <w:tcW w:w="720" w:type="dxa"/>
            <w:vAlign w:val="bottom"/>
            <w:tcBorders>
              <w:top w:val="single" w:sz="8" w:color="E6E7E8"/>
            </w:tcBorders>
          </w:tcPr>
          <w:p>
            <w:pPr>
              <w:spacing w:after="0"/>
              <w:rPr>
                <w:sz w:val="16"/>
                <w:szCs w:val="16"/>
                <w:color w:val="auto"/>
              </w:rPr>
            </w:pPr>
          </w:p>
        </w:tc>
        <w:tc>
          <w:tcPr>
            <w:tcW w:w="20" w:type="dxa"/>
            <w:vAlign w:val="bottom"/>
            <w:tcBorders>
              <w:top w:val="single" w:sz="8" w:color="E6E7E8"/>
            </w:tcBorders>
          </w:tcPr>
          <w:p>
            <w:pPr>
              <w:spacing w:after="0"/>
              <w:rPr>
                <w:sz w:val="16"/>
                <w:szCs w:val="16"/>
                <w:color w:val="auto"/>
              </w:rPr>
            </w:pPr>
          </w:p>
        </w:tc>
        <w:tc>
          <w:tcPr>
            <w:tcW w:w="200" w:type="dxa"/>
            <w:vAlign w:val="bottom"/>
            <w:tcBorders>
              <w:top w:val="single" w:sz="8" w:color="E6E7E8"/>
            </w:tcBorders>
          </w:tcPr>
          <w:p>
            <w:pPr>
              <w:spacing w:after="0"/>
              <w:rPr>
                <w:sz w:val="16"/>
                <w:szCs w:val="16"/>
                <w:color w:val="auto"/>
              </w:rPr>
            </w:pPr>
          </w:p>
        </w:tc>
        <w:tc>
          <w:tcPr>
            <w:tcW w:w="100" w:type="dxa"/>
            <w:vAlign w:val="bottom"/>
            <w:tcBorders>
              <w:top w:val="single" w:sz="8" w:color="E6E7E8"/>
            </w:tcBorders>
          </w:tcPr>
          <w:p>
            <w:pPr>
              <w:spacing w:after="0"/>
              <w:rPr>
                <w:sz w:val="16"/>
                <w:szCs w:val="16"/>
                <w:color w:val="auto"/>
              </w:rPr>
            </w:pPr>
          </w:p>
        </w:tc>
        <w:tc>
          <w:tcPr>
            <w:tcW w:w="940" w:type="dxa"/>
            <w:vAlign w:val="bottom"/>
            <w:tcBorders>
              <w:top w:val="single" w:sz="8" w:color="E6E7E8"/>
            </w:tcBorders>
          </w:tcPr>
          <w:p>
            <w:pPr>
              <w:spacing w:after="0"/>
              <w:rPr>
                <w:sz w:val="16"/>
                <w:szCs w:val="16"/>
                <w:color w:val="auto"/>
              </w:rPr>
            </w:pPr>
          </w:p>
        </w:tc>
        <w:tc>
          <w:tcPr>
            <w:tcW w:w="100" w:type="dxa"/>
            <w:vAlign w:val="bottom"/>
            <w:tcBorders>
              <w:top w:val="single" w:sz="8" w:color="E6E7E8"/>
            </w:tcBorders>
          </w:tcPr>
          <w:p>
            <w:pPr>
              <w:spacing w:after="0"/>
              <w:rPr>
                <w:sz w:val="16"/>
                <w:szCs w:val="16"/>
                <w:color w:val="auto"/>
              </w:rPr>
            </w:pPr>
          </w:p>
        </w:tc>
        <w:tc>
          <w:tcPr>
            <w:tcW w:w="100" w:type="dxa"/>
            <w:vAlign w:val="bottom"/>
            <w:tcBorders>
              <w:top w:val="single" w:sz="8" w:color="E6E7E8"/>
            </w:tcBorders>
          </w:tcPr>
          <w:p>
            <w:pPr>
              <w:spacing w:after="0"/>
              <w:rPr>
                <w:sz w:val="16"/>
                <w:szCs w:val="16"/>
                <w:color w:val="auto"/>
              </w:rPr>
            </w:pPr>
          </w:p>
        </w:tc>
        <w:tc>
          <w:tcPr>
            <w:tcW w:w="120" w:type="dxa"/>
            <w:vAlign w:val="bottom"/>
            <w:tcBorders>
              <w:top w:val="single" w:sz="8" w:color="E6E7E8"/>
            </w:tcBorders>
          </w:tcPr>
          <w:p>
            <w:pPr>
              <w:spacing w:after="0"/>
              <w:rPr>
                <w:sz w:val="16"/>
                <w:szCs w:val="16"/>
                <w:color w:val="auto"/>
              </w:rPr>
            </w:pPr>
          </w:p>
        </w:tc>
        <w:tc>
          <w:tcPr>
            <w:tcW w:w="920" w:type="dxa"/>
            <w:vAlign w:val="bottom"/>
            <w:tcBorders>
              <w:top w:val="single" w:sz="8" w:color="E6E7E8"/>
            </w:tcBorders>
          </w:tcPr>
          <w:p>
            <w:pPr>
              <w:spacing w:after="0"/>
              <w:rPr>
                <w:sz w:val="16"/>
                <w:szCs w:val="16"/>
                <w:color w:val="auto"/>
              </w:rPr>
            </w:pPr>
          </w:p>
        </w:tc>
        <w:tc>
          <w:tcPr>
            <w:tcW w:w="100" w:type="dxa"/>
            <w:vAlign w:val="bottom"/>
            <w:tcBorders>
              <w:top w:val="single" w:sz="8" w:color="E6E7E8"/>
            </w:tcBorders>
          </w:tcPr>
          <w:p>
            <w:pPr>
              <w:spacing w:after="0"/>
              <w:rPr>
                <w:sz w:val="16"/>
                <w:szCs w:val="16"/>
                <w:color w:val="auto"/>
              </w:rPr>
            </w:pPr>
          </w:p>
        </w:tc>
        <w:tc>
          <w:tcPr>
            <w:tcW w:w="100" w:type="dxa"/>
            <w:vAlign w:val="bottom"/>
            <w:tcBorders>
              <w:top w:val="single" w:sz="8" w:color="E6E7E8"/>
            </w:tcBorders>
          </w:tcPr>
          <w:p>
            <w:pPr>
              <w:spacing w:after="0"/>
              <w:rPr>
                <w:sz w:val="16"/>
                <w:szCs w:val="16"/>
                <w:color w:val="auto"/>
              </w:rPr>
            </w:pPr>
          </w:p>
        </w:tc>
        <w:tc>
          <w:tcPr>
            <w:tcW w:w="120" w:type="dxa"/>
            <w:vAlign w:val="bottom"/>
            <w:tcBorders>
              <w:top w:val="single" w:sz="8" w:color="E6E7E8"/>
            </w:tcBorders>
          </w:tcPr>
          <w:p>
            <w:pPr>
              <w:spacing w:after="0"/>
              <w:rPr>
                <w:sz w:val="16"/>
                <w:szCs w:val="16"/>
                <w:color w:val="auto"/>
              </w:rPr>
            </w:pPr>
          </w:p>
        </w:tc>
        <w:tc>
          <w:tcPr>
            <w:tcW w:w="920" w:type="dxa"/>
            <w:vAlign w:val="bottom"/>
            <w:tcBorders>
              <w:top w:val="single" w:sz="8" w:color="E6E7E8"/>
            </w:tcBorders>
          </w:tcPr>
          <w:p>
            <w:pPr>
              <w:spacing w:after="0"/>
              <w:rPr>
                <w:sz w:val="16"/>
                <w:szCs w:val="16"/>
                <w:color w:val="auto"/>
              </w:rPr>
            </w:pPr>
          </w:p>
        </w:tc>
        <w:tc>
          <w:tcPr>
            <w:tcW w:w="60" w:type="dxa"/>
            <w:vAlign w:val="bottom"/>
            <w:tcBorders>
              <w:top w:val="single" w:sz="8" w:color="E6E7E8"/>
            </w:tcBorders>
          </w:tcPr>
          <w:p>
            <w:pPr>
              <w:spacing w:after="0"/>
              <w:rPr>
                <w:sz w:val="16"/>
                <w:szCs w:val="16"/>
                <w:color w:val="auto"/>
              </w:rPr>
            </w:pPr>
          </w:p>
        </w:tc>
      </w:tr>
      <w:tr>
        <w:trPr>
          <w:trHeight w:val="218"/>
        </w:trPr>
        <w:tc>
          <w:tcPr>
            <w:tcW w:w="478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19"/>
                <w:szCs w:val="19"/>
                <w:color w:val="231F20"/>
              </w:rPr>
              <w:t>Mutual Funds:</w:t>
            </w:r>
          </w:p>
        </w:tc>
        <w:tc>
          <w:tcPr>
            <w:tcW w:w="12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280" w:type="dxa"/>
            <w:vAlign w:val="bottom"/>
            <w:shd w:val="clear" w:color="auto" w:fill="E6E7E8"/>
          </w:tcPr>
          <w:p>
            <w:pPr>
              <w:spacing w:after="0"/>
              <w:rPr>
                <w:sz w:val="19"/>
                <w:szCs w:val="19"/>
                <w:color w:val="auto"/>
              </w:rPr>
            </w:pPr>
          </w:p>
        </w:tc>
        <w:tc>
          <w:tcPr>
            <w:tcW w:w="72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94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92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920" w:type="dxa"/>
            <w:vAlign w:val="bottom"/>
            <w:shd w:val="clear" w:color="auto" w:fill="E6E7E8"/>
          </w:tcPr>
          <w:p>
            <w:pPr>
              <w:spacing w:after="0"/>
              <w:rPr>
                <w:sz w:val="19"/>
                <w:szCs w:val="19"/>
                <w:color w:val="auto"/>
              </w:rPr>
            </w:pPr>
          </w:p>
        </w:tc>
        <w:tc>
          <w:tcPr>
            <w:tcW w:w="60" w:type="dxa"/>
            <w:vAlign w:val="bottom"/>
            <w:shd w:val="clear" w:color="auto" w:fill="E6E7E8"/>
          </w:tcPr>
          <w:p>
            <w:pPr>
              <w:spacing w:after="0"/>
              <w:rPr>
                <w:sz w:val="19"/>
                <w:szCs w:val="19"/>
                <w:color w:val="auto"/>
              </w:rPr>
            </w:pPr>
          </w:p>
        </w:tc>
      </w:tr>
      <w:tr>
        <w:trPr>
          <w:trHeight w:val="218"/>
        </w:trPr>
        <w:tc>
          <w:tcPr>
            <w:tcW w:w="478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Fixed Income Funds</w:t>
            </w:r>
          </w:p>
        </w:tc>
        <w:tc>
          <w:tcPr>
            <w:tcW w:w="420" w:type="dxa"/>
            <w:vAlign w:val="bottom"/>
            <w:gridSpan w:val="3"/>
          </w:tcPr>
          <w:p>
            <w:pPr>
              <w:jc w:val="right"/>
              <w:ind w:right="118"/>
              <w:spacing w:after="0"/>
              <w:rPr>
                <w:sz w:val="20"/>
                <w:szCs w:val="20"/>
                <w:color w:val="auto"/>
              </w:rPr>
            </w:pPr>
            <w:r>
              <w:rPr>
                <w:rFonts w:ascii="Times New Roman" w:cs="Times New Roman" w:eastAsia="Times New Roman" w:hAnsi="Times New Roman"/>
                <w:sz w:val="19"/>
                <w:szCs w:val="19"/>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28,765</w:t>
            </w:r>
          </w:p>
        </w:tc>
        <w:tc>
          <w:tcPr>
            <w:tcW w:w="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28,765</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9"/>
                <w:szCs w:val="19"/>
                <w:color w:val="231F20"/>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9"/>
                <w:szCs w:val="19"/>
                <w:color w:val="231F20"/>
              </w:rPr>
              <w:t>—</w:t>
            </w:r>
          </w:p>
        </w:tc>
      </w:tr>
      <w:tr>
        <w:trPr>
          <w:trHeight w:val="218"/>
        </w:trPr>
        <w:tc>
          <w:tcPr>
            <w:tcW w:w="478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Equity Funds</w:t>
            </w:r>
          </w:p>
        </w:tc>
        <w:tc>
          <w:tcPr>
            <w:tcW w:w="12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280" w:type="dxa"/>
            <w:vAlign w:val="bottom"/>
            <w:shd w:val="clear" w:color="auto" w:fill="E6E7E8"/>
          </w:tcPr>
          <w:p>
            <w:pPr>
              <w:spacing w:after="0"/>
              <w:rPr>
                <w:sz w:val="19"/>
                <w:szCs w:val="19"/>
                <w:color w:val="auto"/>
              </w:rPr>
            </w:pPr>
          </w:p>
        </w:tc>
        <w:tc>
          <w:tcPr>
            <w:tcW w:w="7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36,716</w:t>
            </w:r>
          </w:p>
        </w:tc>
        <w:tc>
          <w:tcPr>
            <w:tcW w:w="2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94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36,716</w:t>
            </w:r>
          </w:p>
        </w:tc>
        <w:tc>
          <w:tcPr>
            <w:tcW w:w="10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1020" w:type="dxa"/>
            <w:vAlign w:val="bottom"/>
            <w:gridSpan w:val="2"/>
            <w:shd w:val="clear" w:color="auto" w:fill="E6E7E8"/>
          </w:tcPr>
          <w:p>
            <w:pPr>
              <w:ind w:left="720"/>
              <w:spacing w:after="0"/>
              <w:rPr>
                <w:sz w:val="20"/>
                <w:szCs w:val="20"/>
                <w:color w:val="auto"/>
              </w:rPr>
            </w:pPr>
            <w:r>
              <w:rPr>
                <w:rFonts w:ascii="Times New Roman" w:cs="Times New Roman" w:eastAsia="Times New Roman" w:hAnsi="Times New Roman"/>
                <w:sz w:val="19"/>
                <w:szCs w:val="19"/>
                <w:color w:val="231F20"/>
              </w:rPr>
              <w:t>—</w:t>
            </w:r>
          </w:p>
        </w:tc>
        <w:tc>
          <w:tcPr>
            <w:tcW w:w="10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980" w:type="dxa"/>
            <w:vAlign w:val="bottom"/>
            <w:gridSpan w:val="2"/>
            <w:shd w:val="clear" w:color="auto" w:fill="E6E7E8"/>
          </w:tcPr>
          <w:p>
            <w:pPr>
              <w:ind w:left="720"/>
              <w:spacing w:after="0"/>
              <w:rPr>
                <w:sz w:val="20"/>
                <w:szCs w:val="20"/>
                <w:color w:val="auto"/>
              </w:rPr>
            </w:pPr>
            <w:r>
              <w:rPr>
                <w:rFonts w:ascii="Times New Roman" w:cs="Times New Roman" w:eastAsia="Times New Roman" w:hAnsi="Times New Roman"/>
                <w:sz w:val="19"/>
                <w:szCs w:val="19"/>
                <w:color w:val="231F20"/>
              </w:rPr>
              <w:t>—</w:t>
            </w:r>
          </w:p>
        </w:tc>
      </w:tr>
      <w:tr>
        <w:trPr>
          <w:trHeight w:val="213"/>
        </w:trPr>
        <w:tc>
          <w:tcPr>
            <w:tcW w:w="4780" w:type="dxa"/>
            <w:vAlign w:val="bottom"/>
            <w:gridSpan w:val="2"/>
          </w:tcPr>
          <w:p>
            <w:pPr>
              <w:spacing w:after="0" w:line="214" w:lineRule="exact"/>
              <w:rPr>
                <w:sz w:val="20"/>
                <w:szCs w:val="20"/>
                <w:color w:val="auto"/>
              </w:rPr>
            </w:pPr>
            <w:r>
              <w:rPr>
                <w:rFonts w:ascii="Times New Roman" w:cs="Times New Roman" w:eastAsia="Times New Roman" w:hAnsi="Times New Roman"/>
                <w:sz w:val="19"/>
                <w:szCs w:val="19"/>
                <w:color w:val="231F20"/>
              </w:rPr>
              <w:t>Total Assets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231F20"/>
              <w:bottom w:val="single" w:sz="8" w:color="231F20"/>
            </w:tcBorders>
          </w:tcPr>
          <w:p>
            <w:pPr>
              <w:jc w:val="right"/>
              <w:ind w:right="118"/>
              <w:spacing w:after="0"/>
              <w:rPr>
                <w:sz w:val="20"/>
                <w:szCs w:val="20"/>
                <w:color w:val="auto"/>
              </w:rPr>
            </w:pPr>
            <w:r>
              <w:rPr>
                <w:rFonts w:ascii="Times New Roman" w:cs="Times New Roman" w:eastAsia="Times New Roman" w:hAnsi="Times New Roman"/>
                <w:sz w:val="17"/>
                <w:szCs w:val="17"/>
                <w:color w:val="231F20"/>
                <w:w w:val="70"/>
              </w:rPr>
              <w:t>$</w:t>
            </w:r>
          </w:p>
        </w:tc>
        <w:tc>
          <w:tcPr>
            <w:tcW w:w="720" w:type="dxa"/>
            <w:vAlign w:val="bottom"/>
            <w:tcBorders>
              <w:top w:val="single" w:sz="8" w:color="231F20"/>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65,481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231F20"/>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w w:val="83"/>
              </w:rPr>
              <w:t>$</w:t>
            </w:r>
          </w:p>
        </w:tc>
        <w:tc>
          <w:tcPr>
            <w:tcW w:w="940" w:type="dxa"/>
            <w:vAlign w:val="bottom"/>
            <w:tcBorders>
              <w:top w:val="single" w:sz="8" w:color="231F20"/>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rPr>
              <w:t>65,481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231F20"/>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w w:val="83"/>
              </w:rPr>
              <w:t>$</w:t>
            </w:r>
          </w:p>
        </w:tc>
        <w:tc>
          <w:tcPr>
            <w:tcW w:w="920" w:type="dxa"/>
            <w:vAlign w:val="bottom"/>
            <w:tcBorders>
              <w:top w:val="single" w:sz="8" w:color="231F20"/>
              <w:bottom w:val="single" w:sz="8" w:color="231F20"/>
            </w:tcBorders>
          </w:tcPr>
          <w:p>
            <w:pPr>
              <w:ind w:left="720"/>
              <w:spacing w:after="0" w:line="214" w:lineRule="exact"/>
              <w:rPr>
                <w:sz w:val="20"/>
                <w:szCs w:val="20"/>
                <w:color w:val="auto"/>
              </w:rPr>
            </w:pPr>
            <w:r>
              <w:rPr>
                <w:rFonts w:ascii="Times New Roman" w:cs="Times New Roman" w:eastAsia="Times New Roman" w:hAnsi="Times New Roman"/>
                <w:sz w:val="19"/>
                <w:szCs w:val="19"/>
                <w:color w:val="231F20"/>
                <w:w w:val="94"/>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231F20"/>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19"/>
                <w:szCs w:val="19"/>
                <w:color w:val="231F20"/>
                <w:w w:val="83"/>
              </w:rPr>
              <w:t>$</w:t>
            </w:r>
          </w:p>
        </w:tc>
        <w:tc>
          <w:tcPr>
            <w:tcW w:w="920" w:type="dxa"/>
            <w:vAlign w:val="bottom"/>
            <w:tcBorders>
              <w:top w:val="single" w:sz="8" w:color="231F20"/>
              <w:bottom w:val="single" w:sz="8" w:color="231F20"/>
            </w:tcBorders>
          </w:tcPr>
          <w:p>
            <w:pPr>
              <w:ind w:left="720"/>
              <w:spacing w:after="0" w:line="214" w:lineRule="exact"/>
              <w:rPr>
                <w:sz w:val="20"/>
                <w:szCs w:val="20"/>
                <w:color w:val="auto"/>
              </w:rPr>
            </w:pPr>
            <w:r>
              <w:rPr>
                <w:rFonts w:ascii="Times New Roman" w:cs="Times New Roman" w:eastAsia="Times New Roman" w:hAnsi="Times New Roman"/>
                <w:sz w:val="19"/>
                <w:szCs w:val="19"/>
                <w:color w:val="231F20"/>
                <w:w w:val="94"/>
              </w:rPr>
              <w:t>—</w:t>
            </w:r>
          </w:p>
        </w:tc>
        <w:tc>
          <w:tcPr>
            <w:tcW w:w="60" w:type="dxa"/>
            <w:vAlign w:val="bottom"/>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7"/>
        </w:trPr>
        <w:tc>
          <w:tcPr>
            <w:tcW w:w="4780" w:type="dxa"/>
            <w:vAlign w:val="bottom"/>
            <w:gridSpan w:val="2"/>
            <w:shd w:val="clear" w:color="auto" w:fill="E6E7E8"/>
          </w:tcPr>
          <w:p>
            <w:pPr>
              <w:spacing w:after="0" w:line="207" w:lineRule="exact"/>
              <w:rPr>
                <w:sz w:val="20"/>
                <w:szCs w:val="20"/>
                <w:color w:val="auto"/>
              </w:rPr>
            </w:pPr>
            <w:r>
              <w:rPr>
                <w:rFonts w:ascii="Times New Roman" w:cs="Times New Roman" w:eastAsia="Times New Roman" w:hAnsi="Times New Roman"/>
                <w:sz w:val="19"/>
                <w:szCs w:val="19"/>
                <w:b w:val="1"/>
                <w:bCs w:val="1"/>
                <w:color w:val="231F20"/>
              </w:rPr>
              <w:t>2024</w:t>
            </w:r>
          </w:p>
        </w:tc>
        <w:tc>
          <w:tcPr>
            <w:tcW w:w="12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280" w:type="dxa"/>
            <w:vAlign w:val="bottom"/>
            <w:shd w:val="clear" w:color="auto" w:fill="E6E7E8"/>
          </w:tcPr>
          <w:p>
            <w:pPr>
              <w:spacing w:after="0"/>
              <w:rPr>
                <w:sz w:val="19"/>
                <w:szCs w:val="19"/>
                <w:color w:val="auto"/>
              </w:rPr>
            </w:pPr>
          </w:p>
        </w:tc>
        <w:tc>
          <w:tcPr>
            <w:tcW w:w="72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94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92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920" w:type="dxa"/>
            <w:vAlign w:val="bottom"/>
            <w:shd w:val="clear" w:color="auto" w:fill="E6E7E8"/>
          </w:tcPr>
          <w:p>
            <w:pPr>
              <w:spacing w:after="0"/>
              <w:rPr>
                <w:sz w:val="19"/>
                <w:szCs w:val="19"/>
                <w:color w:val="auto"/>
              </w:rPr>
            </w:pPr>
          </w:p>
        </w:tc>
        <w:tc>
          <w:tcPr>
            <w:tcW w:w="60" w:type="dxa"/>
            <w:vAlign w:val="bottom"/>
            <w:shd w:val="clear" w:color="auto" w:fill="E6E7E8"/>
          </w:tcPr>
          <w:p>
            <w:pPr>
              <w:spacing w:after="0"/>
              <w:rPr>
                <w:sz w:val="19"/>
                <w:szCs w:val="19"/>
                <w:color w:val="auto"/>
              </w:rPr>
            </w:pPr>
          </w:p>
        </w:tc>
      </w:tr>
      <w:tr>
        <w:trPr>
          <w:trHeight w:val="190"/>
        </w:trPr>
        <w:tc>
          <w:tcPr>
            <w:tcW w:w="380" w:type="dxa"/>
            <w:vAlign w:val="bottom"/>
            <w:tcBorders>
              <w:top w:val="single" w:sz="8" w:color="231F20"/>
            </w:tcBorders>
          </w:tcPr>
          <w:p>
            <w:pPr>
              <w:spacing w:after="0" w:line="190" w:lineRule="exact"/>
              <w:rPr>
                <w:sz w:val="20"/>
                <w:szCs w:val="20"/>
                <w:color w:val="auto"/>
              </w:rPr>
            </w:pPr>
            <w:r>
              <w:rPr>
                <w:rFonts w:ascii="Times New Roman" w:cs="Times New Roman" w:eastAsia="Times New Roman" w:hAnsi="Times New Roman"/>
                <w:sz w:val="19"/>
                <w:szCs w:val="19"/>
                <w:color w:val="231F20"/>
                <w:w w:val="75"/>
              </w:rPr>
              <w:t>PBOP</w:t>
            </w:r>
          </w:p>
        </w:tc>
        <w:tc>
          <w:tcPr>
            <w:tcW w:w="4400" w:type="dxa"/>
            <w:vAlign w:val="bottom"/>
            <w:tcBorders>
              <w:top w:val="single" w:sz="8" w:color="E6E7E8"/>
            </w:tcBorders>
          </w:tcPr>
          <w:p>
            <w:pPr>
              <w:ind w:left="140"/>
              <w:spacing w:after="0" w:line="190" w:lineRule="exact"/>
              <w:rPr>
                <w:sz w:val="20"/>
                <w:szCs w:val="20"/>
                <w:color w:val="auto"/>
              </w:rPr>
            </w:pPr>
            <w:r>
              <w:rPr>
                <w:rFonts w:ascii="Times New Roman" w:cs="Times New Roman" w:eastAsia="Times New Roman" w:hAnsi="Times New Roman"/>
                <w:sz w:val="19"/>
                <w:szCs w:val="19"/>
                <w:color w:val="231F20"/>
              </w:rPr>
              <w:t>Plan Assets:</w:t>
            </w:r>
          </w:p>
        </w:tc>
        <w:tc>
          <w:tcPr>
            <w:tcW w:w="120" w:type="dxa"/>
            <w:vAlign w:val="bottom"/>
            <w:tcBorders>
              <w:top w:val="single" w:sz="8" w:color="E6E7E8"/>
            </w:tcBorders>
          </w:tcPr>
          <w:p>
            <w:pPr>
              <w:spacing w:after="0"/>
              <w:rPr>
                <w:sz w:val="16"/>
                <w:szCs w:val="16"/>
                <w:color w:val="auto"/>
              </w:rPr>
            </w:pPr>
          </w:p>
        </w:tc>
        <w:tc>
          <w:tcPr>
            <w:tcW w:w="20" w:type="dxa"/>
            <w:vAlign w:val="bottom"/>
            <w:tcBorders>
              <w:top w:val="single" w:sz="8" w:color="E6E7E8"/>
            </w:tcBorders>
          </w:tcPr>
          <w:p>
            <w:pPr>
              <w:spacing w:after="0"/>
              <w:rPr>
                <w:sz w:val="16"/>
                <w:szCs w:val="16"/>
                <w:color w:val="auto"/>
              </w:rPr>
            </w:pPr>
          </w:p>
        </w:tc>
        <w:tc>
          <w:tcPr>
            <w:tcW w:w="280" w:type="dxa"/>
            <w:vAlign w:val="bottom"/>
            <w:tcBorders>
              <w:top w:val="single" w:sz="8" w:color="E6E7E8"/>
            </w:tcBorders>
          </w:tcPr>
          <w:p>
            <w:pPr>
              <w:spacing w:after="0"/>
              <w:rPr>
                <w:sz w:val="16"/>
                <w:szCs w:val="16"/>
                <w:color w:val="auto"/>
              </w:rPr>
            </w:pPr>
          </w:p>
        </w:tc>
        <w:tc>
          <w:tcPr>
            <w:tcW w:w="720" w:type="dxa"/>
            <w:vAlign w:val="bottom"/>
            <w:tcBorders>
              <w:top w:val="single" w:sz="8" w:color="E6E7E8"/>
            </w:tcBorders>
          </w:tcPr>
          <w:p>
            <w:pPr>
              <w:spacing w:after="0"/>
              <w:rPr>
                <w:sz w:val="16"/>
                <w:szCs w:val="16"/>
                <w:color w:val="auto"/>
              </w:rPr>
            </w:pPr>
          </w:p>
        </w:tc>
        <w:tc>
          <w:tcPr>
            <w:tcW w:w="20" w:type="dxa"/>
            <w:vAlign w:val="bottom"/>
            <w:tcBorders>
              <w:top w:val="single" w:sz="8" w:color="E6E7E8"/>
            </w:tcBorders>
          </w:tcPr>
          <w:p>
            <w:pPr>
              <w:spacing w:after="0"/>
              <w:rPr>
                <w:sz w:val="16"/>
                <w:szCs w:val="16"/>
                <w:color w:val="auto"/>
              </w:rPr>
            </w:pPr>
          </w:p>
        </w:tc>
        <w:tc>
          <w:tcPr>
            <w:tcW w:w="200" w:type="dxa"/>
            <w:vAlign w:val="bottom"/>
            <w:tcBorders>
              <w:top w:val="single" w:sz="8" w:color="E6E7E8"/>
            </w:tcBorders>
          </w:tcPr>
          <w:p>
            <w:pPr>
              <w:spacing w:after="0"/>
              <w:rPr>
                <w:sz w:val="16"/>
                <w:szCs w:val="16"/>
                <w:color w:val="auto"/>
              </w:rPr>
            </w:pPr>
          </w:p>
        </w:tc>
        <w:tc>
          <w:tcPr>
            <w:tcW w:w="100" w:type="dxa"/>
            <w:vAlign w:val="bottom"/>
            <w:tcBorders>
              <w:top w:val="single" w:sz="8" w:color="E6E7E8"/>
            </w:tcBorders>
          </w:tcPr>
          <w:p>
            <w:pPr>
              <w:spacing w:after="0"/>
              <w:rPr>
                <w:sz w:val="16"/>
                <w:szCs w:val="16"/>
                <w:color w:val="auto"/>
              </w:rPr>
            </w:pPr>
          </w:p>
        </w:tc>
        <w:tc>
          <w:tcPr>
            <w:tcW w:w="940" w:type="dxa"/>
            <w:vAlign w:val="bottom"/>
            <w:tcBorders>
              <w:top w:val="single" w:sz="8" w:color="E6E7E8"/>
            </w:tcBorders>
          </w:tcPr>
          <w:p>
            <w:pPr>
              <w:spacing w:after="0"/>
              <w:rPr>
                <w:sz w:val="16"/>
                <w:szCs w:val="16"/>
                <w:color w:val="auto"/>
              </w:rPr>
            </w:pPr>
          </w:p>
        </w:tc>
        <w:tc>
          <w:tcPr>
            <w:tcW w:w="100" w:type="dxa"/>
            <w:vAlign w:val="bottom"/>
            <w:tcBorders>
              <w:top w:val="single" w:sz="8" w:color="E6E7E8"/>
            </w:tcBorders>
          </w:tcPr>
          <w:p>
            <w:pPr>
              <w:spacing w:after="0"/>
              <w:rPr>
                <w:sz w:val="16"/>
                <w:szCs w:val="16"/>
                <w:color w:val="auto"/>
              </w:rPr>
            </w:pPr>
          </w:p>
        </w:tc>
        <w:tc>
          <w:tcPr>
            <w:tcW w:w="100" w:type="dxa"/>
            <w:vAlign w:val="bottom"/>
            <w:tcBorders>
              <w:top w:val="single" w:sz="8" w:color="E6E7E8"/>
            </w:tcBorders>
          </w:tcPr>
          <w:p>
            <w:pPr>
              <w:spacing w:after="0"/>
              <w:rPr>
                <w:sz w:val="16"/>
                <w:szCs w:val="16"/>
                <w:color w:val="auto"/>
              </w:rPr>
            </w:pPr>
          </w:p>
        </w:tc>
        <w:tc>
          <w:tcPr>
            <w:tcW w:w="120" w:type="dxa"/>
            <w:vAlign w:val="bottom"/>
            <w:tcBorders>
              <w:top w:val="single" w:sz="8" w:color="E6E7E8"/>
            </w:tcBorders>
          </w:tcPr>
          <w:p>
            <w:pPr>
              <w:spacing w:after="0"/>
              <w:rPr>
                <w:sz w:val="16"/>
                <w:szCs w:val="16"/>
                <w:color w:val="auto"/>
              </w:rPr>
            </w:pPr>
          </w:p>
        </w:tc>
        <w:tc>
          <w:tcPr>
            <w:tcW w:w="920" w:type="dxa"/>
            <w:vAlign w:val="bottom"/>
            <w:tcBorders>
              <w:top w:val="single" w:sz="8" w:color="E6E7E8"/>
            </w:tcBorders>
          </w:tcPr>
          <w:p>
            <w:pPr>
              <w:spacing w:after="0"/>
              <w:rPr>
                <w:sz w:val="16"/>
                <w:szCs w:val="16"/>
                <w:color w:val="auto"/>
              </w:rPr>
            </w:pPr>
          </w:p>
        </w:tc>
        <w:tc>
          <w:tcPr>
            <w:tcW w:w="100" w:type="dxa"/>
            <w:vAlign w:val="bottom"/>
            <w:tcBorders>
              <w:top w:val="single" w:sz="8" w:color="E6E7E8"/>
            </w:tcBorders>
          </w:tcPr>
          <w:p>
            <w:pPr>
              <w:spacing w:after="0"/>
              <w:rPr>
                <w:sz w:val="16"/>
                <w:szCs w:val="16"/>
                <w:color w:val="auto"/>
              </w:rPr>
            </w:pPr>
          </w:p>
        </w:tc>
        <w:tc>
          <w:tcPr>
            <w:tcW w:w="100" w:type="dxa"/>
            <w:vAlign w:val="bottom"/>
            <w:tcBorders>
              <w:top w:val="single" w:sz="8" w:color="E6E7E8"/>
            </w:tcBorders>
          </w:tcPr>
          <w:p>
            <w:pPr>
              <w:spacing w:after="0"/>
              <w:rPr>
                <w:sz w:val="16"/>
                <w:szCs w:val="16"/>
                <w:color w:val="auto"/>
              </w:rPr>
            </w:pPr>
          </w:p>
        </w:tc>
        <w:tc>
          <w:tcPr>
            <w:tcW w:w="120" w:type="dxa"/>
            <w:vAlign w:val="bottom"/>
            <w:tcBorders>
              <w:top w:val="single" w:sz="8" w:color="E6E7E8"/>
            </w:tcBorders>
          </w:tcPr>
          <w:p>
            <w:pPr>
              <w:spacing w:after="0"/>
              <w:rPr>
                <w:sz w:val="16"/>
                <w:szCs w:val="16"/>
                <w:color w:val="auto"/>
              </w:rPr>
            </w:pPr>
          </w:p>
        </w:tc>
        <w:tc>
          <w:tcPr>
            <w:tcW w:w="920" w:type="dxa"/>
            <w:vAlign w:val="bottom"/>
            <w:tcBorders>
              <w:top w:val="single" w:sz="8" w:color="E6E7E8"/>
            </w:tcBorders>
          </w:tcPr>
          <w:p>
            <w:pPr>
              <w:spacing w:after="0"/>
              <w:rPr>
                <w:sz w:val="16"/>
                <w:szCs w:val="16"/>
                <w:color w:val="auto"/>
              </w:rPr>
            </w:pPr>
          </w:p>
        </w:tc>
        <w:tc>
          <w:tcPr>
            <w:tcW w:w="60" w:type="dxa"/>
            <w:vAlign w:val="bottom"/>
            <w:tcBorders>
              <w:top w:val="single" w:sz="8" w:color="E6E7E8"/>
            </w:tcBorders>
          </w:tcPr>
          <w:p>
            <w:pPr>
              <w:spacing w:after="0"/>
              <w:rPr>
                <w:sz w:val="16"/>
                <w:szCs w:val="16"/>
                <w:color w:val="auto"/>
              </w:rPr>
            </w:pPr>
          </w:p>
        </w:tc>
      </w:tr>
      <w:tr>
        <w:trPr>
          <w:trHeight w:val="219"/>
        </w:trPr>
        <w:tc>
          <w:tcPr>
            <w:tcW w:w="478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19"/>
                <w:szCs w:val="19"/>
                <w:color w:val="231F20"/>
              </w:rPr>
              <w:t>Mutual Funds:</w:t>
            </w:r>
          </w:p>
        </w:tc>
        <w:tc>
          <w:tcPr>
            <w:tcW w:w="12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280" w:type="dxa"/>
            <w:vAlign w:val="bottom"/>
            <w:shd w:val="clear" w:color="auto" w:fill="E6E7E8"/>
          </w:tcPr>
          <w:p>
            <w:pPr>
              <w:spacing w:after="0"/>
              <w:rPr>
                <w:sz w:val="19"/>
                <w:szCs w:val="19"/>
                <w:color w:val="auto"/>
              </w:rPr>
            </w:pPr>
          </w:p>
        </w:tc>
        <w:tc>
          <w:tcPr>
            <w:tcW w:w="72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94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92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920" w:type="dxa"/>
            <w:vAlign w:val="bottom"/>
            <w:shd w:val="clear" w:color="auto" w:fill="E6E7E8"/>
          </w:tcPr>
          <w:p>
            <w:pPr>
              <w:spacing w:after="0"/>
              <w:rPr>
                <w:sz w:val="19"/>
                <w:szCs w:val="19"/>
                <w:color w:val="auto"/>
              </w:rPr>
            </w:pPr>
          </w:p>
        </w:tc>
        <w:tc>
          <w:tcPr>
            <w:tcW w:w="60" w:type="dxa"/>
            <w:vAlign w:val="bottom"/>
            <w:shd w:val="clear" w:color="auto" w:fill="E6E7E8"/>
          </w:tcPr>
          <w:p>
            <w:pPr>
              <w:spacing w:after="0"/>
              <w:rPr>
                <w:sz w:val="19"/>
                <w:szCs w:val="19"/>
                <w:color w:val="auto"/>
              </w:rPr>
            </w:pPr>
          </w:p>
        </w:tc>
      </w:tr>
      <w:tr>
        <w:trPr>
          <w:trHeight w:val="218"/>
        </w:trPr>
        <w:tc>
          <w:tcPr>
            <w:tcW w:w="478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Fixed Income Funds</w:t>
            </w:r>
          </w:p>
        </w:tc>
        <w:tc>
          <w:tcPr>
            <w:tcW w:w="420" w:type="dxa"/>
            <w:vAlign w:val="bottom"/>
            <w:gridSpan w:val="3"/>
          </w:tcPr>
          <w:p>
            <w:pPr>
              <w:jc w:val="right"/>
              <w:ind w:right="118"/>
              <w:spacing w:after="0"/>
              <w:rPr>
                <w:sz w:val="20"/>
                <w:szCs w:val="20"/>
                <w:color w:val="auto"/>
              </w:rPr>
            </w:pPr>
            <w:r>
              <w:rPr>
                <w:rFonts w:ascii="Times New Roman" w:cs="Times New Roman" w:eastAsia="Times New Roman" w:hAnsi="Times New Roman"/>
                <w:sz w:val="19"/>
                <w:szCs w:val="19"/>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25,908</w:t>
            </w:r>
          </w:p>
        </w:tc>
        <w:tc>
          <w:tcPr>
            <w:tcW w:w="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25,908</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9"/>
                <w:szCs w:val="19"/>
                <w:color w:val="231F20"/>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9"/>
                <w:szCs w:val="19"/>
                <w:color w:val="231F20"/>
              </w:rPr>
              <w:t>—</w:t>
            </w:r>
          </w:p>
        </w:tc>
      </w:tr>
      <w:tr>
        <w:trPr>
          <w:trHeight w:val="238"/>
        </w:trPr>
        <w:tc>
          <w:tcPr>
            <w:tcW w:w="4780" w:type="dxa"/>
            <w:vAlign w:val="bottom"/>
            <w:gridSpan w:val="2"/>
            <w:shd w:val="clear" w:color="auto" w:fill="E6E7E8"/>
          </w:tcPr>
          <w:p>
            <w:pPr>
              <w:ind w:left="200"/>
              <w:spacing w:after="0"/>
              <w:rPr>
                <w:sz w:val="20"/>
                <w:szCs w:val="20"/>
                <w:color w:val="auto"/>
              </w:rPr>
            </w:pPr>
            <w:r>
              <w:rPr>
                <w:rFonts w:ascii="Times New Roman" w:cs="Times New Roman" w:eastAsia="Times New Roman" w:hAnsi="Times New Roman"/>
                <w:sz w:val="19"/>
                <w:szCs w:val="19"/>
                <w:color w:val="231F20"/>
              </w:rPr>
              <w:t>Equity Funds</w:t>
            </w:r>
          </w:p>
        </w:tc>
        <w:tc>
          <w:tcPr>
            <w:tcW w:w="1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7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32,494</w:t>
            </w:r>
          </w:p>
        </w:tc>
        <w:tc>
          <w:tcPr>
            <w:tcW w:w="20" w:type="dxa"/>
            <w:vAlign w:val="bottom"/>
            <w:shd w:val="clear" w:color="auto" w:fill="E6E7E8"/>
          </w:tcPr>
          <w:p>
            <w:pPr>
              <w:spacing w:after="0"/>
              <w:rPr>
                <w:sz w:val="20"/>
                <w:szCs w:val="20"/>
                <w:color w:val="auto"/>
              </w:rPr>
            </w:pPr>
          </w:p>
        </w:tc>
        <w:tc>
          <w:tcPr>
            <w:tcW w:w="200" w:type="dxa"/>
            <w:vAlign w:val="bottom"/>
            <w:shd w:val="clear" w:color="auto" w:fill="E6E7E8"/>
          </w:tcPr>
          <w:p>
            <w:pPr>
              <w:spacing w:after="0"/>
              <w:rPr>
                <w:sz w:val="20"/>
                <w:szCs w:val="20"/>
                <w:color w:val="auto"/>
              </w:rPr>
            </w:pPr>
          </w:p>
        </w:tc>
        <w:tc>
          <w:tcPr>
            <w:tcW w:w="100" w:type="dxa"/>
            <w:vAlign w:val="bottom"/>
            <w:shd w:val="clear" w:color="auto" w:fill="E6E7E8"/>
          </w:tcPr>
          <w:p>
            <w:pPr>
              <w:spacing w:after="0"/>
              <w:rPr>
                <w:sz w:val="20"/>
                <w:szCs w:val="20"/>
                <w:color w:val="auto"/>
              </w:rPr>
            </w:pPr>
          </w:p>
        </w:tc>
        <w:tc>
          <w:tcPr>
            <w:tcW w:w="94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9"/>
                <w:szCs w:val="19"/>
                <w:color w:val="231F20"/>
              </w:rPr>
              <w:t>32,494</w:t>
            </w:r>
          </w:p>
        </w:tc>
        <w:tc>
          <w:tcPr>
            <w:tcW w:w="100" w:type="dxa"/>
            <w:vAlign w:val="bottom"/>
            <w:shd w:val="clear" w:color="auto" w:fill="E6E7E8"/>
          </w:tcPr>
          <w:p>
            <w:pPr>
              <w:spacing w:after="0"/>
              <w:rPr>
                <w:sz w:val="20"/>
                <w:szCs w:val="20"/>
                <w:color w:val="auto"/>
              </w:rPr>
            </w:pPr>
          </w:p>
        </w:tc>
        <w:tc>
          <w:tcPr>
            <w:tcW w:w="100" w:type="dxa"/>
            <w:vAlign w:val="bottom"/>
            <w:shd w:val="clear" w:color="auto" w:fill="E6E7E8"/>
          </w:tcPr>
          <w:p>
            <w:pPr>
              <w:spacing w:after="0"/>
              <w:rPr>
                <w:sz w:val="20"/>
                <w:szCs w:val="20"/>
                <w:color w:val="auto"/>
              </w:rPr>
            </w:pPr>
          </w:p>
        </w:tc>
        <w:tc>
          <w:tcPr>
            <w:tcW w:w="120" w:type="dxa"/>
            <w:vAlign w:val="bottom"/>
            <w:shd w:val="clear" w:color="auto" w:fill="E6E7E8"/>
          </w:tcPr>
          <w:p>
            <w:pPr>
              <w:spacing w:after="0"/>
              <w:rPr>
                <w:sz w:val="20"/>
                <w:szCs w:val="20"/>
                <w:color w:val="auto"/>
              </w:rPr>
            </w:pPr>
          </w:p>
        </w:tc>
        <w:tc>
          <w:tcPr>
            <w:tcW w:w="1020" w:type="dxa"/>
            <w:vAlign w:val="bottom"/>
            <w:gridSpan w:val="2"/>
            <w:shd w:val="clear" w:color="auto" w:fill="E6E7E8"/>
          </w:tcPr>
          <w:p>
            <w:pPr>
              <w:ind w:left="720"/>
              <w:spacing w:after="0"/>
              <w:rPr>
                <w:sz w:val="20"/>
                <w:szCs w:val="20"/>
                <w:color w:val="auto"/>
              </w:rPr>
            </w:pPr>
            <w:r>
              <w:rPr>
                <w:rFonts w:ascii="Times New Roman" w:cs="Times New Roman" w:eastAsia="Times New Roman" w:hAnsi="Times New Roman"/>
                <w:sz w:val="19"/>
                <w:szCs w:val="19"/>
                <w:color w:val="231F20"/>
              </w:rPr>
              <w:t>—</w:t>
            </w:r>
          </w:p>
        </w:tc>
        <w:tc>
          <w:tcPr>
            <w:tcW w:w="100" w:type="dxa"/>
            <w:vAlign w:val="bottom"/>
            <w:shd w:val="clear" w:color="auto" w:fill="E6E7E8"/>
          </w:tcPr>
          <w:p>
            <w:pPr>
              <w:spacing w:after="0"/>
              <w:rPr>
                <w:sz w:val="20"/>
                <w:szCs w:val="20"/>
                <w:color w:val="auto"/>
              </w:rPr>
            </w:pPr>
          </w:p>
        </w:tc>
        <w:tc>
          <w:tcPr>
            <w:tcW w:w="120" w:type="dxa"/>
            <w:vAlign w:val="bottom"/>
            <w:shd w:val="clear" w:color="auto" w:fill="E6E7E8"/>
          </w:tcPr>
          <w:p>
            <w:pPr>
              <w:spacing w:after="0"/>
              <w:rPr>
                <w:sz w:val="20"/>
                <w:szCs w:val="20"/>
                <w:color w:val="auto"/>
              </w:rPr>
            </w:pPr>
          </w:p>
        </w:tc>
        <w:tc>
          <w:tcPr>
            <w:tcW w:w="980" w:type="dxa"/>
            <w:vAlign w:val="bottom"/>
            <w:gridSpan w:val="2"/>
            <w:shd w:val="clear" w:color="auto" w:fill="E6E7E8"/>
          </w:tcPr>
          <w:p>
            <w:pPr>
              <w:ind w:left="720"/>
              <w:spacing w:after="0"/>
              <w:rPr>
                <w:sz w:val="20"/>
                <w:szCs w:val="20"/>
                <w:color w:val="auto"/>
              </w:rPr>
            </w:pPr>
            <w:r>
              <w:rPr>
                <w:rFonts w:ascii="Times New Roman" w:cs="Times New Roman" w:eastAsia="Times New Roman" w:hAnsi="Times New Roman"/>
                <w:sz w:val="19"/>
                <w:szCs w:val="19"/>
                <w:color w:val="231F20"/>
              </w:rPr>
              <w:t>—</w:t>
            </w:r>
          </w:p>
        </w:tc>
      </w:tr>
      <w:tr>
        <w:trPr>
          <w:trHeight w:val="194"/>
        </w:trPr>
        <w:tc>
          <w:tcPr>
            <w:tcW w:w="4780" w:type="dxa"/>
            <w:vAlign w:val="bottom"/>
            <w:tcBorders>
              <w:top w:val="single" w:sz="8" w:color="E6E7E8"/>
            </w:tcBorders>
            <w:gridSpan w:val="2"/>
          </w:tcPr>
          <w:p>
            <w:pPr>
              <w:spacing w:after="0" w:line="193" w:lineRule="exact"/>
              <w:rPr>
                <w:sz w:val="20"/>
                <w:szCs w:val="20"/>
                <w:color w:val="auto"/>
              </w:rPr>
            </w:pPr>
            <w:r>
              <w:rPr>
                <w:rFonts w:ascii="Times New Roman" w:cs="Times New Roman" w:eastAsia="Times New Roman" w:hAnsi="Times New Roman"/>
                <w:sz w:val="19"/>
                <w:szCs w:val="19"/>
                <w:color w:val="231F20"/>
              </w:rPr>
              <w:t>Total Assets</w:t>
            </w:r>
          </w:p>
        </w:tc>
        <w:tc>
          <w:tcPr>
            <w:tcW w:w="120" w:type="dxa"/>
            <w:vAlign w:val="bottom"/>
            <w:tcBorders>
              <w:top w:val="single" w:sz="8" w:color="E6E7E8"/>
            </w:tcBorders>
          </w:tcPr>
          <w:p>
            <w:pPr>
              <w:spacing w:after="0"/>
              <w:rPr>
                <w:sz w:val="16"/>
                <w:szCs w:val="16"/>
                <w:color w:val="auto"/>
              </w:rPr>
            </w:pPr>
          </w:p>
        </w:tc>
        <w:tc>
          <w:tcPr>
            <w:tcW w:w="20" w:type="dxa"/>
            <w:vAlign w:val="bottom"/>
            <w:tcBorders>
              <w:top w:val="single" w:sz="8" w:color="E6E7E8"/>
            </w:tcBorders>
          </w:tcPr>
          <w:p>
            <w:pPr>
              <w:spacing w:after="0"/>
              <w:rPr>
                <w:sz w:val="16"/>
                <w:szCs w:val="16"/>
                <w:color w:val="auto"/>
              </w:rPr>
            </w:pPr>
          </w:p>
        </w:tc>
        <w:tc>
          <w:tcPr>
            <w:tcW w:w="280" w:type="dxa"/>
            <w:vAlign w:val="bottom"/>
            <w:tcBorders>
              <w:top w:val="single" w:sz="8" w:color="231F20"/>
              <w:bottom w:val="single" w:sz="8" w:color="231F20"/>
            </w:tcBorders>
          </w:tcPr>
          <w:p>
            <w:pPr>
              <w:jc w:val="right"/>
              <w:ind w:right="118"/>
              <w:spacing w:after="0" w:line="194" w:lineRule="exact"/>
              <w:rPr>
                <w:sz w:val="20"/>
                <w:szCs w:val="20"/>
                <w:color w:val="auto"/>
              </w:rPr>
            </w:pPr>
            <w:r>
              <w:rPr>
                <w:rFonts w:ascii="Times New Roman" w:cs="Times New Roman" w:eastAsia="Times New Roman" w:hAnsi="Times New Roman"/>
                <w:sz w:val="17"/>
                <w:szCs w:val="17"/>
                <w:color w:val="231F20"/>
                <w:w w:val="70"/>
              </w:rPr>
              <w:t>$</w:t>
            </w:r>
          </w:p>
        </w:tc>
        <w:tc>
          <w:tcPr>
            <w:tcW w:w="720" w:type="dxa"/>
            <w:vAlign w:val="bottom"/>
            <w:tcBorders>
              <w:top w:val="single" w:sz="8" w:color="231F20"/>
              <w:bottom w:val="single" w:sz="8" w:color="231F20"/>
            </w:tcBorders>
          </w:tcPr>
          <w:p>
            <w:pPr>
              <w:jc w:val="right"/>
              <w:spacing w:after="0" w:line="193" w:lineRule="exact"/>
              <w:rPr>
                <w:sz w:val="20"/>
                <w:szCs w:val="20"/>
                <w:color w:val="auto"/>
              </w:rPr>
            </w:pPr>
            <w:r>
              <w:rPr>
                <w:rFonts w:ascii="Times New Roman" w:cs="Times New Roman" w:eastAsia="Times New Roman" w:hAnsi="Times New Roman"/>
                <w:sz w:val="19"/>
                <w:szCs w:val="19"/>
                <w:color w:val="231F20"/>
              </w:rPr>
              <w:t>58,402</w:t>
            </w:r>
          </w:p>
        </w:tc>
        <w:tc>
          <w:tcPr>
            <w:tcW w:w="20" w:type="dxa"/>
            <w:vAlign w:val="bottom"/>
            <w:tcBorders>
              <w:top w:val="single" w:sz="8" w:color="E6E7E8"/>
            </w:tcBorders>
          </w:tcPr>
          <w:p>
            <w:pPr>
              <w:spacing w:after="0"/>
              <w:rPr>
                <w:sz w:val="16"/>
                <w:szCs w:val="16"/>
                <w:color w:val="auto"/>
              </w:rPr>
            </w:pPr>
          </w:p>
        </w:tc>
        <w:tc>
          <w:tcPr>
            <w:tcW w:w="200" w:type="dxa"/>
            <w:vAlign w:val="bottom"/>
            <w:tcBorders>
              <w:top w:val="single" w:sz="8" w:color="E6E7E8"/>
            </w:tcBorders>
          </w:tcPr>
          <w:p>
            <w:pPr>
              <w:spacing w:after="0"/>
              <w:rPr>
                <w:sz w:val="16"/>
                <w:szCs w:val="16"/>
                <w:color w:val="auto"/>
              </w:rPr>
            </w:pPr>
          </w:p>
        </w:tc>
        <w:tc>
          <w:tcPr>
            <w:tcW w:w="100" w:type="dxa"/>
            <w:vAlign w:val="bottom"/>
            <w:tcBorders>
              <w:top w:val="single" w:sz="8" w:color="231F20"/>
              <w:bottom w:val="single" w:sz="8" w:color="231F20"/>
            </w:tcBorders>
          </w:tcPr>
          <w:p>
            <w:pPr>
              <w:jc w:val="right"/>
              <w:spacing w:after="0" w:line="193" w:lineRule="exact"/>
              <w:rPr>
                <w:sz w:val="20"/>
                <w:szCs w:val="20"/>
                <w:color w:val="auto"/>
              </w:rPr>
            </w:pPr>
            <w:r>
              <w:rPr>
                <w:rFonts w:ascii="Times New Roman" w:cs="Times New Roman" w:eastAsia="Times New Roman" w:hAnsi="Times New Roman"/>
                <w:sz w:val="19"/>
                <w:szCs w:val="19"/>
                <w:color w:val="231F20"/>
                <w:w w:val="83"/>
              </w:rPr>
              <w:t>$</w:t>
            </w:r>
          </w:p>
        </w:tc>
        <w:tc>
          <w:tcPr>
            <w:tcW w:w="940" w:type="dxa"/>
            <w:vAlign w:val="bottom"/>
            <w:tcBorders>
              <w:top w:val="single" w:sz="8" w:color="231F20"/>
              <w:bottom w:val="single" w:sz="8" w:color="231F20"/>
            </w:tcBorders>
          </w:tcPr>
          <w:p>
            <w:pPr>
              <w:jc w:val="right"/>
              <w:spacing w:after="0" w:line="193" w:lineRule="exact"/>
              <w:rPr>
                <w:sz w:val="20"/>
                <w:szCs w:val="20"/>
                <w:color w:val="auto"/>
              </w:rPr>
            </w:pPr>
            <w:r>
              <w:rPr>
                <w:rFonts w:ascii="Times New Roman" w:cs="Times New Roman" w:eastAsia="Times New Roman" w:hAnsi="Times New Roman"/>
                <w:sz w:val="19"/>
                <w:szCs w:val="19"/>
                <w:color w:val="231F20"/>
              </w:rPr>
              <w:t>58,402</w:t>
            </w:r>
          </w:p>
        </w:tc>
        <w:tc>
          <w:tcPr>
            <w:tcW w:w="100" w:type="dxa"/>
            <w:vAlign w:val="bottom"/>
            <w:tcBorders>
              <w:top w:val="single" w:sz="8" w:color="E6E7E8"/>
            </w:tcBorders>
          </w:tcPr>
          <w:p>
            <w:pPr>
              <w:spacing w:after="0"/>
              <w:rPr>
                <w:sz w:val="16"/>
                <w:szCs w:val="16"/>
                <w:color w:val="auto"/>
              </w:rPr>
            </w:pPr>
          </w:p>
        </w:tc>
        <w:tc>
          <w:tcPr>
            <w:tcW w:w="100" w:type="dxa"/>
            <w:vAlign w:val="bottom"/>
            <w:tcBorders>
              <w:top w:val="single" w:sz="8" w:color="E6E7E8"/>
            </w:tcBorders>
          </w:tcPr>
          <w:p>
            <w:pPr>
              <w:spacing w:after="0"/>
              <w:rPr>
                <w:sz w:val="16"/>
                <w:szCs w:val="16"/>
                <w:color w:val="auto"/>
              </w:rPr>
            </w:pPr>
          </w:p>
        </w:tc>
        <w:tc>
          <w:tcPr>
            <w:tcW w:w="120" w:type="dxa"/>
            <w:vAlign w:val="bottom"/>
            <w:tcBorders>
              <w:top w:val="single" w:sz="8" w:color="231F20"/>
              <w:bottom w:val="single" w:sz="8" w:color="231F20"/>
            </w:tcBorders>
          </w:tcPr>
          <w:p>
            <w:pPr>
              <w:jc w:val="right"/>
              <w:spacing w:after="0" w:line="193" w:lineRule="exact"/>
              <w:rPr>
                <w:sz w:val="20"/>
                <w:szCs w:val="20"/>
                <w:color w:val="auto"/>
              </w:rPr>
            </w:pPr>
            <w:r>
              <w:rPr>
                <w:rFonts w:ascii="Times New Roman" w:cs="Times New Roman" w:eastAsia="Times New Roman" w:hAnsi="Times New Roman"/>
                <w:sz w:val="19"/>
                <w:szCs w:val="19"/>
                <w:color w:val="231F20"/>
                <w:w w:val="83"/>
              </w:rPr>
              <w:t>$</w:t>
            </w:r>
          </w:p>
        </w:tc>
        <w:tc>
          <w:tcPr>
            <w:tcW w:w="920" w:type="dxa"/>
            <w:vAlign w:val="bottom"/>
            <w:tcBorders>
              <w:top w:val="single" w:sz="8" w:color="231F20"/>
              <w:bottom w:val="single" w:sz="8" w:color="231F20"/>
            </w:tcBorders>
          </w:tcPr>
          <w:p>
            <w:pPr>
              <w:ind w:left="720"/>
              <w:spacing w:after="0" w:line="193" w:lineRule="exact"/>
              <w:rPr>
                <w:sz w:val="20"/>
                <w:szCs w:val="20"/>
                <w:color w:val="auto"/>
              </w:rPr>
            </w:pPr>
            <w:r>
              <w:rPr>
                <w:rFonts w:ascii="Times New Roman" w:cs="Times New Roman" w:eastAsia="Times New Roman" w:hAnsi="Times New Roman"/>
                <w:sz w:val="19"/>
                <w:szCs w:val="19"/>
                <w:color w:val="231F20"/>
                <w:w w:val="94"/>
              </w:rPr>
              <w:t>—</w:t>
            </w:r>
          </w:p>
        </w:tc>
        <w:tc>
          <w:tcPr>
            <w:tcW w:w="100" w:type="dxa"/>
            <w:vAlign w:val="bottom"/>
            <w:tcBorders>
              <w:top w:val="single" w:sz="8" w:color="E6E7E8"/>
            </w:tcBorders>
          </w:tcPr>
          <w:p>
            <w:pPr>
              <w:spacing w:after="0"/>
              <w:rPr>
                <w:sz w:val="16"/>
                <w:szCs w:val="16"/>
                <w:color w:val="auto"/>
              </w:rPr>
            </w:pPr>
          </w:p>
        </w:tc>
        <w:tc>
          <w:tcPr>
            <w:tcW w:w="100" w:type="dxa"/>
            <w:vAlign w:val="bottom"/>
            <w:tcBorders>
              <w:top w:val="single" w:sz="8" w:color="E6E7E8"/>
            </w:tcBorders>
          </w:tcPr>
          <w:p>
            <w:pPr>
              <w:spacing w:after="0"/>
              <w:rPr>
                <w:sz w:val="16"/>
                <w:szCs w:val="16"/>
                <w:color w:val="auto"/>
              </w:rPr>
            </w:pPr>
          </w:p>
        </w:tc>
        <w:tc>
          <w:tcPr>
            <w:tcW w:w="120" w:type="dxa"/>
            <w:vAlign w:val="bottom"/>
            <w:tcBorders>
              <w:top w:val="single" w:sz="8" w:color="231F20"/>
              <w:bottom w:val="single" w:sz="8" w:color="231F20"/>
            </w:tcBorders>
          </w:tcPr>
          <w:p>
            <w:pPr>
              <w:jc w:val="right"/>
              <w:spacing w:after="0" w:line="193" w:lineRule="exact"/>
              <w:rPr>
                <w:sz w:val="20"/>
                <w:szCs w:val="20"/>
                <w:color w:val="auto"/>
              </w:rPr>
            </w:pPr>
            <w:r>
              <w:rPr>
                <w:rFonts w:ascii="Times New Roman" w:cs="Times New Roman" w:eastAsia="Times New Roman" w:hAnsi="Times New Roman"/>
                <w:sz w:val="19"/>
                <w:szCs w:val="19"/>
                <w:color w:val="231F20"/>
                <w:w w:val="83"/>
              </w:rPr>
              <w:t>$</w:t>
            </w:r>
          </w:p>
        </w:tc>
        <w:tc>
          <w:tcPr>
            <w:tcW w:w="920" w:type="dxa"/>
            <w:vAlign w:val="bottom"/>
            <w:tcBorders>
              <w:top w:val="single" w:sz="8" w:color="231F20"/>
              <w:bottom w:val="single" w:sz="8" w:color="231F20"/>
            </w:tcBorders>
          </w:tcPr>
          <w:p>
            <w:pPr>
              <w:ind w:left="720"/>
              <w:spacing w:after="0" w:line="193" w:lineRule="exact"/>
              <w:rPr>
                <w:sz w:val="20"/>
                <w:szCs w:val="20"/>
                <w:color w:val="auto"/>
              </w:rPr>
            </w:pPr>
            <w:r>
              <w:rPr>
                <w:rFonts w:ascii="Times New Roman" w:cs="Times New Roman" w:eastAsia="Times New Roman" w:hAnsi="Times New Roman"/>
                <w:sz w:val="19"/>
                <w:szCs w:val="19"/>
                <w:color w:val="231F20"/>
                <w:w w:val="94"/>
              </w:rPr>
              <w:t>—</w:t>
            </w:r>
          </w:p>
        </w:tc>
        <w:tc>
          <w:tcPr>
            <w:tcW w:w="60" w:type="dxa"/>
            <w:vAlign w:val="bottom"/>
            <w:tcBorders>
              <w:top w:val="single" w:sz="8" w:color="E6E7E8"/>
            </w:tcBorders>
          </w:tcPr>
          <w:p>
            <w:pPr>
              <w:spacing w:after="0"/>
              <w:rPr>
                <w:sz w:val="16"/>
                <w:szCs w:val="16"/>
                <w:color w:val="auto"/>
              </w:rPr>
            </w:pPr>
          </w:p>
        </w:tc>
      </w:tr>
      <w:tr>
        <w:trPr>
          <w:trHeight w:val="20"/>
        </w:trPr>
        <w:tc>
          <w:tcPr>
            <w:tcW w:w="3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3432810</wp:posOffset>
            </wp:positionH>
            <wp:positionV relativeFrom="paragraph">
              <wp:posOffset>-2730500</wp:posOffset>
            </wp:positionV>
            <wp:extent cx="3063240"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59">
                      <a:extLst>
                        <a:ext uri="{28A0092B-C50C-407E-A947-70E740481C1C}"/>
                      </a:extLst>
                    </a:blip>
                    <a:srcRect/>
                    <a:stretch>
                      <a:fillRect/>
                    </a:stretch>
                  </pic:blipFill>
                  <pic:spPr bwMode="auto">
                    <a:xfrm>
                      <a:off x="0" y="0"/>
                      <a:ext cx="3063240" cy="38100"/>
                    </a:xfrm>
                    <a:prstGeom prst="rect">
                      <a:avLst/>
                    </a:prstGeom>
                    <a:noFill/>
                  </pic:spPr>
                </pic:pic>
              </a:graphicData>
            </a:graphic>
          </wp:anchor>
        </w:drawing>
      </w:r>
    </w:p>
    <w:p>
      <w:pPr>
        <w:spacing w:after="0" w:line="231" w:lineRule="exact"/>
        <w:rPr>
          <w:sz w:val="20"/>
          <w:szCs w:val="20"/>
          <w:color w:val="auto"/>
        </w:rPr>
      </w:pPr>
    </w:p>
    <w:p>
      <w:pPr>
        <w:ind w:firstLine="612"/>
        <w:spacing w:after="0" w:line="250" w:lineRule="auto"/>
        <w:rPr>
          <w:sz w:val="20"/>
          <w:szCs w:val="20"/>
          <w:color w:val="auto"/>
        </w:rPr>
      </w:pPr>
      <w:r>
        <w:rPr>
          <w:rFonts w:ascii="Times New Roman" w:cs="Times New Roman" w:eastAsia="Times New Roman" w:hAnsi="Times New Roman"/>
          <w:sz w:val="21"/>
          <w:szCs w:val="21"/>
          <w:b w:val="1"/>
          <w:bCs w:val="1"/>
          <w:color w:val="231F20"/>
        </w:rPr>
        <w:t>Employee 401(k) Tax Deferred Savings Plan—</w:t>
      </w:r>
      <w:r>
        <w:rPr>
          <w:rFonts w:ascii="Times New Roman" w:cs="Times New Roman" w:eastAsia="Times New Roman" w:hAnsi="Times New Roman"/>
          <w:sz w:val="21"/>
          <w:szCs w:val="21"/>
          <w:color w:val="231F20"/>
        </w:rPr>
        <w:t>The Company sponsors the Unitil Corporation Tax Deferred Savings</w:t>
      </w:r>
      <w:r>
        <w:rPr>
          <w:rFonts w:ascii="Times New Roman" w:cs="Times New Roman" w:eastAsia="Times New Roman" w:hAnsi="Times New Roman"/>
          <w:sz w:val="21"/>
          <w:szCs w:val="21"/>
          <w:b w:val="1"/>
          <w:bCs w:val="1"/>
          <w:color w:val="231F20"/>
        </w:rPr>
        <w:t xml:space="preserve"> </w:t>
      </w:r>
      <w:r>
        <w:rPr>
          <w:rFonts w:ascii="Times New Roman" w:cs="Times New Roman" w:eastAsia="Times New Roman" w:hAnsi="Times New Roman"/>
          <w:sz w:val="21"/>
          <w:szCs w:val="21"/>
          <w:color w:val="231F20"/>
        </w:rPr>
        <w:t>and Investment Plan (the 401(k) Plan) under Section 401(k) of the Internal Revenue Code and covering substantially all of the Company’s employees. Participants may elect to defer current compensation by contributing to the plan. Employees may direct, at their sole discretion, the investment of their savings plan balances (both the employer and employee portions) into a variety of investment options, including a Company common stock fund.</w:t>
      </w:r>
    </w:p>
    <w:p>
      <w:pPr>
        <w:spacing w:after="0" w:line="194" w:lineRule="exact"/>
        <w:rPr>
          <w:sz w:val="20"/>
          <w:szCs w:val="20"/>
          <w:color w:val="auto"/>
        </w:rPr>
      </w:pPr>
    </w:p>
    <w:p>
      <w:pPr>
        <w:ind w:right="320" w:firstLine="612"/>
        <w:spacing w:after="0" w:line="279" w:lineRule="auto"/>
        <w:rPr>
          <w:sz w:val="20"/>
          <w:szCs w:val="20"/>
          <w:color w:val="auto"/>
        </w:rPr>
      </w:pPr>
      <w:r>
        <w:rPr>
          <w:rFonts w:ascii="Times New Roman" w:cs="Times New Roman" w:eastAsia="Times New Roman" w:hAnsi="Times New Roman"/>
          <w:sz w:val="21"/>
          <w:szCs w:val="21"/>
          <w:color w:val="231F20"/>
        </w:rPr>
        <w:t>The Company’s contributions to the 401(k) Plan were $5.0 million, $4.5 million and $4.0 million for the years ended December 31, 2025, 2024 and 2023, respectively.</w:t>
      </w:r>
    </w:p>
    <w:p>
      <w:pPr>
        <w:sectPr>
          <w:pgSz w:w="12240" w:h="15840" w:orient="portrait"/>
          <w:cols w:equalWidth="0" w:num="1">
            <w:col w:w="10760"/>
          </w:cols>
          <w:pgMar w:left="720" w:top="928" w:right="76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91</w:t>
      </w:r>
    </w:p>
    <w:p>
      <w:pPr>
        <w:sectPr>
          <w:pgSz w:w="12240" w:h="15840" w:orient="portrait"/>
          <w:cols w:equalWidth="0" w:num="1">
            <w:col w:w="10760"/>
          </w:cols>
          <w:pgMar w:left="720" w:top="928" w:right="760" w:bottom="188"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21"/>
          <w:szCs w:val="21"/>
          <w:b w:val="1"/>
          <w:bCs w:val="1"/>
          <w:color w:val="231F20"/>
        </w:rPr>
        <w:t>Item 9. Changes in and Disagreements with Accountants on Accounting and Financial Disclosure</w:t>
      </w:r>
    </w:p>
    <w:p>
      <w:pPr>
        <w:spacing w:after="0" w:line="1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231F20"/>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Item 9A. Controls and Procedures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Disclosure Controls and Procedures</w:t>
      </w:r>
    </w:p>
    <w:p>
      <w:pPr>
        <w:spacing w:after="0" w:line="124" w:lineRule="exact"/>
        <w:rPr>
          <w:sz w:val="20"/>
          <w:szCs w:val="20"/>
          <w:color w:val="auto"/>
        </w:rPr>
      </w:pPr>
    </w:p>
    <w:p>
      <w:pPr>
        <w:ind w:firstLine="612"/>
        <w:spacing w:after="0" w:line="247" w:lineRule="auto"/>
        <w:rPr>
          <w:sz w:val="20"/>
          <w:szCs w:val="20"/>
          <w:color w:val="auto"/>
        </w:rPr>
      </w:pPr>
      <w:r>
        <w:rPr>
          <w:rFonts w:ascii="Times New Roman" w:cs="Times New Roman" w:eastAsia="Times New Roman" w:hAnsi="Times New Roman"/>
          <w:sz w:val="21"/>
          <w:szCs w:val="21"/>
          <w:color w:val="231F20"/>
        </w:rPr>
        <w:t>Management of the Company, under the supervision and with the participation of the Company’s Chief Executive Officer, Chief Financial Officer, and Chief Accounting Officer, conducted an evaluation of the effectiveness of the design and operation of the Company’s disclosure controls and procedures as of December 31, 2025. Based on this evaluation, the Company’s Chief Executive Officer, Chief Financial Officer, and Chief Accounting Officer concluded as of December 31, 2025 that the Company’s disclosure controls and procedures (as defined in Exchange Act Rules 13a-15(e) and 15d-15(e)) were effective.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Management’s Report on Internal Control over Financial Reporting</w:t>
      </w:r>
    </w:p>
    <w:p>
      <w:pPr>
        <w:spacing w:after="0" w:line="124" w:lineRule="exact"/>
        <w:rPr>
          <w:sz w:val="20"/>
          <w:szCs w:val="20"/>
          <w:color w:val="auto"/>
        </w:rPr>
      </w:pPr>
    </w:p>
    <w:p>
      <w:pPr>
        <w:ind w:right="220" w:firstLine="612"/>
        <w:spacing w:after="0" w:line="279" w:lineRule="auto"/>
        <w:rPr>
          <w:sz w:val="20"/>
          <w:szCs w:val="20"/>
          <w:color w:val="auto"/>
        </w:rPr>
      </w:pPr>
      <w:r>
        <w:rPr>
          <w:rFonts w:ascii="Times New Roman" w:cs="Times New Roman" w:eastAsia="Times New Roman" w:hAnsi="Times New Roman"/>
          <w:sz w:val="21"/>
          <w:szCs w:val="21"/>
          <w:color w:val="231F20"/>
        </w:rPr>
        <w:t>Management is responsible for establishing and maintaining adequate internal control over financial reporting, as such term is defined in Exchange Act Rules 13a-15(f) and 15d-15(f).</w:t>
      </w:r>
    </w:p>
    <w:p>
      <w:pPr>
        <w:spacing w:after="0" w:line="162" w:lineRule="exact"/>
        <w:rPr>
          <w:sz w:val="20"/>
          <w:szCs w:val="20"/>
          <w:color w:val="auto"/>
        </w:rPr>
      </w:pPr>
    </w:p>
    <w:p>
      <w:pPr>
        <w:ind w:right="40" w:firstLine="612"/>
        <w:spacing w:after="0" w:line="244" w:lineRule="auto"/>
        <w:rPr>
          <w:sz w:val="20"/>
          <w:szCs w:val="20"/>
          <w:color w:val="auto"/>
        </w:rPr>
      </w:pPr>
      <w:r>
        <w:rPr>
          <w:rFonts w:ascii="Times New Roman" w:cs="Times New Roman" w:eastAsia="Times New Roman" w:hAnsi="Times New Roman"/>
          <w:sz w:val="21"/>
          <w:szCs w:val="21"/>
          <w:color w:val="231F20"/>
        </w:rPr>
        <w:t>Under the supervision and with the participation of management, including the Chief Executive Officer, Chief Financial Officer, and Chief Accounting Officer, the Company’s management has evaluated the effectiveness of the Company’s internal control over financial reporting as of December 31, 2025, based upon criteria established in the “Internal Control–Integrated Framework” (2013) issued by the Committee of Sponsoring Organizations of the Treadway Commission. Based on this evaluation, the Company’s management concluded that the Company’s internal control over financial reporting was effective as of December 31, 2025. There were no material changes in internal control over financial reporting during the year ended December 31, 2025 that materially affected, or are reasonably likely to materially affect, the Company’s internal control over financial reporting. Management continues to evaluate and enhance controls related to significant estimates, including regulatory assets, revenue recognition, and pension and postretirement obligations.</w:t>
      </w:r>
    </w:p>
    <w:p>
      <w:pPr>
        <w:spacing w:after="0" w:line="204" w:lineRule="exact"/>
        <w:rPr>
          <w:sz w:val="20"/>
          <w:szCs w:val="20"/>
          <w:color w:val="auto"/>
        </w:rPr>
      </w:pPr>
    </w:p>
    <w:p>
      <w:pPr>
        <w:ind w:right="20" w:firstLine="619"/>
        <w:spacing w:after="0" w:line="253" w:lineRule="auto"/>
        <w:rPr>
          <w:sz w:val="20"/>
          <w:szCs w:val="20"/>
          <w:color w:val="auto"/>
        </w:rPr>
      </w:pPr>
      <w:r>
        <w:rPr>
          <w:rFonts w:ascii="Times New Roman" w:cs="Times New Roman" w:eastAsia="Times New Roman" w:hAnsi="Times New Roman"/>
          <w:sz w:val="21"/>
          <w:szCs w:val="21"/>
          <w:color w:val="231F20"/>
        </w:rPr>
        <w:t>Management's assessment of the effectiveness of the Company's internal control over financial reporting as of December 31, 2025 excluded the internal controls of Maine Natural Gas Corporation, which was acquired on October 31, 2025. Maine Natural Gas Corporation's total assets and total revenues represented approximately 4.9% and 1.5%, respectively, of the Company's consolidated total assets and revenues as of and for the year ended December 31, 2025.</w:t>
      </w:r>
    </w:p>
    <w:p>
      <w:pPr>
        <w:spacing w:after="0" w:line="188" w:lineRule="exact"/>
        <w:rPr>
          <w:sz w:val="20"/>
          <w:szCs w:val="20"/>
          <w:color w:val="auto"/>
        </w:rPr>
      </w:pPr>
    </w:p>
    <w:p>
      <w:pPr>
        <w:ind w:right="160" w:firstLine="612"/>
        <w:spacing w:after="0" w:line="259" w:lineRule="auto"/>
        <w:rPr>
          <w:sz w:val="20"/>
          <w:szCs w:val="20"/>
          <w:color w:val="auto"/>
        </w:rPr>
      </w:pPr>
      <w:r>
        <w:rPr>
          <w:rFonts w:ascii="Times New Roman" w:cs="Times New Roman" w:eastAsia="Times New Roman" w:hAnsi="Times New Roman"/>
          <w:sz w:val="21"/>
          <w:szCs w:val="21"/>
          <w:color w:val="231F20"/>
        </w:rPr>
        <w:t>Deloitte &amp; Touche LLP, an independent registered public accounting firm, has audited the effectiveness of the Company’s internal control over financial reporting as of December 31, 2025, as stated in their report which appears in Part II, Item 8 herein.</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Changes in Internal Control over Financial Reporting</w:t>
      </w:r>
    </w:p>
    <w:p>
      <w:pPr>
        <w:spacing w:after="0" w:line="124" w:lineRule="exact"/>
        <w:rPr>
          <w:sz w:val="20"/>
          <w:szCs w:val="20"/>
          <w:color w:val="auto"/>
        </w:rPr>
      </w:pPr>
    </w:p>
    <w:p>
      <w:pPr>
        <w:ind w:right="20" w:firstLine="612"/>
        <w:spacing w:after="0" w:line="259" w:lineRule="auto"/>
        <w:rPr>
          <w:sz w:val="20"/>
          <w:szCs w:val="20"/>
          <w:color w:val="auto"/>
        </w:rPr>
      </w:pPr>
      <w:r>
        <w:rPr>
          <w:rFonts w:ascii="Times New Roman" w:cs="Times New Roman" w:eastAsia="Times New Roman" w:hAnsi="Times New Roman"/>
          <w:sz w:val="21"/>
          <w:szCs w:val="21"/>
          <w:color w:val="231F20"/>
        </w:rPr>
        <w:t>Except as described above, there have been no changes in the Company’s internal control over financial reporting (as defined in Exchange Act Rules 13a-15(f) and 15d-15(f)) during the fiscal quarter ended December 31, 2025 that have materially affected, or are reasonably likely to materially affect, the Company’s internal control over financial reporting.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Item 9B. Other Information</w:t>
      </w:r>
    </w:p>
    <w:p>
      <w:pPr>
        <w:spacing w:after="0" w:line="124" w:lineRule="exact"/>
        <w:rPr>
          <w:sz w:val="20"/>
          <w:szCs w:val="20"/>
          <w:color w:val="auto"/>
        </w:rPr>
      </w:pPr>
    </w:p>
    <w:p>
      <w:pPr>
        <w:ind w:right="460" w:firstLine="612"/>
        <w:spacing w:after="0" w:line="279" w:lineRule="auto"/>
        <w:tabs>
          <w:tab w:leader="none" w:pos="898" w:val="left"/>
        </w:tabs>
        <w:numPr>
          <w:ilvl w:val="0"/>
          <w:numId w:val="28"/>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color w:val="231F20"/>
        </w:rPr>
        <w:t>On February 9, 2026, the Company issued a press release announcing its results of operations for the year ended December 31, 2025. The press release is furnished with this Annual Report on Form 10-K as Exhibit 99.1.</w:t>
      </w:r>
    </w:p>
    <w:p>
      <w:pPr>
        <w:spacing w:after="0" w:line="41" w:lineRule="exact"/>
        <w:rPr>
          <w:rFonts w:ascii="Times New Roman" w:cs="Times New Roman" w:eastAsia="Times New Roman" w:hAnsi="Times New Roman"/>
          <w:sz w:val="21"/>
          <w:szCs w:val="21"/>
          <w:color w:val="231F20"/>
        </w:rPr>
      </w:pPr>
    </w:p>
    <w:p>
      <w:pPr>
        <w:jc w:val="both"/>
        <w:ind w:right="100" w:firstLine="619"/>
        <w:spacing w:after="0" w:line="253" w:lineRule="auto"/>
        <w:tabs>
          <w:tab w:leader="none" w:pos="917" w:val="left"/>
        </w:tabs>
        <w:numPr>
          <w:ilvl w:val="0"/>
          <w:numId w:val="28"/>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color w:val="231F20"/>
        </w:rPr>
        <w:t>During the quarter ended December 31, 2025, no director or officer (as defined in Rule 16a-1(f) promulgated under the Exchange Act adopted or terminated a Rule10b5-1 trading arrangement (as defined in Item 408(a)(1)(i) of Regulation S-K promulgated under the Exchange Act) or any non-Rule 10b5-1 trading arrangement (as defined in Item 408(c) of Regulation S-K promulgated under the Exchange Act).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Item 9C. Disclosure Regarding Foreign Jurisdictions that Prevent Inspections.</w:t>
      </w:r>
    </w:p>
    <w:p>
      <w:pPr>
        <w:spacing w:after="0" w:line="1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231F20"/>
        </w:rPr>
        <w:t>Not applicable.</w:t>
      </w:r>
    </w:p>
    <w:p>
      <w:pPr>
        <w:sectPr>
          <w:pgSz w:w="12240" w:h="15840" w:orient="portrait"/>
          <w:cols w:equalWidth="0" w:num="1">
            <w:col w:w="10800"/>
          </w:cols>
          <w:pgMar w:left="720" w:top="925" w:right="720" w:bottom="188" w:gutter="0" w:footer="0" w:header="0"/>
        </w:sect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92</w:t>
      </w:r>
    </w:p>
    <w:p>
      <w:pPr>
        <w:sectPr>
          <w:pgSz w:w="12240" w:h="15840" w:orient="portrait"/>
          <w:cols w:equalWidth="0" w:num="1">
            <w:col w:w="10800"/>
          </w:cols>
          <w:pgMar w:left="720" w:top="925" w:right="720" w:bottom="188" w:gutter="0" w:footer="0" w:header="0"/>
          <w:type w:val="continuous"/>
        </w:sectPr>
      </w:pPr>
    </w:p>
    <w:bookmarkStart w:id="112" w:name="page113"/>
    <w:bookmarkEnd w:id="112"/>
    <w:p>
      <w:pPr>
        <w:ind w:left="4960"/>
        <w:spacing w:after="0"/>
        <w:rPr>
          <w:sz w:val="20"/>
          <w:szCs w:val="20"/>
          <w:color w:val="auto"/>
        </w:rPr>
      </w:pPr>
      <w:r>
        <w:rPr>
          <w:rFonts w:ascii="Times New Roman" w:cs="Times New Roman" w:eastAsia="Times New Roman" w:hAnsi="Times New Roman"/>
          <w:sz w:val="21"/>
          <w:szCs w:val="21"/>
          <w:b w:val="1"/>
          <w:bCs w:val="1"/>
          <w:color w:val="231F20"/>
        </w:rPr>
        <w:t>PART III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Item 10. Directors, Executive Officers and Corporate Governance</w:t>
      </w:r>
    </w:p>
    <w:p>
      <w:pPr>
        <w:spacing w:after="0" w:line="124" w:lineRule="exact"/>
        <w:rPr>
          <w:sz w:val="20"/>
          <w:szCs w:val="20"/>
          <w:color w:val="auto"/>
        </w:rPr>
      </w:pPr>
    </w:p>
    <w:p>
      <w:pPr>
        <w:ind w:right="60" w:firstLine="612"/>
        <w:spacing w:after="0" w:line="244" w:lineRule="auto"/>
        <w:rPr>
          <w:sz w:val="20"/>
          <w:szCs w:val="20"/>
          <w:color w:val="auto"/>
        </w:rPr>
      </w:pPr>
      <w:r>
        <w:rPr>
          <w:rFonts w:ascii="Times New Roman" w:cs="Times New Roman" w:eastAsia="Times New Roman" w:hAnsi="Times New Roman"/>
          <w:sz w:val="21"/>
          <w:szCs w:val="21"/>
          <w:color w:val="231F20"/>
        </w:rPr>
        <w:t>Information required by this Item is set forth in the “Proposal 1: Election of Directors” section and the “Description of Management” section of the Proxy Statement relating to the Annual Meeting of Shareholders to be held April 29, 2026 (the “Proxy Statement”). Information regarding compliance with Section 16(a) of the Securities Exchange Act of 1934, as amended, is set forth in the “Corporate Governance and Policies of the Board—Section 16(a) Beneficial Ownership Reporting Compliance” section of the Proxy Statement. Information regarding the Company’s Audit Committee is set forth in the “Committees of the Board—Audit Committee” section of the Proxy Statement. Information regarding the Company’s Code of Ethics is set forth in the “Corporate Governance and Policies of the Board—Code of Ethics” section of the Proxy Statement. Information regarding procedures by which shareholders may recommend nominees to the Company’s Board of Directors is set forth in the “Corporate Governance and Policies of the Board—Nominations” section of the Proxy Statement.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Item 11. Executive Compensation</w:t>
      </w:r>
    </w:p>
    <w:p>
      <w:pPr>
        <w:spacing w:after="0" w:line="124" w:lineRule="exact"/>
        <w:rPr>
          <w:sz w:val="20"/>
          <w:szCs w:val="20"/>
          <w:color w:val="auto"/>
        </w:rPr>
      </w:pPr>
    </w:p>
    <w:p>
      <w:pPr>
        <w:ind w:right="400" w:firstLine="612"/>
        <w:spacing w:after="0" w:line="279" w:lineRule="auto"/>
        <w:rPr>
          <w:sz w:val="20"/>
          <w:szCs w:val="20"/>
          <w:color w:val="auto"/>
        </w:rPr>
      </w:pPr>
      <w:r>
        <w:rPr>
          <w:rFonts w:ascii="Times New Roman" w:cs="Times New Roman" w:eastAsia="Times New Roman" w:hAnsi="Times New Roman"/>
          <w:sz w:val="21"/>
          <w:szCs w:val="21"/>
          <w:color w:val="231F20"/>
        </w:rPr>
        <w:t>Information required by this Item is set forth in the “Compensation Discussion and Analysis” and “Compensation of Named Executive Officers” sections of the Proxy Statement.</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Item 12. Security Ownership of Certain Beneficial Owners and Management and Related Stockholder Matters</w:t>
      </w:r>
    </w:p>
    <w:p>
      <w:pPr>
        <w:spacing w:after="0" w:line="124" w:lineRule="exact"/>
        <w:rPr>
          <w:sz w:val="20"/>
          <w:szCs w:val="20"/>
          <w:color w:val="auto"/>
        </w:rPr>
      </w:pPr>
    </w:p>
    <w:p>
      <w:pPr>
        <w:ind w:right="280" w:firstLine="612"/>
        <w:spacing w:after="0" w:line="279" w:lineRule="auto"/>
        <w:rPr>
          <w:sz w:val="20"/>
          <w:szCs w:val="20"/>
          <w:color w:val="auto"/>
        </w:rPr>
      </w:pPr>
      <w:r>
        <w:rPr>
          <w:rFonts w:ascii="Times New Roman" w:cs="Times New Roman" w:eastAsia="Times New Roman" w:hAnsi="Times New Roman"/>
          <w:sz w:val="21"/>
          <w:szCs w:val="21"/>
          <w:color w:val="231F20"/>
        </w:rPr>
        <w:t>Information required by this Item is set forth in the “Beneficial Ownership” section of the Proxy Statement, as well as the Equity Compensation Plan Information table in Part II, Item 5 of this Form 10-K.</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Item 13. Certain Relationships and Related Transactions, and Director Independence</w:t>
      </w:r>
    </w:p>
    <w:p>
      <w:pPr>
        <w:spacing w:after="0" w:line="124" w:lineRule="exact"/>
        <w:rPr>
          <w:sz w:val="20"/>
          <w:szCs w:val="20"/>
          <w:color w:val="auto"/>
        </w:rPr>
      </w:pPr>
    </w:p>
    <w:p>
      <w:pPr>
        <w:ind w:firstLine="612"/>
        <w:spacing w:after="0" w:line="259" w:lineRule="auto"/>
        <w:rPr>
          <w:sz w:val="20"/>
          <w:szCs w:val="20"/>
          <w:color w:val="auto"/>
        </w:rPr>
      </w:pPr>
      <w:r>
        <w:rPr>
          <w:rFonts w:ascii="Times New Roman" w:cs="Times New Roman" w:eastAsia="Times New Roman" w:hAnsi="Times New Roman"/>
          <w:sz w:val="21"/>
          <w:szCs w:val="21"/>
          <w:color w:val="231F20"/>
        </w:rPr>
        <w:t>Information required by this Item is set forth in the “Corporate Governance and Policies of the Board—Transactions with Related Persons” and the “Corporate Governance and Policies of the Board—Director Independence” sections of the Proxy Statement.</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Item 14. Principal Accountant Fees and Services</w:t>
      </w:r>
    </w:p>
    <w:p>
      <w:pPr>
        <w:spacing w:after="0" w:line="124" w:lineRule="exact"/>
        <w:rPr>
          <w:sz w:val="20"/>
          <w:szCs w:val="20"/>
          <w:color w:val="auto"/>
        </w:rPr>
      </w:pPr>
    </w:p>
    <w:p>
      <w:pPr>
        <w:ind w:right="40" w:firstLine="612"/>
        <w:spacing w:after="0" w:line="279" w:lineRule="auto"/>
        <w:rPr>
          <w:sz w:val="20"/>
          <w:szCs w:val="20"/>
          <w:color w:val="auto"/>
        </w:rPr>
      </w:pPr>
      <w:r>
        <w:rPr>
          <w:rFonts w:ascii="Times New Roman" w:cs="Times New Roman" w:eastAsia="Times New Roman" w:hAnsi="Times New Roman"/>
          <w:sz w:val="21"/>
          <w:szCs w:val="21"/>
          <w:color w:val="231F20"/>
        </w:rPr>
        <w:t>Information required by this Item is set forth in the “Audit Committee Report—Principal Accountant Fees and Services” and the “Audit Committee Report—Audit Committee Pre-Approval Policy” sections of the Proxy Statement.</w:t>
      </w:r>
    </w:p>
    <w:p>
      <w:pPr>
        <w:sectPr>
          <w:pgSz w:w="12240" w:h="15840" w:orient="portrait"/>
          <w:cols w:equalWidth="0" w:num="1">
            <w:col w:w="10800"/>
          </w:cols>
          <w:pgMar w:left="720" w:top="925" w:right="72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93</w:t>
      </w:r>
    </w:p>
    <w:p>
      <w:pPr>
        <w:sectPr>
          <w:pgSz w:w="12240" w:h="15840" w:orient="portrait"/>
          <w:cols w:equalWidth="0" w:num="1">
            <w:col w:w="10800"/>
          </w:cols>
          <w:pgMar w:left="720" w:top="925" w:right="720" w:bottom="188" w:gutter="0" w:footer="0" w:header="0"/>
          <w:type w:val="continuous"/>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21"/>
          <w:szCs w:val="21"/>
          <w:b w:val="1"/>
          <w:bCs w:val="1"/>
          <w:color w:val="231F20"/>
        </w:rPr>
        <w:t>PART IV</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Item 15. Exhibits and Financial Statement Schedules</w:t>
      </w:r>
    </w:p>
    <w:p>
      <w:pPr>
        <w:spacing w:after="0" w:line="120" w:lineRule="exact"/>
        <w:rPr>
          <w:sz w:val="20"/>
          <w:szCs w:val="20"/>
          <w:color w:val="auto"/>
        </w:rPr>
      </w:pPr>
    </w:p>
    <w:p>
      <w:pPr>
        <w:ind w:left="900" w:hanging="288"/>
        <w:spacing w:after="0"/>
        <w:tabs>
          <w:tab w:leader="none" w:pos="900" w:val="left"/>
        </w:tabs>
        <w:numPr>
          <w:ilvl w:val="0"/>
          <w:numId w:val="29"/>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color w:val="231F20"/>
        </w:rPr>
        <w:t>(1) and (2)—</w:t>
      </w:r>
      <w:r>
        <w:rPr>
          <w:rFonts w:ascii="Times New Roman" w:cs="Times New Roman" w:eastAsia="Times New Roman" w:hAnsi="Times New Roman"/>
          <w:sz w:val="21"/>
          <w:szCs w:val="21"/>
          <w:b w:val="1"/>
          <w:bCs w:val="1"/>
          <w:color w:val="231F20"/>
        </w:rPr>
        <w:t>LIST OF FINANCIAL STATEMENTS AND FINANCIAL STATEMENT SCHEDULES</w:t>
      </w:r>
    </w:p>
    <w:p>
      <w:pPr>
        <w:spacing w:after="0" w:line="2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231F20"/>
        </w:rPr>
        <w:t>The following financial statements are included herein under Part II, Item 8, Financial Statements and Supplementary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231F20"/>
        </w:rPr>
        <w:t>Data:</w:t>
      </w:r>
    </w:p>
    <w:p>
      <w:pPr>
        <w:spacing w:after="0" w:line="105" w:lineRule="exact"/>
        <w:rPr>
          <w:sz w:val="20"/>
          <w:szCs w:val="20"/>
          <w:color w:val="auto"/>
        </w:rPr>
      </w:pPr>
    </w:p>
    <w:p>
      <w:pPr>
        <w:ind w:left="980" w:hanging="361"/>
        <w:spacing w:after="0"/>
        <w:tabs>
          <w:tab w:leader="none" w:pos="980" w:val="left"/>
        </w:tabs>
        <w:numPr>
          <w:ilvl w:val="0"/>
          <w:numId w:val="30"/>
        </w:numPr>
        <w:rPr>
          <w:rFonts w:ascii="Arial" w:cs="Arial" w:eastAsia="Arial" w:hAnsi="Arial"/>
          <w:sz w:val="21"/>
          <w:szCs w:val="21"/>
          <w:color w:val="231F20"/>
        </w:rPr>
      </w:pPr>
      <w:r>
        <w:rPr>
          <w:rFonts w:ascii="Times New Roman" w:cs="Times New Roman" w:eastAsia="Times New Roman" w:hAnsi="Times New Roman"/>
          <w:sz w:val="21"/>
          <w:szCs w:val="21"/>
          <w:color w:val="231F20"/>
        </w:rPr>
        <w:t>Report of Independent Registered Public Accounting Firm (Deloitte &amp; Touche LLP; PCAOB ID No. 34)</w:t>
      </w:r>
    </w:p>
    <w:p>
      <w:pPr>
        <w:spacing w:after="0" w:line="134" w:lineRule="exact"/>
        <w:rPr>
          <w:rFonts w:ascii="Arial" w:cs="Arial" w:eastAsia="Arial" w:hAnsi="Arial"/>
          <w:sz w:val="21"/>
          <w:szCs w:val="21"/>
          <w:color w:val="231F20"/>
        </w:rPr>
      </w:pPr>
    </w:p>
    <w:p>
      <w:pPr>
        <w:ind w:left="980" w:hanging="361"/>
        <w:spacing w:after="0"/>
        <w:tabs>
          <w:tab w:leader="none" w:pos="980" w:val="left"/>
        </w:tabs>
        <w:numPr>
          <w:ilvl w:val="0"/>
          <w:numId w:val="30"/>
        </w:numPr>
        <w:rPr>
          <w:rFonts w:ascii="Arial" w:cs="Arial" w:eastAsia="Arial" w:hAnsi="Arial"/>
          <w:sz w:val="21"/>
          <w:szCs w:val="21"/>
          <w:color w:val="231F20"/>
        </w:rPr>
      </w:pPr>
      <w:r>
        <w:rPr>
          <w:rFonts w:ascii="Times New Roman" w:cs="Times New Roman" w:eastAsia="Times New Roman" w:hAnsi="Times New Roman"/>
          <w:sz w:val="21"/>
          <w:szCs w:val="21"/>
          <w:color w:val="231F20"/>
        </w:rPr>
        <w:t>Consolidated Statements of Earnings for the years ended December 31, 2025, 2024 and 2023</w:t>
      </w:r>
    </w:p>
    <w:p>
      <w:pPr>
        <w:spacing w:after="0" w:line="134" w:lineRule="exact"/>
        <w:rPr>
          <w:rFonts w:ascii="Arial" w:cs="Arial" w:eastAsia="Arial" w:hAnsi="Arial"/>
          <w:sz w:val="21"/>
          <w:szCs w:val="21"/>
          <w:color w:val="231F20"/>
        </w:rPr>
      </w:pPr>
    </w:p>
    <w:p>
      <w:pPr>
        <w:ind w:left="980" w:hanging="361"/>
        <w:spacing w:after="0"/>
        <w:tabs>
          <w:tab w:leader="none" w:pos="980" w:val="left"/>
        </w:tabs>
        <w:numPr>
          <w:ilvl w:val="0"/>
          <w:numId w:val="30"/>
        </w:numPr>
        <w:rPr>
          <w:rFonts w:ascii="Arial" w:cs="Arial" w:eastAsia="Arial" w:hAnsi="Arial"/>
          <w:sz w:val="21"/>
          <w:szCs w:val="21"/>
          <w:color w:val="231F20"/>
        </w:rPr>
      </w:pPr>
      <w:r>
        <w:rPr>
          <w:rFonts w:ascii="Times New Roman" w:cs="Times New Roman" w:eastAsia="Times New Roman" w:hAnsi="Times New Roman"/>
          <w:sz w:val="21"/>
          <w:szCs w:val="21"/>
          <w:color w:val="231F20"/>
        </w:rPr>
        <w:t>Consolidated Balance Sheets—December 31, 2025 and 2024</w:t>
      </w:r>
    </w:p>
    <w:p>
      <w:pPr>
        <w:spacing w:after="0" w:line="134" w:lineRule="exact"/>
        <w:rPr>
          <w:rFonts w:ascii="Arial" w:cs="Arial" w:eastAsia="Arial" w:hAnsi="Arial"/>
          <w:sz w:val="21"/>
          <w:szCs w:val="21"/>
          <w:color w:val="231F20"/>
        </w:rPr>
      </w:pPr>
    </w:p>
    <w:p>
      <w:pPr>
        <w:ind w:left="980" w:hanging="361"/>
        <w:spacing w:after="0"/>
        <w:tabs>
          <w:tab w:leader="none" w:pos="980" w:val="left"/>
        </w:tabs>
        <w:numPr>
          <w:ilvl w:val="0"/>
          <w:numId w:val="30"/>
        </w:numPr>
        <w:rPr>
          <w:rFonts w:ascii="Arial" w:cs="Arial" w:eastAsia="Arial" w:hAnsi="Arial"/>
          <w:sz w:val="21"/>
          <w:szCs w:val="21"/>
          <w:color w:val="231F20"/>
        </w:rPr>
      </w:pPr>
      <w:r>
        <w:rPr>
          <w:rFonts w:ascii="Times New Roman" w:cs="Times New Roman" w:eastAsia="Times New Roman" w:hAnsi="Times New Roman"/>
          <w:sz w:val="21"/>
          <w:szCs w:val="21"/>
          <w:color w:val="231F20"/>
        </w:rPr>
        <w:t>Consolidated Statements of Cash Flows for the years ended December 31, 2025, 2024 and 2023</w:t>
      </w:r>
    </w:p>
    <w:p>
      <w:pPr>
        <w:spacing w:after="0" w:line="134" w:lineRule="exact"/>
        <w:rPr>
          <w:rFonts w:ascii="Arial" w:cs="Arial" w:eastAsia="Arial" w:hAnsi="Arial"/>
          <w:sz w:val="21"/>
          <w:szCs w:val="21"/>
          <w:color w:val="231F20"/>
        </w:rPr>
      </w:pPr>
    </w:p>
    <w:p>
      <w:pPr>
        <w:ind w:left="980" w:right="280" w:hanging="361"/>
        <w:spacing w:after="0" w:line="278" w:lineRule="auto"/>
        <w:tabs>
          <w:tab w:leader="none" w:pos="980" w:val="left"/>
        </w:tabs>
        <w:numPr>
          <w:ilvl w:val="0"/>
          <w:numId w:val="30"/>
        </w:numPr>
        <w:rPr>
          <w:rFonts w:ascii="Arial" w:cs="Arial" w:eastAsia="Arial" w:hAnsi="Arial"/>
          <w:sz w:val="21"/>
          <w:szCs w:val="21"/>
          <w:color w:val="231F20"/>
        </w:rPr>
      </w:pPr>
      <w:r>
        <w:rPr>
          <w:rFonts w:ascii="Times New Roman" w:cs="Times New Roman" w:eastAsia="Times New Roman" w:hAnsi="Times New Roman"/>
          <w:sz w:val="21"/>
          <w:szCs w:val="21"/>
          <w:color w:val="231F20"/>
        </w:rPr>
        <w:t>Consolidated Statements of Changes in Common Stock Equity for the years ended December 31, 2025, 2024 and 2023</w:t>
      </w:r>
    </w:p>
    <w:p>
      <w:pPr>
        <w:spacing w:after="0" w:line="57" w:lineRule="exact"/>
        <w:rPr>
          <w:rFonts w:ascii="Arial" w:cs="Arial" w:eastAsia="Arial" w:hAnsi="Arial"/>
          <w:sz w:val="21"/>
          <w:szCs w:val="21"/>
          <w:color w:val="231F20"/>
        </w:rPr>
      </w:pPr>
    </w:p>
    <w:p>
      <w:pPr>
        <w:ind w:left="980" w:hanging="361"/>
        <w:spacing w:after="0"/>
        <w:tabs>
          <w:tab w:leader="none" w:pos="980" w:val="left"/>
        </w:tabs>
        <w:numPr>
          <w:ilvl w:val="0"/>
          <w:numId w:val="30"/>
        </w:numPr>
        <w:rPr>
          <w:rFonts w:ascii="Arial" w:cs="Arial" w:eastAsia="Arial" w:hAnsi="Arial"/>
          <w:sz w:val="21"/>
          <w:szCs w:val="21"/>
          <w:color w:val="231F20"/>
        </w:rPr>
      </w:pPr>
      <w:r>
        <w:rPr>
          <w:rFonts w:ascii="Times New Roman" w:cs="Times New Roman" w:eastAsia="Times New Roman" w:hAnsi="Times New Roman"/>
          <w:sz w:val="21"/>
          <w:szCs w:val="21"/>
          <w:color w:val="231F20"/>
        </w:rPr>
        <w:t>Notes to Consolidated Financial Statements</w:t>
      </w:r>
    </w:p>
    <w:p>
      <w:pPr>
        <w:spacing w:after="0" w:line="239" w:lineRule="exact"/>
        <w:rPr>
          <w:sz w:val="20"/>
          <w:szCs w:val="20"/>
          <w:color w:val="auto"/>
        </w:rPr>
      </w:pPr>
    </w:p>
    <w:p>
      <w:pPr>
        <w:ind w:right="160" w:firstLine="612"/>
        <w:spacing w:after="0" w:line="259" w:lineRule="auto"/>
        <w:rPr>
          <w:sz w:val="20"/>
          <w:szCs w:val="20"/>
          <w:color w:val="auto"/>
        </w:rPr>
      </w:pPr>
      <w:r>
        <w:rPr>
          <w:rFonts w:ascii="Times New Roman" w:cs="Times New Roman" w:eastAsia="Times New Roman" w:hAnsi="Times New Roman"/>
          <w:sz w:val="21"/>
          <w:szCs w:val="21"/>
          <w:color w:val="231F20"/>
        </w:rPr>
        <w:t>All other schedules for which provision is made in the applicable accounting regulation of the Securities and Exchange Commission are not required under the related instructions, are not applicable, or information required is included in the financial statements or notes thereto and, therefore, have been omitted.</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231F20"/>
        </w:rPr>
        <w:t>(3)—</w:t>
      </w:r>
      <w:r>
        <w:rPr>
          <w:rFonts w:ascii="Times New Roman" w:cs="Times New Roman" w:eastAsia="Times New Roman" w:hAnsi="Times New Roman"/>
          <w:sz w:val="21"/>
          <w:szCs w:val="21"/>
          <w:b w:val="1"/>
          <w:bCs w:val="1"/>
          <w:color w:val="231F20"/>
        </w:rPr>
        <w:t>LIST OF EXHIBITS</w:t>
      </w:r>
    </w:p>
    <w:p>
      <w:pPr>
        <w:spacing w:after="0" w:line="28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u w:val="single" w:color="auto"/>
          <w:color w:val="231F20"/>
        </w:rPr>
        <w:t>Exhibit</w:t>
      </w:r>
    </w:p>
    <w:p>
      <w:pPr>
        <w:spacing w:after="0" w:line="26" w:lineRule="exact"/>
        <w:rPr>
          <w:sz w:val="20"/>
          <w:szCs w:val="20"/>
          <w:color w:val="auto"/>
        </w:rPr>
      </w:pPr>
    </w:p>
    <w:p>
      <w:pPr>
        <w:ind w:left="240"/>
        <w:spacing w:after="0"/>
        <w:tabs>
          <w:tab w:leader="none" w:pos="3620" w:val="left"/>
          <w:tab w:leader="none" w:pos="8840" w:val="left"/>
        </w:tabs>
        <w:rPr>
          <w:sz w:val="20"/>
          <w:szCs w:val="20"/>
          <w:color w:val="auto"/>
        </w:rPr>
      </w:pPr>
      <w:r>
        <w:rPr>
          <w:rFonts w:ascii="Times New Roman" w:cs="Times New Roman" w:eastAsia="Times New Roman" w:hAnsi="Times New Roman"/>
          <w:sz w:val="16"/>
          <w:szCs w:val="16"/>
          <w:b w:val="1"/>
          <w:bCs w:val="1"/>
          <w:u w:val="single" w:color="auto"/>
          <w:color w:val="231F20"/>
        </w:rPr>
        <w:t>Number</w:t>
      </w:r>
      <w:r>
        <w:rPr>
          <w:sz w:val="20"/>
          <w:szCs w:val="20"/>
          <w:color w:val="auto"/>
        </w:rPr>
        <w:tab/>
      </w:r>
      <w:r>
        <w:rPr>
          <w:rFonts w:ascii="Times New Roman" w:cs="Times New Roman" w:eastAsia="Times New Roman" w:hAnsi="Times New Roman"/>
          <w:sz w:val="16"/>
          <w:szCs w:val="16"/>
          <w:b w:val="1"/>
          <w:bCs w:val="1"/>
          <w:u w:val="single" w:color="auto"/>
          <w:color w:val="231F20"/>
        </w:rPr>
        <w:t>Description of Exhibit</w:t>
      </w:r>
      <w:r>
        <w:rPr>
          <w:sz w:val="20"/>
          <w:szCs w:val="20"/>
          <w:color w:val="auto"/>
        </w:rPr>
        <w:tab/>
      </w:r>
      <w:r>
        <w:rPr>
          <w:rFonts w:ascii="Times New Roman" w:cs="Times New Roman" w:eastAsia="Times New Roman" w:hAnsi="Times New Roman"/>
          <w:sz w:val="16"/>
          <w:szCs w:val="16"/>
          <w:b w:val="1"/>
          <w:bCs w:val="1"/>
          <w:u w:val="single" w:color="auto"/>
          <w:color w:val="231F20"/>
        </w:rPr>
        <w:t>Reference (1)</w:t>
      </w:r>
    </w:p>
    <w:p>
      <w:pPr>
        <w:sectPr>
          <w:pgSz w:w="12240" w:h="15840" w:orient="portrait"/>
          <w:cols w:equalWidth="0" w:num="1">
            <w:col w:w="10780"/>
          </w:cols>
          <w:pgMar w:left="720" w:top="925" w:right="740" w:bottom="188" w:gutter="0" w:footer="0" w:header="0"/>
        </w:sectPr>
      </w:pPr>
    </w:p>
    <w:p>
      <w:pPr>
        <w:spacing w:after="0" w:line="202" w:lineRule="exact"/>
        <w:rPr>
          <w:sz w:val="20"/>
          <w:szCs w:val="20"/>
          <w:color w:val="auto"/>
        </w:rPr>
      </w:pPr>
    </w:p>
    <w:p>
      <w:pPr>
        <w:ind w:left="1060" w:right="60" w:hanging="1052"/>
        <w:spacing w:after="0" w:line="305" w:lineRule="auto"/>
        <w:tabs>
          <w:tab w:leader="none" w:pos="1040" w:val="left"/>
        </w:tabs>
        <w:rPr>
          <w:sz w:val="20"/>
          <w:szCs w:val="20"/>
          <w:color w:val="auto"/>
        </w:rPr>
      </w:pPr>
      <w:r>
        <w:rPr>
          <w:rFonts w:ascii="Times New Roman" w:cs="Times New Roman" w:eastAsia="Times New Roman" w:hAnsi="Times New Roman"/>
          <w:sz w:val="21"/>
          <w:szCs w:val="21"/>
          <w:color w:val="231F20"/>
        </w:rPr>
        <w:t>2.1 (9)</w:t>
      </w:r>
      <w:r>
        <w:rPr>
          <w:sz w:val="20"/>
          <w:szCs w:val="20"/>
          <w:color w:val="auto"/>
        </w:rPr>
        <w:tab/>
      </w:r>
      <w:r>
        <w:rPr>
          <w:rFonts w:ascii="Times New Roman" w:cs="Times New Roman" w:eastAsia="Times New Roman" w:hAnsi="Times New Roman"/>
          <w:sz w:val="20"/>
          <w:szCs w:val="20"/>
          <w:color w:val="231F20"/>
        </w:rPr>
        <w:t>Stock Purchase Agreement among Unitil Corporation, PHC Utilities, Inc., and Hearthstone Utilities, Inc. (d/b/a Hope Companies, Inc.) dated July 8, 2024</w:t>
      </w:r>
    </w:p>
    <w:p>
      <w:pPr>
        <w:spacing w:after="0" w:line="128" w:lineRule="exact"/>
        <w:rPr>
          <w:sz w:val="20"/>
          <w:szCs w:val="20"/>
          <w:color w:val="auto"/>
        </w:rPr>
      </w:pPr>
    </w:p>
    <w:p>
      <w:pPr>
        <w:ind w:left="1060" w:right="800" w:hanging="1052"/>
        <w:spacing w:after="0" w:line="279" w:lineRule="auto"/>
        <w:tabs>
          <w:tab w:leader="none" w:pos="1040" w:val="left"/>
        </w:tabs>
        <w:rPr>
          <w:sz w:val="20"/>
          <w:szCs w:val="20"/>
          <w:color w:val="auto"/>
        </w:rPr>
      </w:pPr>
      <w:r>
        <w:rPr>
          <w:rFonts w:ascii="Times New Roman" w:cs="Times New Roman" w:eastAsia="Times New Roman" w:hAnsi="Times New Roman"/>
          <w:sz w:val="21"/>
          <w:szCs w:val="21"/>
          <w:color w:val="231F20"/>
        </w:rPr>
        <w:t>2.2 (9)</w:t>
      </w:r>
      <w:r>
        <w:rPr>
          <w:sz w:val="20"/>
          <w:szCs w:val="20"/>
          <w:color w:val="auto"/>
        </w:rPr>
        <w:tab/>
      </w:r>
      <w:r>
        <w:rPr>
          <w:rFonts w:ascii="Times New Roman" w:cs="Times New Roman" w:eastAsia="Times New Roman" w:hAnsi="Times New Roman"/>
          <w:sz w:val="21"/>
          <w:szCs w:val="21"/>
          <w:color w:val="231F20"/>
        </w:rPr>
        <w:t>Stock Purchase Agreement between Unitil Corporation and Avangrid Enterprises, Inc. dated March 31, 2025</w:t>
      </w:r>
    </w:p>
    <w:p>
      <w:pPr>
        <w:spacing w:after="0" w:line="152" w:lineRule="exact"/>
        <w:rPr>
          <w:sz w:val="20"/>
          <w:szCs w:val="20"/>
          <w:color w:val="auto"/>
        </w:rPr>
      </w:pPr>
    </w:p>
    <w:p>
      <w:pPr>
        <w:ind w:left="1060" w:hanging="1052"/>
        <w:spacing w:after="0" w:line="259" w:lineRule="auto"/>
        <w:tabs>
          <w:tab w:leader="none" w:pos="1040" w:val="left"/>
        </w:tabs>
        <w:rPr>
          <w:sz w:val="20"/>
          <w:szCs w:val="20"/>
          <w:color w:val="auto"/>
        </w:rPr>
      </w:pPr>
      <w:r>
        <w:rPr>
          <w:rFonts w:ascii="Times New Roman" w:cs="Times New Roman" w:eastAsia="Times New Roman" w:hAnsi="Times New Roman"/>
          <w:sz w:val="21"/>
          <w:szCs w:val="21"/>
          <w:color w:val="231F20"/>
        </w:rPr>
        <w:t>2.3 (7)(8)</w:t>
        <w:tab/>
        <w:t>Purchase and Sale Agreement between Unitil Corporation and Aquarion Water Authority, and, solely with respect to Section 9.25 and Section 9.26 thereof, South Central Connecticut Regional Water Authority.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1"/>
          <w:szCs w:val="21"/>
          <w:color w:val="231F20"/>
        </w:rPr>
        <w:t>Exhibit 2.1 to Form 8-K for July 8, 2024 (SEC File No. 1-8858)</w:t>
      </w:r>
    </w:p>
    <w:p>
      <w:pPr>
        <w:spacing w:after="0" w:line="152" w:lineRule="exact"/>
        <w:rPr>
          <w:sz w:val="20"/>
          <w:szCs w:val="20"/>
          <w:color w:val="auto"/>
        </w:rPr>
      </w:pPr>
    </w:p>
    <w:p>
      <w:pPr>
        <w:ind w:right="20"/>
        <w:spacing w:after="0" w:line="305" w:lineRule="auto"/>
        <w:rPr>
          <w:sz w:val="20"/>
          <w:szCs w:val="20"/>
          <w:color w:val="auto"/>
        </w:rPr>
      </w:pPr>
      <w:r>
        <w:rPr>
          <w:rFonts w:ascii="Times New Roman" w:cs="Times New Roman" w:eastAsia="Times New Roman" w:hAnsi="Times New Roman"/>
          <w:sz w:val="20"/>
          <w:szCs w:val="20"/>
          <w:color w:val="231F20"/>
        </w:rPr>
        <w:t>Exhibit 2.1 to Form 8-K for March 31, 2025 (SEC File No. 1-8858)</w:t>
      </w:r>
    </w:p>
    <w:p>
      <w:pPr>
        <w:spacing w:after="0" w:line="128" w:lineRule="exact"/>
        <w:rPr>
          <w:sz w:val="20"/>
          <w:szCs w:val="20"/>
          <w:color w:val="auto"/>
        </w:rPr>
      </w:pPr>
    </w:p>
    <w:p>
      <w:pPr>
        <w:ind w:right="180"/>
        <w:spacing w:after="0" w:line="305" w:lineRule="auto"/>
        <w:rPr>
          <w:sz w:val="20"/>
          <w:szCs w:val="20"/>
          <w:color w:val="auto"/>
        </w:rPr>
      </w:pPr>
      <w:r>
        <w:rPr>
          <w:rFonts w:ascii="Times New Roman" w:cs="Times New Roman" w:eastAsia="Times New Roman" w:hAnsi="Times New Roman"/>
          <w:sz w:val="20"/>
          <w:szCs w:val="20"/>
          <w:color w:val="231F20"/>
        </w:rPr>
        <w:t>Exhibit 2.1 to Form 8-K for May 6, 2025 (SEC File No. 1-8858)</w:t>
      </w:r>
    </w:p>
    <w:p>
      <w:pPr>
        <w:spacing w:after="0" w:line="370" w:lineRule="exact"/>
        <w:rPr>
          <w:sz w:val="20"/>
          <w:szCs w:val="20"/>
          <w:color w:val="auto"/>
        </w:rPr>
      </w:pPr>
    </w:p>
    <w:p>
      <w:pPr>
        <w:sectPr>
          <w:pgSz w:w="12240" w:h="15840" w:orient="portrait"/>
          <w:cols w:equalWidth="0" w:num="2">
            <w:col w:w="7700" w:space="140"/>
            <w:col w:w="2940"/>
          </w:cols>
          <w:pgMar w:left="720" w:top="925" w:right="740" w:bottom="188" w:gutter="0" w:footer="0" w:header="0"/>
          <w:type w:val="continuous"/>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231F20"/>
                <w:w w:val="95"/>
              </w:rPr>
              <w:t>2.4</w:t>
            </w:r>
          </w:p>
        </w:tc>
        <w:tc>
          <w:tcPr>
            <w:tcW w:w="6960" w:type="dxa"/>
            <w:vAlign w:val="bottom"/>
          </w:tcPr>
          <w:p>
            <w:pPr>
              <w:ind w:left="400"/>
              <w:spacing w:after="0"/>
              <w:rPr>
                <w:sz w:val="20"/>
                <w:szCs w:val="20"/>
                <w:color w:val="auto"/>
              </w:rPr>
            </w:pPr>
            <w:r>
              <w:rPr>
                <w:rFonts w:ascii="Times New Roman" w:cs="Times New Roman" w:eastAsia="Times New Roman" w:hAnsi="Times New Roman"/>
                <w:sz w:val="20"/>
                <w:szCs w:val="20"/>
                <w:color w:val="231F20"/>
                <w:w w:val="99"/>
              </w:rPr>
              <w:t>Amendment No. 1 to Purchase and Sale Agreement, dated as of January 23, 2026,</w:t>
            </w:r>
          </w:p>
        </w:tc>
      </w:tr>
      <w:tr>
        <w:trPr>
          <w:trHeight w:val="230"/>
        </w:trPr>
        <w:tc>
          <w:tcPr>
            <w:tcW w:w="660" w:type="dxa"/>
            <w:vAlign w:val="bottom"/>
          </w:tcPr>
          <w:p>
            <w:pPr>
              <w:spacing w:after="0"/>
              <w:rPr>
                <w:sz w:val="20"/>
                <w:szCs w:val="20"/>
                <w:color w:val="auto"/>
              </w:rPr>
            </w:pPr>
          </w:p>
        </w:tc>
        <w:tc>
          <w:tcPr>
            <w:tcW w:w="696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by and among Unitil Corporation, Aquarion Water Authority and South Central</w:t>
            </w:r>
          </w:p>
        </w:tc>
      </w:tr>
      <w:tr>
        <w:trPr>
          <w:trHeight w:val="266"/>
        </w:trPr>
        <w:tc>
          <w:tcPr>
            <w:tcW w:w="660" w:type="dxa"/>
            <w:vAlign w:val="bottom"/>
          </w:tcPr>
          <w:p>
            <w:pPr>
              <w:spacing w:after="0"/>
              <w:rPr>
                <w:sz w:val="23"/>
                <w:szCs w:val="23"/>
                <w:color w:val="auto"/>
              </w:rPr>
            </w:pPr>
          </w:p>
        </w:tc>
        <w:tc>
          <w:tcPr>
            <w:tcW w:w="696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Connecticut Regional Water Authority.</w:t>
            </w:r>
          </w:p>
        </w:tc>
      </w:tr>
    </w:tbl>
    <w:p>
      <w:pPr>
        <w:spacing w:after="0" w:line="20" w:lineRule="exact"/>
        <w:rPr>
          <w:sz w:val="20"/>
          <w:szCs w:val="20"/>
          <w:color w:val="auto"/>
        </w:rPr>
      </w:pPr>
      <w:r>
        <w:rPr>
          <w:sz w:val="20"/>
          <w:szCs w:val="20"/>
          <w:color w:val="auto"/>
        </w:rPr>
        <w:br w:type="column"/>
      </w:r>
    </w:p>
    <w:p>
      <w:pPr>
        <w:ind w:right="40"/>
        <w:spacing w:after="0" w:line="259" w:lineRule="auto"/>
        <w:rPr>
          <w:sz w:val="20"/>
          <w:szCs w:val="20"/>
          <w:color w:val="auto"/>
        </w:rPr>
      </w:pPr>
      <w:r>
        <w:rPr>
          <w:rFonts w:ascii="Times New Roman" w:cs="Times New Roman" w:eastAsia="Times New Roman" w:hAnsi="Times New Roman"/>
          <w:sz w:val="21"/>
          <w:szCs w:val="21"/>
          <w:color w:val="231F20"/>
        </w:rPr>
        <w:t>Exhibit 2.1 to Form 8-K for January 23, 2026 (SEC File No. 1-8858)</w:t>
      </w:r>
    </w:p>
    <w:p>
      <w:pPr>
        <w:spacing w:after="0" w:line="173" w:lineRule="exact"/>
        <w:rPr>
          <w:sz w:val="20"/>
          <w:szCs w:val="20"/>
          <w:color w:val="auto"/>
        </w:rPr>
      </w:pPr>
    </w:p>
    <w:p>
      <w:pPr>
        <w:sectPr>
          <w:pgSz w:w="12240" w:h="15840" w:orient="portrait"/>
          <w:cols w:equalWidth="0" w:num="2">
            <w:col w:w="7620" w:space="220"/>
            <w:col w:w="2940"/>
          </w:cols>
          <w:pgMar w:left="720" w:top="925" w:right="740" w:bottom="188"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820" w:type="dxa"/>
            <w:vAlign w:val="bottom"/>
          </w:tcPr>
          <w:p>
            <w:pPr>
              <w:spacing w:after="0"/>
              <w:rPr>
                <w:sz w:val="20"/>
                <w:szCs w:val="20"/>
                <w:color w:val="auto"/>
              </w:rPr>
            </w:pPr>
            <w:r>
              <w:rPr>
                <w:rFonts w:ascii="Times New Roman" w:cs="Times New Roman" w:eastAsia="Times New Roman" w:hAnsi="Times New Roman"/>
                <w:sz w:val="21"/>
                <w:szCs w:val="21"/>
                <w:color w:val="231F20"/>
              </w:rPr>
              <w:t>3.1 (P)</w:t>
            </w:r>
          </w:p>
        </w:tc>
        <w:tc>
          <w:tcPr>
            <w:tcW w:w="5620" w:type="dxa"/>
            <w:vAlign w:val="bottom"/>
          </w:tcPr>
          <w:p>
            <w:pPr>
              <w:ind w:left="240"/>
              <w:spacing w:after="0"/>
              <w:rPr>
                <w:sz w:val="20"/>
                <w:szCs w:val="20"/>
                <w:color w:val="auto"/>
              </w:rPr>
            </w:pPr>
            <w:r>
              <w:rPr>
                <w:rFonts w:ascii="Times New Roman" w:cs="Times New Roman" w:eastAsia="Times New Roman" w:hAnsi="Times New Roman"/>
                <w:sz w:val="21"/>
                <w:szCs w:val="21"/>
                <w:color w:val="231F20"/>
              </w:rPr>
              <w:t>Articles of Incorporation of Unitil Corporation.</w:t>
            </w:r>
          </w:p>
        </w:tc>
        <w:tc>
          <w:tcPr>
            <w:tcW w:w="3940" w:type="dxa"/>
            <w:vAlign w:val="bottom"/>
          </w:tcPr>
          <w:p>
            <w:pPr>
              <w:ind w:left="1400"/>
              <w:spacing w:after="0"/>
              <w:rPr>
                <w:sz w:val="20"/>
                <w:szCs w:val="20"/>
                <w:color w:val="auto"/>
              </w:rPr>
            </w:pPr>
            <w:r>
              <w:rPr>
                <w:rFonts w:ascii="Times New Roman" w:cs="Times New Roman" w:eastAsia="Times New Roman" w:hAnsi="Times New Roman"/>
                <w:sz w:val="21"/>
                <w:szCs w:val="21"/>
                <w:color w:val="231F20"/>
              </w:rPr>
              <w:t>Exhibit 3.1 to Form S-14</w:t>
            </w:r>
          </w:p>
        </w:tc>
      </w:tr>
      <w:tr>
        <w:trPr>
          <w:trHeight w:val="242"/>
        </w:trPr>
        <w:tc>
          <w:tcPr>
            <w:tcW w:w="82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3940" w:type="dxa"/>
            <w:vAlign w:val="bottom"/>
          </w:tcPr>
          <w:p>
            <w:pPr>
              <w:ind w:left="1400"/>
              <w:spacing w:after="0"/>
              <w:rPr>
                <w:sz w:val="20"/>
                <w:szCs w:val="20"/>
                <w:color w:val="auto"/>
              </w:rPr>
            </w:pPr>
            <w:r>
              <w:rPr>
                <w:rFonts w:ascii="Times New Roman" w:cs="Times New Roman" w:eastAsia="Times New Roman" w:hAnsi="Times New Roman"/>
                <w:sz w:val="21"/>
                <w:szCs w:val="21"/>
                <w:color w:val="231F20"/>
              </w:rPr>
              <w:t>Registration Statement No. 2-</w:t>
            </w:r>
          </w:p>
        </w:tc>
      </w:tr>
      <w:tr>
        <w:trPr>
          <w:trHeight w:val="281"/>
        </w:trPr>
        <w:tc>
          <w:tcPr>
            <w:tcW w:w="8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940" w:type="dxa"/>
            <w:vAlign w:val="bottom"/>
          </w:tcPr>
          <w:p>
            <w:pPr>
              <w:ind w:left="1400"/>
              <w:spacing w:after="0"/>
              <w:rPr>
                <w:sz w:val="20"/>
                <w:szCs w:val="20"/>
                <w:color w:val="auto"/>
              </w:rPr>
            </w:pPr>
            <w:r>
              <w:rPr>
                <w:rFonts w:ascii="Times New Roman" w:cs="Times New Roman" w:eastAsia="Times New Roman" w:hAnsi="Times New Roman"/>
                <w:sz w:val="21"/>
                <w:szCs w:val="21"/>
                <w:color w:val="231F20"/>
                <w:w w:val="98"/>
              </w:rPr>
              <w:t>93769 dated October 12, 1984</w:t>
            </w:r>
          </w:p>
        </w:tc>
      </w:tr>
    </w:tbl>
    <w:p>
      <w:pPr>
        <w:spacing w:after="0" w:line="190" w:lineRule="exact"/>
        <w:rPr>
          <w:sz w:val="20"/>
          <w:szCs w:val="20"/>
          <w:color w:val="auto"/>
        </w:rPr>
      </w:pPr>
    </w:p>
    <w:p>
      <w:pPr>
        <w:sectPr>
          <w:pgSz w:w="12240" w:h="15840" w:orient="portrait"/>
          <w:cols w:equalWidth="0" w:num="1">
            <w:col w:w="10780"/>
          </w:cols>
          <w:pgMar w:left="720" w:top="925" w:right="740" w:bottom="188"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820" w:type="dxa"/>
            <w:vAlign w:val="bottom"/>
          </w:tcPr>
          <w:p>
            <w:pPr>
              <w:spacing w:after="0"/>
              <w:rPr>
                <w:sz w:val="20"/>
                <w:szCs w:val="20"/>
                <w:color w:val="auto"/>
              </w:rPr>
            </w:pPr>
            <w:r>
              <w:rPr>
                <w:rFonts w:ascii="Times New Roman" w:cs="Times New Roman" w:eastAsia="Times New Roman" w:hAnsi="Times New Roman"/>
                <w:sz w:val="21"/>
                <w:szCs w:val="21"/>
                <w:color w:val="231F20"/>
              </w:rPr>
              <w:t>3.2 (P)</w:t>
            </w:r>
          </w:p>
        </w:tc>
        <w:tc>
          <w:tcPr>
            <w:tcW w:w="6720" w:type="dxa"/>
            <w:vAlign w:val="bottom"/>
          </w:tcPr>
          <w:p>
            <w:pPr>
              <w:ind w:left="240"/>
              <w:spacing w:after="0"/>
              <w:rPr>
                <w:sz w:val="20"/>
                <w:szCs w:val="20"/>
                <w:color w:val="auto"/>
              </w:rPr>
            </w:pPr>
            <w:r>
              <w:rPr>
                <w:rFonts w:ascii="Times New Roman" w:cs="Times New Roman" w:eastAsia="Times New Roman" w:hAnsi="Times New Roman"/>
                <w:sz w:val="21"/>
                <w:szCs w:val="21"/>
                <w:color w:val="231F20"/>
                <w:w w:val="99"/>
              </w:rPr>
              <w:t>Articles of Amendment to the Articles of Incorporation of Unitil Corporation</w:t>
            </w:r>
          </w:p>
        </w:tc>
      </w:tr>
      <w:tr>
        <w:trPr>
          <w:trHeight w:val="281"/>
        </w:trPr>
        <w:tc>
          <w:tcPr>
            <w:tcW w:w="820" w:type="dxa"/>
            <w:vAlign w:val="bottom"/>
          </w:tcPr>
          <w:p>
            <w:pPr>
              <w:spacing w:after="0"/>
              <w:rPr>
                <w:sz w:val="24"/>
                <w:szCs w:val="24"/>
                <w:color w:val="auto"/>
              </w:rPr>
            </w:pPr>
          </w:p>
        </w:tc>
        <w:tc>
          <w:tcPr>
            <w:tcW w:w="6720" w:type="dxa"/>
            <w:vAlign w:val="bottom"/>
          </w:tcPr>
          <w:p>
            <w:pPr>
              <w:ind w:left="240"/>
              <w:spacing w:after="0"/>
              <w:rPr>
                <w:sz w:val="20"/>
                <w:szCs w:val="20"/>
                <w:color w:val="auto"/>
              </w:rPr>
            </w:pPr>
            <w:r>
              <w:rPr>
                <w:rFonts w:ascii="Times New Roman" w:cs="Times New Roman" w:eastAsia="Times New Roman" w:hAnsi="Times New Roman"/>
                <w:sz w:val="21"/>
                <w:szCs w:val="21"/>
                <w:color w:val="231F20"/>
              </w:rPr>
              <w:t>filed on March 4, 1992.</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21"/>
                <w:szCs w:val="21"/>
                <w:color w:val="231F20"/>
              </w:rPr>
              <w:t>3.3</w:t>
            </w:r>
          </w:p>
        </w:tc>
        <w:tc>
          <w:tcPr>
            <w:tcW w:w="6720" w:type="dxa"/>
            <w:vAlign w:val="bottom"/>
          </w:tcPr>
          <w:p>
            <w:pPr>
              <w:ind w:left="240"/>
              <w:spacing w:after="0"/>
              <w:rPr>
                <w:sz w:val="20"/>
                <w:szCs w:val="20"/>
                <w:color w:val="auto"/>
              </w:rPr>
            </w:pPr>
            <w:r>
              <w:rPr>
                <w:rFonts w:ascii="Times New Roman" w:cs="Times New Roman" w:eastAsia="Times New Roman" w:hAnsi="Times New Roman"/>
                <w:sz w:val="21"/>
                <w:szCs w:val="21"/>
                <w:color w:val="231F20"/>
                <w:w w:val="99"/>
              </w:rPr>
              <w:t>Articles of Amendment to the Articles of Incorporation of Unitil Corporation</w:t>
            </w:r>
          </w:p>
        </w:tc>
      </w:tr>
      <w:tr>
        <w:trPr>
          <w:trHeight w:val="281"/>
        </w:trPr>
        <w:tc>
          <w:tcPr>
            <w:tcW w:w="820" w:type="dxa"/>
            <w:vAlign w:val="bottom"/>
          </w:tcPr>
          <w:p>
            <w:pPr>
              <w:spacing w:after="0"/>
              <w:rPr>
                <w:sz w:val="24"/>
                <w:szCs w:val="24"/>
                <w:color w:val="auto"/>
              </w:rPr>
            </w:pPr>
          </w:p>
        </w:tc>
        <w:tc>
          <w:tcPr>
            <w:tcW w:w="6720" w:type="dxa"/>
            <w:vAlign w:val="bottom"/>
          </w:tcPr>
          <w:p>
            <w:pPr>
              <w:ind w:left="240"/>
              <w:spacing w:after="0"/>
              <w:rPr>
                <w:sz w:val="20"/>
                <w:szCs w:val="20"/>
                <w:color w:val="auto"/>
              </w:rPr>
            </w:pPr>
            <w:r>
              <w:rPr>
                <w:rFonts w:ascii="Times New Roman" w:cs="Times New Roman" w:eastAsia="Times New Roman" w:hAnsi="Times New Roman"/>
                <w:sz w:val="21"/>
                <w:szCs w:val="21"/>
                <w:color w:val="231F20"/>
              </w:rPr>
              <w:t>filed on September 23, 2008.</w:t>
            </w:r>
          </w:p>
        </w:tc>
      </w:tr>
      <w:tr>
        <w:trPr>
          <w:trHeight w:val="673"/>
        </w:trPr>
        <w:tc>
          <w:tcPr>
            <w:tcW w:w="820" w:type="dxa"/>
            <w:vAlign w:val="bottom"/>
          </w:tcPr>
          <w:p>
            <w:pPr>
              <w:spacing w:after="0"/>
              <w:rPr>
                <w:sz w:val="20"/>
                <w:szCs w:val="20"/>
                <w:color w:val="auto"/>
              </w:rPr>
            </w:pPr>
            <w:r>
              <w:rPr>
                <w:rFonts w:ascii="Times New Roman" w:cs="Times New Roman" w:eastAsia="Times New Roman" w:hAnsi="Times New Roman"/>
                <w:sz w:val="21"/>
                <w:szCs w:val="21"/>
                <w:color w:val="231F20"/>
              </w:rPr>
              <w:t>3.4</w:t>
            </w:r>
          </w:p>
        </w:tc>
        <w:tc>
          <w:tcPr>
            <w:tcW w:w="6720" w:type="dxa"/>
            <w:vAlign w:val="bottom"/>
          </w:tcPr>
          <w:p>
            <w:pPr>
              <w:ind w:left="240"/>
              <w:spacing w:after="0"/>
              <w:rPr>
                <w:sz w:val="20"/>
                <w:szCs w:val="20"/>
                <w:color w:val="auto"/>
              </w:rPr>
            </w:pPr>
            <w:r>
              <w:rPr>
                <w:rFonts w:ascii="Times New Roman" w:cs="Times New Roman" w:eastAsia="Times New Roman" w:hAnsi="Times New Roman"/>
                <w:sz w:val="21"/>
                <w:szCs w:val="21"/>
                <w:color w:val="231F20"/>
                <w:w w:val="99"/>
              </w:rPr>
              <w:t>Articles of Amendment to the Articles of Incorporation of Unitil Corporation</w:t>
            </w:r>
          </w:p>
        </w:tc>
      </w:tr>
      <w:tr>
        <w:trPr>
          <w:trHeight w:val="281"/>
        </w:trPr>
        <w:tc>
          <w:tcPr>
            <w:tcW w:w="820" w:type="dxa"/>
            <w:vAlign w:val="bottom"/>
          </w:tcPr>
          <w:p>
            <w:pPr>
              <w:spacing w:after="0"/>
              <w:rPr>
                <w:sz w:val="24"/>
                <w:szCs w:val="24"/>
                <w:color w:val="auto"/>
              </w:rPr>
            </w:pPr>
          </w:p>
        </w:tc>
        <w:tc>
          <w:tcPr>
            <w:tcW w:w="6720" w:type="dxa"/>
            <w:vAlign w:val="bottom"/>
          </w:tcPr>
          <w:p>
            <w:pPr>
              <w:ind w:left="240"/>
              <w:spacing w:after="0"/>
              <w:rPr>
                <w:sz w:val="20"/>
                <w:szCs w:val="20"/>
                <w:color w:val="auto"/>
              </w:rPr>
            </w:pPr>
            <w:r>
              <w:rPr>
                <w:rFonts w:ascii="Times New Roman" w:cs="Times New Roman" w:eastAsia="Times New Roman" w:hAnsi="Times New Roman"/>
                <w:sz w:val="21"/>
                <w:szCs w:val="21"/>
                <w:color w:val="231F20"/>
              </w:rPr>
              <w:t>filed on April 27, 2011.</w:t>
            </w:r>
          </w:p>
        </w:tc>
      </w:tr>
    </w:tbl>
    <w:p>
      <w:pPr>
        <w:spacing w:after="0" w:line="20" w:lineRule="exact"/>
        <w:rPr>
          <w:sz w:val="20"/>
          <w:szCs w:val="20"/>
          <w:color w:val="auto"/>
        </w:rPr>
      </w:pPr>
      <w:r>
        <w:rPr>
          <w:sz w:val="20"/>
          <w:szCs w:val="20"/>
          <w:color w:val="auto"/>
        </w:rPr>
        <w:br w:type="column"/>
      </w:r>
    </w:p>
    <w:p>
      <w:pPr>
        <w:ind w:right="40"/>
        <w:spacing w:after="0" w:line="279" w:lineRule="auto"/>
        <w:rPr>
          <w:sz w:val="20"/>
          <w:szCs w:val="20"/>
          <w:color w:val="auto"/>
        </w:rPr>
      </w:pPr>
      <w:r>
        <w:rPr>
          <w:rFonts w:ascii="Times New Roman" w:cs="Times New Roman" w:eastAsia="Times New Roman" w:hAnsi="Times New Roman"/>
          <w:sz w:val="21"/>
          <w:szCs w:val="21"/>
          <w:color w:val="231F20"/>
        </w:rPr>
        <w:t>Exhibit 3.2 to Form 10-K for 1991 (SEC File No. 1-8858)</w:t>
      </w:r>
    </w:p>
    <w:p>
      <w:pPr>
        <w:spacing w:after="0" w:line="152"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20"/>
          <w:szCs w:val="20"/>
          <w:color w:val="231F20"/>
        </w:rPr>
        <w:t>Exhibit 3.3 to Form S-3/A Registration Statement No. 333-152823 dated November 25, 2008</w:t>
      </w:r>
    </w:p>
    <w:p>
      <w:pPr>
        <w:spacing w:after="0" w:line="155"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231F20"/>
        </w:rPr>
        <w:t>Exhibit 4.4 to Post-Effective Amendment No. 1 to Form S-3 Registration Statement No. 333-168394, dated January 28, 2014</w:t>
      </w:r>
    </w:p>
    <w:p>
      <w:pPr>
        <w:spacing w:after="0" w:line="200" w:lineRule="exact"/>
        <w:rPr>
          <w:sz w:val="20"/>
          <w:szCs w:val="20"/>
          <w:color w:val="auto"/>
        </w:rPr>
      </w:pPr>
    </w:p>
    <w:p>
      <w:pPr>
        <w:sectPr>
          <w:pgSz w:w="12240" w:h="15840" w:orient="portrait"/>
          <w:cols w:equalWidth="0" w:num="2">
            <w:col w:w="7540" w:space="300"/>
            <w:col w:w="2940"/>
          </w:cols>
          <w:pgMar w:left="720" w:top="925" w:right="740" w:bottom="188" w:gutter="0" w:footer="0" w:header="0"/>
          <w:type w:val="continuous"/>
        </w:sectPr>
      </w:pP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94</w:t>
      </w:r>
    </w:p>
    <w:p>
      <w:pPr>
        <w:sectPr>
          <w:pgSz w:w="12240" w:h="15840" w:orient="portrait"/>
          <w:cols w:equalWidth="0" w:num="1">
            <w:col w:w="10780"/>
          </w:cols>
          <w:pgMar w:left="720" w:top="925" w:right="740" w:bottom="188" w:gutter="0" w:footer="0" w:header="0"/>
          <w:type w:val="continuous"/>
        </w:sectPr>
      </w:pPr>
    </w:p>
    <w:bookmarkStart w:id="114" w:name="page115"/>
    <w:bookmarkEnd w:id="114"/>
    <w:p>
      <w:pPr>
        <w:ind w:left="280"/>
        <w:spacing w:after="0"/>
        <w:rPr>
          <w:sz w:val="20"/>
          <w:szCs w:val="20"/>
          <w:color w:val="auto"/>
        </w:rPr>
      </w:pPr>
      <w:r>
        <w:rPr>
          <w:rFonts w:ascii="Times New Roman" w:cs="Times New Roman" w:eastAsia="Times New Roman" w:hAnsi="Times New Roman"/>
          <w:sz w:val="16"/>
          <w:szCs w:val="16"/>
          <w:b w:val="1"/>
          <w:bCs w:val="1"/>
          <w:u w:val="single" w:color="auto"/>
          <w:color w:val="231F20"/>
        </w:rPr>
        <w:t>Exhibit</w:t>
      </w:r>
    </w:p>
    <w:p>
      <w:pPr>
        <w:spacing w:after="0" w:line="26" w:lineRule="exact"/>
        <w:rPr>
          <w:sz w:val="20"/>
          <w:szCs w:val="20"/>
          <w:color w:val="auto"/>
        </w:rPr>
      </w:pPr>
    </w:p>
    <w:p>
      <w:pPr>
        <w:ind w:left="240"/>
        <w:spacing w:after="0"/>
        <w:tabs>
          <w:tab w:leader="none" w:pos="3620" w:val="left"/>
          <w:tab w:leader="none" w:pos="8840" w:val="left"/>
        </w:tabs>
        <w:rPr>
          <w:sz w:val="20"/>
          <w:szCs w:val="20"/>
          <w:color w:val="auto"/>
        </w:rPr>
      </w:pPr>
      <w:r>
        <w:rPr>
          <w:rFonts w:ascii="Times New Roman" w:cs="Times New Roman" w:eastAsia="Times New Roman" w:hAnsi="Times New Roman"/>
          <w:sz w:val="16"/>
          <w:szCs w:val="16"/>
          <w:b w:val="1"/>
          <w:bCs w:val="1"/>
          <w:u w:val="single" w:color="auto"/>
          <w:color w:val="231F20"/>
        </w:rPr>
        <w:t>Number</w:t>
      </w:r>
      <w:r>
        <w:rPr>
          <w:sz w:val="20"/>
          <w:szCs w:val="20"/>
          <w:color w:val="auto"/>
        </w:rPr>
        <w:tab/>
      </w:r>
      <w:r>
        <w:rPr>
          <w:rFonts w:ascii="Times New Roman" w:cs="Times New Roman" w:eastAsia="Times New Roman" w:hAnsi="Times New Roman"/>
          <w:sz w:val="16"/>
          <w:szCs w:val="16"/>
          <w:b w:val="1"/>
          <w:bCs w:val="1"/>
          <w:u w:val="single" w:color="auto"/>
          <w:color w:val="231F20"/>
        </w:rPr>
        <w:t>Description of Exhibit</w:t>
      </w:r>
      <w:r>
        <w:rPr>
          <w:sz w:val="20"/>
          <w:szCs w:val="20"/>
          <w:color w:val="auto"/>
        </w:rPr>
        <w:tab/>
      </w:r>
      <w:r>
        <w:rPr>
          <w:rFonts w:ascii="Times New Roman" w:cs="Times New Roman" w:eastAsia="Times New Roman" w:hAnsi="Times New Roman"/>
          <w:sz w:val="16"/>
          <w:szCs w:val="16"/>
          <w:b w:val="1"/>
          <w:bCs w:val="1"/>
          <w:u w:val="single" w:color="auto"/>
          <w:color w:val="231F20"/>
        </w:rPr>
        <w:t>Reference (1)</w:t>
      </w:r>
    </w:p>
    <w:p>
      <w:pPr>
        <w:sectPr>
          <w:pgSz w:w="12240" w:h="15840" w:orient="portrait"/>
          <w:cols w:equalWidth="0" w:num="1">
            <w:col w:w="10760"/>
          </w:cols>
          <w:pgMar w:left="720" w:top="930" w:right="760" w:bottom="188" w:gutter="0" w:footer="0" w:header="0"/>
        </w:sect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60" w:type="dxa"/>
            <w:vAlign w:val="bottom"/>
          </w:tcPr>
          <w:p>
            <w:pPr>
              <w:jc w:val="right"/>
              <w:ind w:right="295"/>
              <w:spacing w:after="0"/>
              <w:rPr>
                <w:sz w:val="20"/>
                <w:szCs w:val="20"/>
                <w:color w:val="auto"/>
              </w:rPr>
            </w:pPr>
            <w:r>
              <w:rPr>
                <w:rFonts w:ascii="Times New Roman" w:cs="Times New Roman" w:eastAsia="Times New Roman" w:hAnsi="Times New Roman"/>
                <w:sz w:val="21"/>
                <w:szCs w:val="21"/>
                <w:color w:val="231F20"/>
                <w:w w:val="91"/>
              </w:rPr>
              <w:t>3.5</w:t>
            </w:r>
          </w:p>
        </w:tc>
        <w:tc>
          <w:tcPr>
            <w:tcW w:w="6860" w:type="dxa"/>
            <w:vAlign w:val="bottom"/>
          </w:tcPr>
          <w:p>
            <w:pPr>
              <w:ind w:left="400"/>
              <w:spacing w:after="0"/>
              <w:rPr>
                <w:sz w:val="20"/>
                <w:szCs w:val="20"/>
                <w:color w:val="auto"/>
              </w:rPr>
            </w:pPr>
            <w:r>
              <w:rPr>
                <w:rFonts w:ascii="Times New Roman" w:cs="Times New Roman" w:eastAsia="Times New Roman" w:hAnsi="Times New Roman"/>
                <w:sz w:val="21"/>
                <w:szCs w:val="21"/>
                <w:color w:val="231F20"/>
              </w:rPr>
              <w:t>Fourth Amended and Restated By-Laws of Unitil Corporation.</w:t>
            </w:r>
          </w:p>
        </w:tc>
      </w:tr>
      <w:tr>
        <w:trPr>
          <w:trHeight w:val="915"/>
        </w:trPr>
        <w:tc>
          <w:tcPr>
            <w:tcW w:w="660" w:type="dxa"/>
            <w:vAlign w:val="bottom"/>
          </w:tcPr>
          <w:p>
            <w:pPr>
              <w:jc w:val="right"/>
              <w:ind w:right="295"/>
              <w:spacing w:after="0"/>
              <w:rPr>
                <w:sz w:val="20"/>
                <w:szCs w:val="20"/>
                <w:color w:val="auto"/>
              </w:rPr>
            </w:pPr>
            <w:r>
              <w:rPr>
                <w:rFonts w:ascii="Times New Roman" w:cs="Times New Roman" w:eastAsia="Times New Roman" w:hAnsi="Times New Roman"/>
                <w:sz w:val="21"/>
                <w:szCs w:val="21"/>
                <w:color w:val="231F20"/>
                <w:w w:val="91"/>
              </w:rPr>
              <w:t>4.1</w:t>
            </w:r>
          </w:p>
        </w:tc>
        <w:tc>
          <w:tcPr>
            <w:tcW w:w="6860" w:type="dxa"/>
            <w:vAlign w:val="bottom"/>
          </w:tcPr>
          <w:p>
            <w:pPr>
              <w:ind w:left="400"/>
              <w:spacing w:after="0"/>
              <w:rPr>
                <w:sz w:val="20"/>
                <w:szCs w:val="20"/>
                <w:color w:val="auto"/>
              </w:rPr>
            </w:pPr>
            <w:r>
              <w:rPr>
                <w:rFonts w:ascii="Times New Roman" w:cs="Times New Roman" w:eastAsia="Times New Roman" w:hAnsi="Times New Roman"/>
                <w:sz w:val="21"/>
                <w:szCs w:val="21"/>
                <w:color w:val="231F20"/>
                <w:w w:val="99"/>
              </w:rPr>
              <w:t>Twelfth Supplemental Indenture of Unitil Energy Systems, Inc., successor to</w:t>
            </w:r>
          </w:p>
        </w:tc>
      </w:tr>
      <w:tr>
        <w:trPr>
          <w:trHeight w:val="242"/>
        </w:trPr>
        <w:tc>
          <w:tcPr>
            <w:tcW w:w="660" w:type="dxa"/>
            <w:vAlign w:val="bottom"/>
          </w:tcPr>
          <w:p>
            <w:pPr>
              <w:spacing w:after="0"/>
              <w:rPr>
                <w:sz w:val="21"/>
                <w:szCs w:val="21"/>
                <w:color w:val="auto"/>
              </w:rPr>
            </w:pPr>
          </w:p>
        </w:tc>
        <w:tc>
          <w:tcPr>
            <w:tcW w:w="6860" w:type="dxa"/>
            <w:vAlign w:val="bottom"/>
          </w:tcPr>
          <w:p>
            <w:pPr>
              <w:ind w:left="400"/>
              <w:spacing w:after="0"/>
              <w:rPr>
                <w:sz w:val="20"/>
                <w:szCs w:val="20"/>
                <w:color w:val="auto"/>
              </w:rPr>
            </w:pPr>
            <w:r>
              <w:rPr>
                <w:rFonts w:ascii="Times New Roman" w:cs="Times New Roman" w:eastAsia="Times New Roman" w:hAnsi="Times New Roman"/>
                <w:sz w:val="21"/>
                <w:szCs w:val="21"/>
                <w:color w:val="231F20"/>
              </w:rPr>
              <w:t>Concord Electric Company, dated as of December 2, 2002, amending and</w:t>
            </w:r>
          </w:p>
        </w:tc>
      </w:tr>
      <w:tr>
        <w:trPr>
          <w:trHeight w:val="242"/>
        </w:trPr>
        <w:tc>
          <w:tcPr>
            <w:tcW w:w="660" w:type="dxa"/>
            <w:vAlign w:val="bottom"/>
          </w:tcPr>
          <w:p>
            <w:pPr>
              <w:spacing w:after="0"/>
              <w:rPr>
                <w:sz w:val="21"/>
                <w:szCs w:val="21"/>
                <w:color w:val="auto"/>
              </w:rPr>
            </w:pPr>
          </w:p>
        </w:tc>
        <w:tc>
          <w:tcPr>
            <w:tcW w:w="6860" w:type="dxa"/>
            <w:vAlign w:val="bottom"/>
          </w:tcPr>
          <w:p>
            <w:pPr>
              <w:ind w:left="400"/>
              <w:spacing w:after="0"/>
              <w:rPr>
                <w:sz w:val="20"/>
                <w:szCs w:val="20"/>
                <w:color w:val="auto"/>
              </w:rPr>
            </w:pPr>
            <w:r>
              <w:rPr>
                <w:rFonts w:ascii="Times New Roman" w:cs="Times New Roman" w:eastAsia="Times New Roman" w:hAnsi="Times New Roman"/>
                <w:sz w:val="21"/>
                <w:szCs w:val="21"/>
                <w:color w:val="231F20"/>
              </w:rPr>
              <w:t>restating the Concord Electric Company Indenture of Mortgage and Deed of</w:t>
            </w:r>
          </w:p>
        </w:tc>
      </w:tr>
      <w:tr>
        <w:trPr>
          <w:trHeight w:val="281"/>
        </w:trPr>
        <w:tc>
          <w:tcPr>
            <w:tcW w:w="660" w:type="dxa"/>
            <w:vAlign w:val="bottom"/>
          </w:tcPr>
          <w:p>
            <w:pPr>
              <w:spacing w:after="0"/>
              <w:rPr>
                <w:sz w:val="24"/>
                <w:szCs w:val="24"/>
                <w:color w:val="auto"/>
              </w:rPr>
            </w:pPr>
          </w:p>
        </w:tc>
        <w:tc>
          <w:tcPr>
            <w:tcW w:w="6860" w:type="dxa"/>
            <w:vAlign w:val="bottom"/>
          </w:tcPr>
          <w:p>
            <w:pPr>
              <w:ind w:left="400"/>
              <w:spacing w:after="0"/>
              <w:rPr>
                <w:sz w:val="20"/>
                <w:szCs w:val="20"/>
                <w:color w:val="auto"/>
              </w:rPr>
            </w:pPr>
            <w:r>
              <w:rPr>
                <w:rFonts w:ascii="Times New Roman" w:cs="Times New Roman" w:eastAsia="Times New Roman" w:hAnsi="Times New Roman"/>
                <w:sz w:val="21"/>
                <w:szCs w:val="21"/>
                <w:color w:val="231F20"/>
              </w:rPr>
              <w:t>Trust dated as of July 15, 1958.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right="220" w:firstLine="1"/>
        <w:spacing w:after="0" w:line="259" w:lineRule="auto"/>
        <w:rPr>
          <w:sz w:val="20"/>
          <w:szCs w:val="20"/>
          <w:color w:val="auto"/>
        </w:rPr>
      </w:pPr>
      <w:r>
        <w:rPr>
          <w:rFonts w:ascii="Times New Roman" w:cs="Times New Roman" w:eastAsia="Times New Roman" w:hAnsi="Times New Roman"/>
          <w:sz w:val="21"/>
          <w:szCs w:val="21"/>
          <w:color w:val="231F20"/>
        </w:rPr>
        <w:t>Exhibit 3.1 to Form 8-K dated April 29, 2020 (SEC File No. 1-8858)</w:t>
      </w:r>
    </w:p>
    <w:p>
      <w:pPr>
        <w:spacing w:after="0" w:line="173"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21"/>
          <w:szCs w:val="21"/>
          <w:color w:val="231F20"/>
        </w:rPr>
        <w:t>Exhibit 4.1 to Form 10-K for 2002 (SEC File No. 1-8858)</w:t>
      </w:r>
    </w:p>
    <w:p>
      <w:pPr>
        <w:spacing w:after="0" w:line="634" w:lineRule="exact"/>
        <w:rPr>
          <w:sz w:val="20"/>
          <w:szCs w:val="20"/>
          <w:color w:val="auto"/>
        </w:rPr>
      </w:pPr>
    </w:p>
    <w:p>
      <w:pPr>
        <w:sectPr>
          <w:pgSz w:w="12240" w:h="15840" w:orient="portrait"/>
          <w:cols w:equalWidth="0" w:num="2">
            <w:col w:w="7520" w:space="320"/>
            <w:col w:w="2920"/>
          </w:cols>
          <w:pgMar w:left="720" w:top="930" w:right="760" w:bottom="188"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660" w:type="dxa"/>
            <w:vAlign w:val="bottom"/>
          </w:tcPr>
          <w:p>
            <w:pPr>
              <w:jc w:val="right"/>
              <w:ind w:right="295"/>
              <w:spacing w:after="0"/>
              <w:rPr>
                <w:sz w:val="20"/>
                <w:szCs w:val="20"/>
                <w:color w:val="auto"/>
              </w:rPr>
            </w:pPr>
            <w:r>
              <w:rPr>
                <w:rFonts w:ascii="Times New Roman" w:cs="Times New Roman" w:eastAsia="Times New Roman" w:hAnsi="Times New Roman"/>
                <w:sz w:val="21"/>
                <w:szCs w:val="21"/>
                <w:color w:val="231F20"/>
                <w:w w:val="91"/>
              </w:rPr>
              <w:t>4.2</w:t>
            </w:r>
          </w:p>
        </w:tc>
        <w:tc>
          <w:tcPr>
            <w:tcW w:w="7040" w:type="dxa"/>
            <w:vAlign w:val="bottom"/>
          </w:tcPr>
          <w:p>
            <w:pPr>
              <w:ind w:left="400"/>
              <w:spacing w:after="0"/>
              <w:rPr>
                <w:sz w:val="20"/>
                <w:szCs w:val="20"/>
                <w:color w:val="auto"/>
              </w:rPr>
            </w:pPr>
            <w:r>
              <w:rPr>
                <w:rFonts w:ascii="Times New Roman" w:cs="Times New Roman" w:eastAsia="Times New Roman" w:hAnsi="Times New Roman"/>
                <w:sz w:val="21"/>
                <w:szCs w:val="21"/>
                <w:color w:val="231F20"/>
              </w:rPr>
              <w:t>Fitchburg Note Agreement dated January 15, 1999 for the 7.37% Notes due</w:t>
            </w:r>
          </w:p>
        </w:tc>
      </w:tr>
      <w:tr>
        <w:trPr>
          <w:trHeight w:val="281"/>
        </w:trPr>
        <w:tc>
          <w:tcPr>
            <w:tcW w:w="660" w:type="dxa"/>
            <w:vAlign w:val="bottom"/>
          </w:tcPr>
          <w:p>
            <w:pPr>
              <w:spacing w:after="0"/>
              <w:rPr>
                <w:sz w:val="24"/>
                <w:szCs w:val="24"/>
                <w:color w:val="auto"/>
              </w:rPr>
            </w:pPr>
          </w:p>
        </w:tc>
        <w:tc>
          <w:tcPr>
            <w:tcW w:w="7040" w:type="dxa"/>
            <w:vAlign w:val="bottom"/>
          </w:tcPr>
          <w:p>
            <w:pPr>
              <w:ind w:left="400"/>
              <w:spacing w:after="0"/>
              <w:rPr>
                <w:sz w:val="20"/>
                <w:szCs w:val="20"/>
                <w:color w:val="auto"/>
              </w:rPr>
            </w:pPr>
            <w:r>
              <w:rPr>
                <w:rFonts w:ascii="Times New Roman" w:cs="Times New Roman" w:eastAsia="Times New Roman" w:hAnsi="Times New Roman"/>
                <w:sz w:val="21"/>
                <w:szCs w:val="21"/>
                <w:color w:val="231F20"/>
              </w:rPr>
              <w:t>January 15, 2029.</w:t>
            </w:r>
          </w:p>
        </w:tc>
      </w:tr>
      <w:tr>
        <w:trPr>
          <w:trHeight w:val="432"/>
        </w:trPr>
        <w:tc>
          <w:tcPr>
            <w:tcW w:w="660" w:type="dxa"/>
            <w:vAlign w:val="bottom"/>
          </w:tcPr>
          <w:p>
            <w:pPr>
              <w:jc w:val="right"/>
              <w:ind w:right="295"/>
              <w:spacing w:after="0"/>
              <w:rPr>
                <w:sz w:val="20"/>
                <w:szCs w:val="20"/>
                <w:color w:val="auto"/>
              </w:rPr>
            </w:pPr>
            <w:r>
              <w:rPr>
                <w:rFonts w:ascii="Times New Roman" w:cs="Times New Roman" w:eastAsia="Times New Roman" w:hAnsi="Times New Roman"/>
                <w:sz w:val="21"/>
                <w:szCs w:val="21"/>
                <w:color w:val="231F20"/>
                <w:w w:val="91"/>
              </w:rPr>
              <w:t>4.3</w:t>
            </w:r>
          </w:p>
        </w:tc>
        <w:tc>
          <w:tcPr>
            <w:tcW w:w="7040" w:type="dxa"/>
            <w:vAlign w:val="bottom"/>
          </w:tcPr>
          <w:p>
            <w:pPr>
              <w:ind w:left="400"/>
              <w:spacing w:after="0"/>
              <w:rPr>
                <w:sz w:val="20"/>
                <w:szCs w:val="20"/>
                <w:color w:val="auto"/>
              </w:rPr>
            </w:pPr>
            <w:r>
              <w:rPr>
                <w:rFonts w:ascii="Times New Roman" w:cs="Times New Roman" w:eastAsia="Times New Roman" w:hAnsi="Times New Roman"/>
                <w:sz w:val="21"/>
                <w:szCs w:val="21"/>
                <w:color w:val="231F20"/>
                <w:w w:val="99"/>
              </w:rPr>
              <w:t>Fitchburg Note Agreement dated June 1, 2001 for the 7.98% Notes due June 1,</w:t>
            </w:r>
          </w:p>
        </w:tc>
      </w:tr>
      <w:tr>
        <w:trPr>
          <w:trHeight w:val="281"/>
        </w:trPr>
        <w:tc>
          <w:tcPr>
            <w:tcW w:w="660" w:type="dxa"/>
            <w:vAlign w:val="bottom"/>
          </w:tcPr>
          <w:p>
            <w:pPr>
              <w:spacing w:after="0"/>
              <w:rPr>
                <w:sz w:val="24"/>
                <w:szCs w:val="24"/>
                <w:color w:val="auto"/>
              </w:rPr>
            </w:pPr>
          </w:p>
        </w:tc>
        <w:tc>
          <w:tcPr>
            <w:tcW w:w="7040" w:type="dxa"/>
            <w:vAlign w:val="bottom"/>
          </w:tcPr>
          <w:p>
            <w:pPr>
              <w:ind w:left="400"/>
              <w:spacing w:after="0"/>
              <w:rPr>
                <w:sz w:val="20"/>
                <w:szCs w:val="20"/>
                <w:color w:val="auto"/>
              </w:rPr>
            </w:pPr>
            <w:r>
              <w:rPr>
                <w:rFonts w:ascii="Times New Roman" w:cs="Times New Roman" w:eastAsia="Times New Roman" w:hAnsi="Times New Roman"/>
                <w:sz w:val="21"/>
                <w:szCs w:val="21"/>
                <w:color w:val="231F20"/>
              </w:rPr>
              <w:t>2031.</w:t>
            </w:r>
          </w:p>
        </w:tc>
      </w:tr>
      <w:tr>
        <w:trPr>
          <w:trHeight w:val="432"/>
        </w:trPr>
        <w:tc>
          <w:tcPr>
            <w:tcW w:w="660" w:type="dxa"/>
            <w:vAlign w:val="bottom"/>
          </w:tcPr>
          <w:p>
            <w:pPr>
              <w:jc w:val="right"/>
              <w:ind w:right="295"/>
              <w:spacing w:after="0"/>
              <w:rPr>
                <w:sz w:val="20"/>
                <w:szCs w:val="20"/>
                <w:color w:val="auto"/>
              </w:rPr>
            </w:pPr>
            <w:r>
              <w:rPr>
                <w:rFonts w:ascii="Times New Roman" w:cs="Times New Roman" w:eastAsia="Times New Roman" w:hAnsi="Times New Roman"/>
                <w:sz w:val="21"/>
                <w:szCs w:val="21"/>
                <w:color w:val="231F20"/>
                <w:w w:val="91"/>
              </w:rPr>
              <w:t>4.4</w:t>
            </w:r>
          </w:p>
        </w:tc>
        <w:tc>
          <w:tcPr>
            <w:tcW w:w="7040" w:type="dxa"/>
            <w:vAlign w:val="bottom"/>
          </w:tcPr>
          <w:p>
            <w:pPr>
              <w:ind w:left="400"/>
              <w:spacing w:after="0"/>
              <w:rPr>
                <w:sz w:val="20"/>
                <w:szCs w:val="20"/>
                <w:color w:val="auto"/>
              </w:rPr>
            </w:pPr>
            <w:r>
              <w:rPr>
                <w:rFonts w:ascii="Times New Roman" w:cs="Times New Roman" w:eastAsia="Times New Roman" w:hAnsi="Times New Roman"/>
                <w:sz w:val="21"/>
                <w:szCs w:val="21"/>
                <w:color w:val="231F20"/>
              </w:rPr>
              <w:t>Fitchburg Note Agreement dated December 21, 2005 for the 5.90% Notes due</w:t>
            </w:r>
          </w:p>
        </w:tc>
      </w:tr>
      <w:tr>
        <w:trPr>
          <w:trHeight w:val="281"/>
        </w:trPr>
        <w:tc>
          <w:tcPr>
            <w:tcW w:w="660" w:type="dxa"/>
            <w:vAlign w:val="bottom"/>
          </w:tcPr>
          <w:p>
            <w:pPr>
              <w:spacing w:after="0"/>
              <w:rPr>
                <w:sz w:val="24"/>
                <w:szCs w:val="24"/>
                <w:color w:val="auto"/>
              </w:rPr>
            </w:pPr>
          </w:p>
        </w:tc>
        <w:tc>
          <w:tcPr>
            <w:tcW w:w="7040" w:type="dxa"/>
            <w:vAlign w:val="bottom"/>
          </w:tcPr>
          <w:p>
            <w:pPr>
              <w:ind w:left="400"/>
              <w:spacing w:after="0"/>
              <w:rPr>
                <w:sz w:val="20"/>
                <w:szCs w:val="20"/>
                <w:color w:val="auto"/>
              </w:rPr>
            </w:pPr>
            <w:r>
              <w:rPr>
                <w:rFonts w:ascii="Times New Roman" w:cs="Times New Roman" w:eastAsia="Times New Roman" w:hAnsi="Times New Roman"/>
                <w:sz w:val="21"/>
                <w:szCs w:val="21"/>
                <w:color w:val="231F20"/>
              </w:rPr>
              <w:t>December 15, 2030.</w:t>
            </w:r>
          </w:p>
        </w:tc>
      </w:tr>
      <w:tr>
        <w:trPr>
          <w:trHeight w:val="432"/>
        </w:trPr>
        <w:tc>
          <w:tcPr>
            <w:tcW w:w="660" w:type="dxa"/>
            <w:vAlign w:val="bottom"/>
          </w:tcPr>
          <w:p>
            <w:pPr>
              <w:jc w:val="right"/>
              <w:ind w:right="295"/>
              <w:spacing w:after="0"/>
              <w:rPr>
                <w:sz w:val="20"/>
                <w:szCs w:val="20"/>
                <w:color w:val="auto"/>
              </w:rPr>
            </w:pPr>
            <w:r>
              <w:rPr>
                <w:rFonts w:ascii="Times New Roman" w:cs="Times New Roman" w:eastAsia="Times New Roman" w:hAnsi="Times New Roman"/>
                <w:sz w:val="21"/>
                <w:szCs w:val="21"/>
                <w:color w:val="231F20"/>
                <w:w w:val="91"/>
              </w:rPr>
              <w:t>4.5</w:t>
            </w:r>
          </w:p>
        </w:tc>
        <w:tc>
          <w:tcPr>
            <w:tcW w:w="7040" w:type="dxa"/>
            <w:vAlign w:val="bottom"/>
          </w:tcPr>
          <w:p>
            <w:pPr>
              <w:ind w:left="400"/>
              <w:spacing w:after="0"/>
              <w:rPr>
                <w:sz w:val="20"/>
                <w:szCs w:val="20"/>
                <w:color w:val="auto"/>
              </w:rPr>
            </w:pPr>
            <w:r>
              <w:rPr>
                <w:rFonts w:ascii="Times New Roman" w:cs="Times New Roman" w:eastAsia="Times New Roman" w:hAnsi="Times New Roman"/>
                <w:sz w:val="21"/>
                <w:szCs w:val="21"/>
                <w:color w:val="231F20"/>
              </w:rPr>
              <w:t>Thirteenth Supplemental Indenture of Unitil Energy Systems, Inc., dated as of</w:t>
            </w:r>
          </w:p>
        </w:tc>
      </w:tr>
      <w:tr>
        <w:trPr>
          <w:trHeight w:val="281"/>
        </w:trPr>
        <w:tc>
          <w:tcPr>
            <w:tcW w:w="660" w:type="dxa"/>
            <w:vAlign w:val="bottom"/>
          </w:tcPr>
          <w:p>
            <w:pPr>
              <w:spacing w:after="0"/>
              <w:rPr>
                <w:sz w:val="24"/>
                <w:szCs w:val="24"/>
                <w:color w:val="auto"/>
              </w:rPr>
            </w:pPr>
          </w:p>
        </w:tc>
        <w:tc>
          <w:tcPr>
            <w:tcW w:w="7040" w:type="dxa"/>
            <w:vAlign w:val="bottom"/>
          </w:tcPr>
          <w:p>
            <w:pPr>
              <w:ind w:left="400"/>
              <w:spacing w:after="0"/>
              <w:rPr>
                <w:sz w:val="20"/>
                <w:szCs w:val="20"/>
                <w:color w:val="auto"/>
              </w:rPr>
            </w:pPr>
            <w:r>
              <w:rPr>
                <w:rFonts w:ascii="Times New Roman" w:cs="Times New Roman" w:eastAsia="Times New Roman" w:hAnsi="Times New Roman"/>
                <w:sz w:val="21"/>
                <w:szCs w:val="21"/>
                <w:color w:val="231F20"/>
              </w:rPr>
              <w:t>September 26, 2006.</w:t>
            </w:r>
          </w:p>
        </w:tc>
      </w:tr>
      <w:tr>
        <w:trPr>
          <w:trHeight w:val="432"/>
        </w:trPr>
        <w:tc>
          <w:tcPr>
            <w:tcW w:w="660" w:type="dxa"/>
            <w:vAlign w:val="bottom"/>
          </w:tcPr>
          <w:p>
            <w:pPr>
              <w:jc w:val="right"/>
              <w:ind w:right="295"/>
              <w:spacing w:after="0"/>
              <w:rPr>
                <w:sz w:val="20"/>
                <w:szCs w:val="20"/>
                <w:color w:val="auto"/>
              </w:rPr>
            </w:pPr>
            <w:r>
              <w:rPr>
                <w:rFonts w:ascii="Times New Roman" w:cs="Times New Roman" w:eastAsia="Times New Roman" w:hAnsi="Times New Roman"/>
                <w:sz w:val="21"/>
                <w:szCs w:val="21"/>
                <w:color w:val="231F20"/>
                <w:w w:val="91"/>
              </w:rPr>
              <w:t>4.6</w:t>
            </w:r>
          </w:p>
        </w:tc>
        <w:tc>
          <w:tcPr>
            <w:tcW w:w="7040" w:type="dxa"/>
            <w:vAlign w:val="bottom"/>
          </w:tcPr>
          <w:p>
            <w:pPr>
              <w:ind w:left="400"/>
              <w:spacing w:after="0"/>
              <w:rPr>
                <w:sz w:val="20"/>
                <w:szCs w:val="20"/>
                <w:color w:val="auto"/>
              </w:rPr>
            </w:pPr>
            <w:r>
              <w:rPr>
                <w:rFonts w:ascii="Times New Roman" w:cs="Times New Roman" w:eastAsia="Times New Roman" w:hAnsi="Times New Roman"/>
                <w:sz w:val="21"/>
                <w:szCs w:val="21"/>
                <w:color w:val="231F20"/>
              </w:rPr>
              <w:t>Northern Utilities Note Purchase Agreement, dated as of December 3, 2008,</w:t>
            </w:r>
          </w:p>
        </w:tc>
      </w:tr>
      <w:tr>
        <w:trPr>
          <w:trHeight w:val="242"/>
        </w:trPr>
        <w:tc>
          <w:tcPr>
            <w:tcW w:w="660" w:type="dxa"/>
            <w:vAlign w:val="bottom"/>
          </w:tcPr>
          <w:p>
            <w:pPr>
              <w:spacing w:after="0"/>
              <w:rPr>
                <w:sz w:val="21"/>
                <w:szCs w:val="21"/>
                <w:color w:val="auto"/>
              </w:rPr>
            </w:pPr>
          </w:p>
        </w:tc>
        <w:tc>
          <w:tcPr>
            <w:tcW w:w="7040" w:type="dxa"/>
            <w:vAlign w:val="bottom"/>
          </w:tcPr>
          <w:p>
            <w:pPr>
              <w:ind w:left="400"/>
              <w:spacing w:after="0"/>
              <w:rPr>
                <w:sz w:val="20"/>
                <w:szCs w:val="20"/>
                <w:color w:val="auto"/>
              </w:rPr>
            </w:pPr>
            <w:r>
              <w:rPr>
                <w:rFonts w:ascii="Times New Roman" w:cs="Times New Roman" w:eastAsia="Times New Roman" w:hAnsi="Times New Roman"/>
                <w:sz w:val="21"/>
                <w:szCs w:val="21"/>
                <w:color w:val="231F20"/>
              </w:rPr>
              <w:t>for the 6.95% Senior Notes, Series A due December 3, 2018 and the 7.72%</w:t>
            </w:r>
          </w:p>
        </w:tc>
      </w:tr>
      <w:tr>
        <w:trPr>
          <w:trHeight w:val="281"/>
        </w:trPr>
        <w:tc>
          <w:tcPr>
            <w:tcW w:w="660" w:type="dxa"/>
            <w:vAlign w:val="bottom"/>
          </w:tcPr>
          <w:p>
            <w:pPr>
              <w:spacing w:after="0"/>
              <w:rPr>
                <w:sz w:val="24"/>
                <w:szCs w:val="24"/>
                <w:color w:val="auto"/>
              </w:rPr>
            </w:pPr>
          </w:p>
        </w:tc>
        <w:tc>
          <w:tcPr>
            <w:tcW w:w="7040" w:type="dxa"/>
            <w:vAlign w:val="bottom"/>
          </w:tcPr>
          <w:p>
            <w:pPr>
              <w:ind w:left="400"/>
              <w:spacing w:after="0"/>
              <w:rPr>
                <w:sz w:val="20"/>
                <w:szCs w:val="20"/>
                <w:color w:val="auto"/>
              </w:rPr>
            </w:pPr>
            <w:r>
              <w:rPr>
                <w:rFonts w:ascii="Times New Roman" w:cs="Times New Roman" w:eastAsia="Times New Roman" w:hAnsi="Times New Roman"/>
                <w:sz w:val="21"/>
                <w:szCs w:val="21"/>
                <w:color w:val="231F20"/>
              </w:rPr>
              <w:t>Senior Notes, Series B due December 3, 2038.</w:t>
            </w:r>
          </w:p>
        </w:tc>
      </w:tr>
    </w:tbl>
    <w:p>
      <w:pPr>
        <w:spacing w:after="0" w:line="20" w:lineRule="exact"/>
        <w:rPr>
          <w:sz w:val="20"/>
          <w:szCs w:val="20"/>
          <w:color w:val="auto"/>
        </w:rPr>
      </w:pPr>
      <w:r>
        <w:rPr>
          <w:sz w:val="20"/>
          <w:szCs w:val="20"/>
          <w:color w:val="auto"/>
        </w:rPr>
        <w:br w:type="column"/>
      </w:r>
    </w:p>
    <w:p>
      <w:pPr>
        <w:ind w:right="380"/>
        <w:spacing w:after="0" w:line="305" w:lineRule="auto"/>
        <w:rPr>
          <w:sz w:val="20"/>
          <w:szCs w:val="20"/>
          <w:color w:val="auto"/>
        </w:rPr>
      </w:pPr>
      <w:r>
        <w:rPr>
          <w:rFonts w:ascii="Times New Roman" w:cs="Times New Roman" w:eastAsia="Times New Roman" w:hAnsi="Times New Roman"/>
          <w:sz w:val="20"/>
          <w:szCs w:val="20"/>
          <w:color w:val="231F20"/>
        </w:rPr>
        <w:t>Exhibit 4.25 to Form 10-K for 1999 (SEC File No. 1-8858)</w:t>
      </w:r>
    </w:p>
    <w:p>
      <w:pPr>
        <w:spacing w:after="0" w:line="128" w:lineRule="exact"/>
        <w:rPr>
          <w:sz w:val="20"/>
          <w:szCs w:val="20"/>
          <w:color w:val="auto"/>
        </w:rPr>
      </w:pPr>
    </w:p>
    <w:p>
      <w:pPr>
        <w:ind w:right="60"/>
        <w:spacing w:after="0" w:line="305" w:lineRule="auto"/>
        <w:rPr>
          <w:sz w:val="20"/>
          <w:szCs w:val="20"/>
          <w:color w:val="auto"/>
        </w:rPr>
      </w:pPr>
      <w:r>
        <w:rPr>
          <w:rFonts w:ascii="Times New Roman" w:cs="Times New Roman" w:eastAsia="Times New Roman" w:hAnsi="Times New Roman"/>
          <w:sz w:val="20"/>
          <w:szCs w:val="20"/>
          <w:color w:val="231F20"/>
        </w:rPr>
        <w:t>Exhibit 4.6 to Form 10-Q for June 30, 2001 (SEC File No. 1-8858)</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231F20"/>
        </w:rPr>
        <w:t>(2)</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231F20"/>
        </w:rPr>
        <w:t>(2)</w:t>
      </w:r>
    </w:p>
    <w:p>
      <w:pPr>
        <w:spacing w:after="0" w:line="200" w:lineRule="exact"/>
        <w:rPr>
          <w:sz w:val="20"/>
          <w:szCs w:val="20"/>
          <w:color w:val="auto"/>
        </w:rPr>
      </w:pPr>
    </w:p>
    <w:p>
      <w:pPr>
        <w:spacing w:after="0" w:line="272"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1"/>
          <w:szCs w:val="21"/>
          <w:color w:val="231F20"/>
        </w:rPr>
        <w:t>Exhibit 4.1 to Form 8-K dated December 3, 2008 (SEC File No. 1-8858)</w:t>
      </w:r>
    </w:p>
    <w:p>
      <w:pPr>
        <w:spacing w:after="0" w:line="173" w:lineRule="exact"/>
        <w:rPr>
          <w:sz w:val="20"/>
          <w:szCs w:val="20"/>
          <w:color w:val="auto"/>
        </w:rPr>
      </w:pPr>
    </w:p>
    <w:p>
      <w:pPr>
        <w:sectPr>
          <w:pgSz w:w="12240" w:h="15840" w:orient="portrait"/>
          <w:cols w:equalWidth="0" w:num="2">
            <w:col w:w="7700" w:space="140"/>
            <w:col w:w="2920"/>
          </w:cols>
          <w:pgMar w:left="720" w:top="930" w:right="760" w:bottom="188"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660" w:type="dxa"/>
            <w:vAlign w:val="bottom"/>
          </w:tcPr>
          <w:p>
            <w:pPr>
              <w:jc w:val="right"/>
              <w:ind w:right="295"/>
              <w:spacing w:after="0"/>
              <w:rPr>
                <w:sz w:val="20"/>
                <w:szCs w:val="20"/>
                <w:color w:val="auto"/>
              </w:rPr>
            </w:pPr>
            <w:r>
              <w:rPr>
                <w:rFonts w:ascii="Times New Roman" w:cs="Times New Roman" w:eastAsia="Times New Roman" w:hAnsi="Times New Roman"/>
                <w:sz w:val="21"/>
                <w:szCs w:val="21"/>
                <w:color w:val="231F20"/>
                <w:w w:val="91"/>
              </w:rPr>
              <w:t>4.7</w:t>
            </w:r>
          </w:p>
        </w:tc>
        <w:tc>
          <w:tcPr>
            <w:tcW w:w="7000" w:type="dxa"/>
            <w:vAlign w:val="bottom"/>
          </w:tcPr>
          <w:p>
            <w:pPr>
              <w:ind w:left="400"/>
              <w:spacing w:after="0"/>
              <w:rPr>
                <w:sz w:val="20"/>
                <w:szCs w:val="20"/>
                <w:color w:val="auto"/>
              </w:rPr>
            </w:pPr>
            <w:r>
              <w:rPr>
                <w:rFonts w:ascii="Times New Roman" w:cs="Times New Roman" w:eastAsia="Times New Roman" w:hAnsi="Times New Roman"/>
                <w:sz w:val="21"/>
                <w:szCs w:val="21"/>
                <w:color w:val="231F20"/>
                <w:w w:val="99"/>
              </w:rPr>
              <w:t>Fourteenth Supplemental Indenture of Unitil Energy Systems, Inc., dated as of</w:t>
            </w:r>
          </w:p>
        </w:tc>
      </w:tr>
      <w:tr>
        <w:trPr>
          <w:trHeight w:val="281"/>
        </w:trPr>
        <w:tc>
          <w:tcPr>
            <w:tcW w:w="660" w:type="dxa"/>
            <w:vAlign w:val="bottom"/>
          </w:tcPr>
          <w:p>
            <w:pPr>
              <w:spacing w:after="0"/>
              <w:rPr>
                <w:sz w:val="24"/>
                <w:szCs w:val="24"/>
                <w:color w:val="auto"/>
              </w:rPr>
            </w:pPr>
          </w:p>
        </w:tc>
        <w:tc>
          <w:tcPr>
            <w:tcW w:w="7000" w:type="dxa"/>
            <w:vAlign w:val="bottom"/>
          </w:tcPr>
          <w:p>
            <w:pPr>
              <w:ind w:left="400"/>
              <w:spacing w:after="0"/>
              <w:rPr>
                <w:sz w:val="20"/>
                <w:szCs w:val="20"/>
                <w:color w:val="auto"/>
              </w:rPr>
            </w:pPr>
            <w:r>
              <w:rPr>
                <w:rFonts w:ascii="Times New Roman" w:cs="Times New Roman" w:eastAsia="Times New Roman" w:hAnsi="Times New Roman"/>
                <w:sz w:val="21"/>
                <w:szCs w:val="21"/>
                <w:color w:val="231F20"/>
              </w:rPr>
              <w:t>March 2, 2010.</w:t>
            </w:r>
          </w:p>
        </w:tc>
      </w:tr>
    </w:tbl>
    <w:p>
      <w:pPr>
        <w:spacing w:after="0" w:line="20" w:lineRule="exact"/>
        <w:rPr>
          <w:sz w:val="20"/>
          <w:szCs w:val="20"/>
          <w:color w:val="auto"/>
        </w:rPr>
      </w:pPr>
      <w:r>
        <w:rPr>
          <w:sz w:val="20"/>
          <w:szCs w:val="20"/>
          <w:color w:val="auto"/>
        </w:rPr>
        <w:br w:type="column"/>
      </w:r>
    </w:p>
    <w:p>
      <w:pPr>
        <w:ind w:right="220"/>
        <w:spacing w:after="0" w:line="259" w:lineRule="auto"/>
        <w:rPr>
          <w:sz w:val="20"/>
          <w:szCs w:val="20"/>
          <w:color w:val="auto"/>
        </w:rPr>
      </w:pPr>
      <w:r>
        <w:rPr>
          <w:rFonts w:ascii="Times New Roman" w:cs="Times New Roman" w:eastAsia="Times New Roman" w:hAnsi="Times New Roman"/>
          <w:sz w:val="21"/>
          <w:szCs w:val="21"/>
          <w:color w:val="231F20"/>
        </w:rPr>
        <w:t>Exhibit 4.4 to Form 8-K dated March 2, 2010 (SEC File No. 1-8858)</w:t>
      </w:r>
    </w:p>
    <w:p>
      <w:pPr>
        <w:spacing w:after="0" w:line="173" w:lineRule="exact"/>
        <w:rPr>
          <w:sz w:val="20"/>
          <w:szCs w:val="20"/>
          <w:color w:val="auto"/>
        </w:rPr>
      </w:pPr>
    </w:p>
    <w:p>
      <w:pPr>
        <w:sectPr>
          <w:pgSz w:w="12240" w:h="15840" w:orient="portrait"/>
          <w:cols w:equalWidth="0" w:num="2">
            <w:col w:w="7660" w:space="180"/>
            <w:col w:w="2920"/>
          </w:cols>
          <w:pgMar w:left="720" w:top="930" w:right="760" w:bottom="188"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660" w:type="dxa"/>
            <w:vAlign w:val="bottom"/>
          </w:tcPr>
          <w:p>
            <w:pPr>
              <w:jc w:val="right"/>
              <w:ind w:right="295"/>
              <w:spacing w:after="0"/>
              <w:rPr>
                <w:sz w:val="20"/>
                <w:szCs w:val="20"/>
                <w:color w:val="auto"/>
              </w:rPr>
            </w:pPr>
            <w:r>
              <w:rPr>
                <w:rFonts w:ascii="Times New Roman" w:cs="Times New Roman" w:eastAsia="Times New Roman" w:hAnsi="Times New Roman"/>
                <w:sz w:val="21"/>
                <w:szCs w:val="21"/>
                <w:color w:val="231F20"/>
                <w:w w:val="91"/>
              </w:rPr>
              <w:t>4.8</w:t>
            </w:r>
          </w:p>
        </w:tc>
        <w:tc>
          <w:tcPr>
            <w:tcW w:w="6880" w:type="dxa"/>
            <w:vAlign w:val="bottom"/>
          </w:tcPr>
          <w:p>
            <w:pPr>
              <w:ind w:left="400"/>
              <w:spacing w:after="0"/>
              <w:rPr>
                <w:sz w:val="20"/>
                <w:szCs w:val="20"/>
                <w:color w:val="auto"/>
              </w:rPr>
            </w:pPr>
            <w:r>
              <w:rPr>
                <w:rFonts w:ascii="Times New Roman" w:cs="Times New Roman" w:eastAsia="Times New Roman" w:hAnsi="Times New Roman"/>
                <w:sz w:val="21"/>
                <w:szCs w:val="21"/>
                <w:color w:val="231F20"/>
                <w:w w:val="99"/>
              </w:rPr>
              <w:t>Northern Utilities form of Note Purchase Agreement, dated as of October 15,</w:t>
            </w:r>
          </w:p>
        </w:tc>
      </w:tr>
      <w:tr>
        <w:trPr>
          <w:trHeight w:val="281"/>
        </w:trPr>
        <w:tc>
          <w:tcPr>
            <w:tcW w:w="660" w:type="dxa"/>
            <w:vAlign w:val="bottom"/>
          </w:tcPr>
          <w:p>
            <w:pPr>
              <w:spacing w:after="0"/>
              <w:rPr>
                <w:sz w:val="24"/>
                <w:szCs w:val="24"/>
                <w:color w:val="auto"/>
              </w:rPr>
            </w:pPr>
          </w:p>
        </w:tc>
        <w:tc>
          <w:tcPr>
            <w:tcW w:w="6880" w:type="dxa"/>
            <w:vAlign w:val="bottom"/>
          </w:tcPr>
          <w:p>
            <w:pPr>
              <w:ind w:left="400"/>
              <w:spacing w:after="0"/>
              <w:rPr>
                <w:sz w:val="20"/>
                <w:szCs w:val="20"/>
                <w:color w:val="auto"/>
              </w:rPr>
            </w:pPr>
            <w:r>
              <w:rPr>
                <w:rFonts w:ascii="Times New Roman" w:cs="Times New Roman" w:eastAsia="Times New Roman" w:hAnsi="Times New Roman"/>
                <w:sz w:val="21"/>
                <w:szCs w:val="21"/>
                <w:color w:val="231F20"/>
              </w:rPr>
              <w:t>2014, for the 4.42% Senior Notes, due October 15, 2044.</w:t>
            </w:r>
          </w:p>
        </w:tc>
      </w:tr>
      <w:tr>
        <w:trPr>
          <w:trHeight w:val="673"/>
        </w:trPr>
        <w:tc>
          <w:tcPr>
            <w:tcW w:w="660" w:type="dxa"/>
            <w:vAlign w:val="bottom"/>
          </w:tcPr>
          <w:p>
            <w:pPr>
              <w:jc w:val="right"/>
              <w:ind w:right="295"/>
              <w:spacing w:after="0"/>
              <w:rPr>
                <w:sz w:val="20"/>
                <w:szCs w:val="20"/>
                <w:color w:val="auto"/>
              </w:rPr>
            </w:pPr>
            <w:r>
              <w:rPr>
                <w:rFonts w:ascii="Times New Roman" w:cs="Times New Roman" w:eastAsia="Times New Roman" w:hAnsi="Times New Roman"/>
                <w:sz w:val="21"/>
                <w:szCs w:val="21"/>
                <w:color w:val="231F20"/>
                <w:w w:val="91"/>
              </w:rPr>
              <w:t>4.9</w:t>
            </w:r>
          </w:p>
        </w:tc>
        <w:tc>
          <w:tcPr>
            <w:tcW w:w="6880" w:type="dxa"/>
            <w:vAlign w:val="bottom"/>
          </w:tcPr>
          <w:p>
            <w:pPr>
              <w:ind w:left="400"/>
              <w:spacing w:after="0"/>
              <w:rPr>
                <w:sz w:val="20"/>
                <w:szCs w:val="20"/>
                <w:color w:val="auto"/>
              </w:rPr>
            </w:pPr>
            <w:r>
              <w:rPr>
                <w:rFonts w:ascii="Times New Roman" w:cs="Times New Roman" w:eastAsia="Times New Roman" w:hAnsi="Times New Roman"/>
                <w:sz w:val="21"/>
                <w:szCs w:val="21"/>
                <w:color w:val="231F20"/>
              </w:rPr>
              <w:t>Northern Utilities form of Note issued pursuant to the Note Purchase</w:t>
            </w:r>
          </w:p>
        </w:tc>
      </w:tr>
      <w:tr>
        <w:trPr>
          <w:trHeight w:val="242"/>
        </w:trPr>
        <w:tc>
          <w:tcPr>
            <w:tcW w:w="660" w:type="dxa"/>
            <w:vAlign w:val="bottom"/>
          </w:tcPr>
          <w:p>
            <w:pPr>
              <w:spacing w:after="0"/>
              <w:rPr>
                <w:sz w:val="21"/>
                <w:szCs w:val="21"/>
                <w:color w:val="auto"/>
              </w:rPr>
            </w:pPr>
          </w:p>
        </w:tc>
        <w:tc>
          <w:tcPr>
            <w:tcW w:w="6880" w:type="dxa"/>
            <w:vAlign w:val="bottom"/>
          </w:tcPr>
          <w:p>
            <w:pPr>
              <w:ind w:left="400"/>
              <w:spacing w:after="0"/>
              <w:rPr>
                <w:sz w:val="20"/>
                <w:szCs w:val="20"/>
                <w:color w:val="auto"/>
              </w:rPr>
            </w:pPr>
            <w:r>
              <w:rPr>
                <w:rFonts w:ascii="Times New Roman" w:cs="Times New Roman" w:eastAsia="Times New Roman" w:hAnsi="Times New Roman"/>
                <w:sz w:val="21"/>
                <w:szCs w:val="21"/>
                <w:color w:val="231F20"/>
              </w:rPr>
              <w:t>Agreement, dated as of October 15, 2014, for the 4.42% Senior Notes, due</w:t>
            </w:r>
          </w:p>
        </w:tc>
      </w:tr>
      <w:tr>
        <w:trPr>
          <w:trHeight w:val="281"/>
        </w:trPr>
        <w:tc>
          <w:tcPr>
            <w:tcW w:w="660" w:type="dxa"/>
            <w:vAlign w:val="bottom"/>
          </w:tcPr>
          <w:p>
            <w:pPr>
              <w:spacing w:after="0"/>
              <w:rPr>
                <w:sz w:val="24"/>
                <w:szCs w:val="24"/>
                <w:color w:val="auto"/>
              </w:rPr>
            </w:pPr>
          </w:p>
        </w:tc>
        <w:tc>
          <w:tcPr>
            <w:tcW w:w="6880" w:type="dxa"/>
            <w:vAlign w:val="bottom"/>
          </w:tcPr>
          <w:p>
            <w:pPr>
              <w:ind w:left="400"/>
              <w:spacing w:after="0"/>
              <w:rPr>
                <w:sz w:val="20"/>
                <w:szCs w:val="20"/>
                <w:color w:val="auto"/>
              </w:rPr>
            </w:pPr>
            <w:r>
              <w:rPr>
                <w:rFonts w:ascii="Times New Roman" w:cs="Times New Roman" w:eastAsia="Times New Roman" w:hAnsi="Times New Roman"/>
                <w:sz w:val="21"/>
                <w:szCs w:val="21"/>
                <w:color w:val="231F20"/>
              </w:rPr>
              <w:t>October 15, 2044.</w:t>
            </w:r>
          </w:p>
        </w:tc>
      </w:tr>
    </w:tbl>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Times New Roman" w:cs="Times New Roman" w:eastAsia="Times New Roman" w:hAnsi="Times New Roman"/>
          <w:sz w:val="21"/>
          <w:szCs w:val="21"/>
          <w:color w:val="231F20"/>
        </w:rPr>
        <w:t>Exhibit 4.1 to Form 8-K dated October 15, 2014 (SEC File No. 1-8858)</w:t>
      </w:r>
    </w:p>
    <w:p>
      <w:pPr>
        <w:spacing w:after="0" w:line="17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1"/>
          <w:szCs w:val="21"/>
          <w:color w:val="231F20"/>
        </w:rPr>
        <w:t>Exhibit 4.2 to Form 8-K dated October 15, 2014 (SEC File No. 1-8858)</w:t>
      </w:r>
    </w:p>
    <w:p>
      <w:pPr>
        <w:spacing w:after="0" w:line="173" w:lineRule="exact"/>
        <w:rPr>
          <w:sz w:val="20"/>
          <w:szCs w:val="20"/>
          <w:color w:val="auto"/>
        </w:rPr>
      </w:pPr>
    </w:p>
    <w:p>
      <w:pPr>
        <w:sectPr>
          <w:pgSz w:w="12240" w:h="15840" w:orient="portrait"/>
          <w:cols w:equalWidth="0" w:num="2">
            <w:col w:w="7540" w:space="300"/>
            <w:col w:w="2920"/>
          </w:cols>
          <w:pgMar w:left="720" w:top="930" w:right="760" w:bottom="188" w:gutter="0" w:footer="0" w:header="0"/>
          <w:type w:val="continuous"/>
        </w:sectPr>
      </w:pPr>
    </w:p>
    <w:p>
      <w:pPr>
        <w:ind w:left="1060" w:right="300" w:hanging="1052"/>
        <w:spacing w:after="0" w:line="259" w:lineRule="auto"/>
        <w:tabs>
          <w:tab w:leader="none" w:pos="1040" w:val="left"/>
        </w:tabs>
        <w:rPr>
          <w:sz w:val="20"/>
          <w:szCs w:val="20"/>
          <w:color w:val="auto"/>
        </w:rPr>
      </w:pPr>
      <w:r>
        <w:rPr>
          <w:rFonts w:ascii="Times New Roman" w:cs="Times New Roman" w:eastAsia="Times New Roman" w:hAnsi="Times New Roman"/>
          <w:sz w:val="21"/>
          <w:szCs w:val="21"/>
          <w:color w:val="231F20"/>
        </w:rPr>
        <w:t>4.10</w:t>
      </w:r>
      <w:r>
        <w:rPr>
          <w:sz w:val="20"/>
          <w:szCs w:val="20"/>
          <w:color w:val="auto"/>
        </w:rPr>
        <w:tab/>
      </w:r>
      <w:r>
        <w:rPr>
          <w:rFonts w:ascii="Times New Roman" w:cs="Times New Roman" w:eastAsia="Times New Roman" w:hAnsi="Times New Roman"/>
          <w:sz w:val="21"/>
          <w:szCs w:val="21"/>
          <w:color w:val="231F20"/>
        </w:rPr>
        <w:t>Note Purchase Agreement dated August 1, 2016 by and among Unitil Corporation and the several purchasers named therein for the 3.70% Senior Notes, Series 2016, due August 1, 2026.</w:t>
      </w:r>
    </w:p>
    <w:p>
      <w:pPr>
        <w:spacing w:after="0" w:line="173" w:lineRule="exact"/>
        <w:rPr>
          <w:sz w:val="20"/>
          <w:szCs w:val="20"/>
          <w:color w:val="auto"/>
        </w:rPr>
      </w:pPr>
    </w:p>
    <w:p>
      <w:pPr>
        <w:ind w:left="1060" w:hanging="1052"/>
        <w:spacing w:after="0" w:line="305" w:lineRule="auto"/>
        <w:tabs>
          <w:tab w:leader="none" w:pos="1040" w:val="left"/>
        </w:tabs>
        <w:rPr>
          <w:sz w:val="20"/>
          <w:szCs w:val="20"/>
          <w:color w:val="auto"/>
        </w:rPr>
      </w:pPr>
      <w:r>
        <w:rPr>
          <w:rFonts w:ascii="Times New Roman" w:cs="Times New Roman" w:eastAsia="Times New Roman" w:hAnsi="Times New Roman"/>
          <w:sz w:val="21"/>
          <w:szCs w:val="21"/>
          <w:color w:val="231F20"/>
        </w:rPr>
        <w:t>4.11</w:t>
      </w:r>
      <w:r>
        <w:rPr>
          <w:sz w:val="20"/>
          <w:szCs w:val="20"/>
          <w:color w:val="auto"/>
        </w:rPr>
        <w:tab/>
      </w:r>
      <w:r>
        <w:rPr>
          <w:rFonts w:ascii="Times New Roman" w:cs="Times New Roman" w:eastAsia="Times New Roman" w:hAnsi="Times New Roman"/>
          <w:sz w:val="20"/>
          <w:szCs w:val="20"/>
          <w:color w:val="231F20"/>
        </w:rPr>
        <w:t>3.70% Senior Note, Series 2016, dated as of August 1, 2016 purchased by Metropolitan Life Insurance Company in the principal amount of $11,200,000.</w:t>
      </w:r>
    </w:p>
    <w:p>
      <w:pPr>
        <w:spacing w:after="0" w:line="370" w:lineRule="exact"/>
        <w:rPr>
          <w:sz w:val="20"/>
          <w:szCs w:val="20"/>
          <w:color w:val="auto"/>
        </w:rPr>
      </w:pPr>
    </w:p>
    <w:p>
      <w:pPr>
        <w:ind w:left="1060" w:right="400" w:hanging="1052"/>
        <w:spacing w:after="0" w:line="279" w:lineRule="auto"/>
        <w:tabs>
          <w:tab w:leader="none" w:pos="1040" w:val="left"/>
        </w:tabs>
        <w:rPr>
          <w:sz w:val="20"/>
          <w:szCs w:val="20"/>
          <w:color w:val="auto"/>
        </w:rPr>
      </w:pPr>
      <w:r>
        <w:rPr>
          <w:rFonts w:ascii="Times New Roman" w:cs="Times New Roman" w:eastAsia="Times New Roman" w:hAnsi="Times New Roman"/>
          <w:sz w:val="21"/>
          <w:szCs w:val="21"/>
          <w:color w:val="231F20"/>
        </w:rPr>
        <w:t>4.12</w:t>
      </w:r>
      <w:r>
        <w:rPr>
          <w:sz w:val="20"/>
          <w:szCs w:val="20"/>
          <w:color w:val="auto"/>
        </w:rPr>
        <w:tab/>
      </w:r>
      <w:r>
        <w:rPr>
          <w:rFonts w:ascii="Times New Roman" w:cs="Times New Roman" w:eastAsia="Times New Roman" w:hAnsi="Times New Roman"/>
          <w:sz w:val="21"/>
          <w:szCs w:val="21"/>
          <w:color w:val="231F20"/>
        </w:rPr>
        <w:t>3.70% Senior Note, Series 2016, dated as of August 1, 2016 purchased by Lincoln Benefit Life Company in the principal amount of $4,000,000.</w:t>
      </w:r>
    </w:p>
    <w:p>
      <w:pPr>
        <w:spacing w:after="0" w:line="393" w:lineRule="exact"/>
        <w:rPr>
          <w:sz w:val="20"/>
          <w:szCs w:val="20"/>
          <w:color w:val="auto"/>
        </w:rPr>
      </w:pPr>
    </w:p>
    <w:p>
      <w:pPr>
        <w:ind w:left="1060" w:right="400" w:hanging="1052"/>
        <w:spacing w:after="0" w:line="279" w:lineRule="auto"/>
        <w:tabs>
          <w:tab w:leader="none" w:pos="1040" w:val="left"/>
        </w:tabs>
        <w:rPr>
          <w:sz w:val="20"/>
          <w:szCs w:val="20"/>
          <w:color w:val="auto"/>
        </w:rPr>
      </w:pPr>
      <w:r>
        <w:rPr>
          <w:rFonts w:ascii="Times New Roman" w:cs="Times New Roman" w:eastAsia="Times New Roman" w:hAnsi="Times New Roman"/>
          <w:sz w:val="21"/>
          <w:szCs w:val="21"/>
          <w:color w:val="231F20"/>
        </w:rPr>
        <w:t>4.13</w:t>
      </w:r>
      <w:r>
        <w:rPr>
          <w:sz w:val="20"/>
          <w:szCs w:val="20"/>
          <w:color w:val="auto"/>
        </w:rPr>
        <w:tab/>
      </w:r>
      <w:r>
        <w:rPr>
          <w:rFonts w:ascii="Times New Roman" w:cs="Times New Roman" w:eastAsia="Times New Roman" w:hAnsi="Times New Roman"/>
          <w:sz w:val="21"/>
          <w:szCs w:val="21"/>
          <w:color w:val="231F20"/>
        </w:rPr>
        <w:t>3.70% Senior Note, Series 2016, dated as of August 1, 2016 purchased by Lincoln Benefit Life Company in the principal amount of $3,800,000.</w:t>
      </w:r>
    </w:p>
    <w:p>
      <w:pPr>
        <w:spacing w:after="0" w:line="20" w:lineRule="exact"/>
        <w:rPr>
          <w:sz w:val="20"/>
          <w:szCs w:val="20"/>
          <w:color w:val="auto"/>
        </w:rPr>
      </w:pPr>
      <w:r>
        <w:rPr>
          <w:sz w:val="20"/>
          <w:szCs w:val="20"/>
          <w:color w:val="auto"/>
        </w:rPr>
        <w:br w:type="column"/>
      </w:r>
    </w:p>
    <w:p>
      <w:pPr>
        <w:ind w:right="160"/>
        <w:spacing w:after="0" w:line="259" w:lineRule="auto"/>
        <w:rPr>
          <w:sz w:val="20"/>
          <w:szCs w:val="20"/>
          <w:color w:val="auto"/>
        </w:rPr>
      </w:pPr>
      <w:r>
        <w:rPr>
          <w:rFonts w:ascii="Times New Roman" w:cs="Times New Roman" w:eastAsia="Times New Roman" w:hAnsi="Times New Roman"/>
          <w:sz w:val="21"/>
          <w:szCs w:val="21"/>
          <w:color w:val="231F20"/>
        </w:rPr>
        <w:t>Exhibit 4.1 to Form 8-K dated August 1, 2016 (SEC File No. 1-8858)</w:t>
      </w:r>
    </w:p>
    <w:p>
      <w:pPr>
        <w:spacing w:after="0" w:line="17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21"/>
          <w:szCs w:val="21"/>
          <w:color w:val="231F20"/>
        </w:rPr>
        <w:t>Exhibit 4.2 to Form 8-K dated August 1, 2016 (SEC File No. 1-8858)</w:t>
      </w:r>
    </w:p>
    <w:p>
      <w:pPr>
        <w:spacing w:after="0" w:line="17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21"/>
          <w:szCs w:val="21"/>
          <w:color w:val="231F20"/>
        </w:rPr>
        <w:t>Exhibit 4.3 to Form 8-K dated August 1, 2016 (SEC File No. 1-8858)</w:t>
      </w:r>
    </w:p>
    <w:p>
      <w:pPr>
        <w:spacing w:after="0" w:line="17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21"/>
          <w:szCs w:val="21"/>
          <w:color w:val="231F20"/>
        </w:rPr>
        <w:t>Exhibit 4.4 to Form 8-K dated August 1, 2016 (SEC File No. 1-8858)</w:t>
      </w:r>
    </w:p>
    <w:p>
      <w:pPr>
        <w:spacing w:after="0" w:line="200" w:lineRule="exact"/>
        <w:rPr>
          <w:sz w:val="20"/>
          <w:szCs w:val="20"/>
          <w:color w:val="auto"/>
        </w:rPr>
      </w:pPr>
    </w:p>
    <w:p>
      <w:pPr>
        <w:sectPr>
          <w:pgSz w:w="12240" w:h="15840" w:orient="portrait"/>
          <w:cols w:equalWidth="0" w:num="2">
            <w:col w:w="7680" w:space="160"/>
            <w:col w:w="2920"/>
          </w:cols>
          <w:pgMar w:left="720" w:top="930" w:right="760" w:bottom="188"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95</w:t>
      </w:r>
    </w:p>
    <w:p>
      <w:pPr>
        <w:sectPr>
          <w:pgSz w:w="12240" w:h="15840" w:orient="portrait"/>
          <w:cols w:equalWidth="0" w:num="1">
            <w:col w:w="10760"/>
          </w:cols>
          <w:pgMar w:left="720" w:top="930" w:right="760" w:bottom="188"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194"/>
        </w:trPr>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94"/>
              </w:rPr>
              <w:t>Exhibit</w:t>
            </w:r>
          </w:p>
        </w:tc>
        <w:tc>
          <w:tcPr>
            <w:tcW w:w="2820" w:type="dxa"/>
            <w:vAlign w:val="bottom"/>
          </w:tcPr>
          <w:p>
            <w:pPr>
              <w:spacing w:after="0"/>
              <w:rPr>
                <w:sz w:val="16"/>
                <w:szCs w:val="16"/>
                <w:color w:val="auto"/>
              </w:rPr>
            </w:pPr>
          </w:p>
        </w:tc>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Description of Exhibit</w:t>
            </w:r>
          </w:p>
        </w:tc>
        <w:tc>
          <w:tcPr>
            <w:tcW w:w="0" w:type="dxa"/>
            <w:vAlign w:val="bottom"/>
          </w:tcPr>
          <w:p>
            <w:pPr>
              <w:spacing w:after="0"/>
              <w:rPr>
                <w:sz w:val="1"/>
                <w:szCs w:val="1"/>
                <w:color w:val="auto"/>
              </w:rPr>
            </w:pPr>
          </w:p>
        </w:tc>
      </w:tr>
      <w:tr>
        <w:trPr>
          <w:trHeight w:val="164"/>
        </w:trPr>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Borders>
              <w:top w:val="single" w:sz="8" w:color="231F20"/>
            </w:tcBorders>
          </w:tcPr>
          <w:p>
            <w:pPr>
              <w:jc w:val="right"/>
              <w:spacing w:after="0" w:line="164" w:lineRule="exact"/>
              <w:rPr>
                <w:sz w:val="20"/>
                <w:szCs w:val="20"/>
                <w:color w:val="auto"/>
              </w:rPr>
            </w:pPr>
            <w:r>
              <w:rPr>
                <w:rFonts w:ascii="Times New Roman" w:cs="Times New Roman" w:eastAsia="Times New Roman" w:hAnsi="Times New Roman"/>
                <w:sz w:val="16"/>
                <w:szCs w:val="16"/>
                <w:b w:val="1"/>
                <w:bCs w:val="1"/>
                <w:color w:val="231F20"/>
                <w:w w:val="84"/>
              </w:rPr>
              <w:t>Number</w:t>
            </w:r>
          </w:p>
        </w:tc>
        <w:tc>
          <w:tcPr>
            <w:tcW w:w="2820" w:type="dxa"/>
            <w:vAlign w:val="bottom"/>
          </w:tcPr>
          <w:p>
            <w:pPr>
              <w:spacing w:after="0"/>
              <w:rPr>
                <w:sz w:val="14"/>
                <w:szCs w:val="14"/>
                <w:color w:val="auto"/>
              </w:rPr>
            </w:pPr>
          </w:p>
        </w:tc>
        <w:tc>
          <w:tcPr>
            <w:tcW w:w="3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80" w:type="dxa"/>
            <w:vAlign w:val="bottom"/>
            <w:tcBorders>
              <w:right w:val="single" w:sz="8" w:color="231F20"/>
            </w:tcBorders>
            <w:gridSpan w:val="2"/>
            <w:shd w:val="clear" w:color="auto" w:fill="231F2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500" w:type="dxa"/>
            <w:vAlign w:val="bottom"/>
            <w:shd w:val="clear" w:color="auto" w:fill="231F2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20" w:type="dxa"/>
            <w:vAlign w:val="bottom"/>
            <w:gridSpan w:val="3"/>
          </w:tcPr>
          <w:p>
            <w:pPr>
              <w:jc w:val="right"/>
              <w:ind w:right="380"/>
              <w:spacing w:after="0"/>
              <w:rPr>
                <w:sz w:val="20"/>
                <w:szCs w:val="20"/>
                <w:color w:val="auto"/>
              </w:rPr>
            </w:pPr>
            <w:r>
              <w:rPr>
                <w:rFonts w:ascii="Times New Roman" w:cs="Times New Roman" w:eastAsia="Times New Roman" w:hAnsi="Times New Roman"/>
                <w:sz w:val="21"/>
                <w:szCs w:val="21"/>
                <w:color w:val="231F20"/>
                <w:w w:val="92"/>
              </w:rPr>
              <w:t>4.14</w:t>
            </w:r>
          </w:p>
        </w:tc>
        <w:tc>
          <w:tcPr>
            <w:tcW w:w="6640" w:type="dxa"/>
            <w:vAlign w:val="bottom"/>
            <w:gridSpan w:val="3"/>
          </w:tcPr>
          <w:p>
            <w:pPr>
              <w:ind w:left="240"/>
              <w:spacing w:after="0"/>
              <w:rPr>
                <w:sz w:val="20"/>
                <w:szCs w:val="20"/>
                <w:color w:val="auto"/>
              </w:rPr>
            </w:pPr>
            <w:r>
              <w:rPr>
                <w:rFonts w:ascii="Times New Roman" w:cs="Times New Roman" w:eastAsia="Times New Roman" w:hAnsi="Times New Roman"/>
                <w:sz w:val="21"/>
                <w:szCs w:val="21"/>
                <w:color w:val="231F20"/>
              </w:rPr>
              <w:t>3.70% Senior Note, Series 2016, dated as of August 1, 2016 purchased by</w:t>
            </w:r>
          </w:p>
        </w:tc>
        <w:tc>
          <w:tcPr>
            <w:tcW w:w="0" w:type="dxa"/>
            <w:vAlign w:val="bottom"/>
          </w:tcPr>
          <w:p>
            <w:pPr>
              <w:spacing w:after="0"/>
              <w:rPr>
                <w:sz w:val="1"/>
                <w:szCs w:val="1"/>
                <w:color w:val="auto"/>
              </w:rPr>
            </w:pPr>
          </w:p>
        </w:tc>
      </w:tr>
      <w:tr>
        <w:trPr>
          <w:trHeight w:val="281"/>
        </w:trPr>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40" w:type="dxa"/>
            <w:vAlign w:val="bottom"/>
            <w:gridSpan w:val="3"/>
          </w:tcPr>
          <w:p>
            <w:pPr>
              <w:ind w:left="240"/>
              <w:spacing w:after="0"/>
              <w:rPr>
                <w:sz w:val="20"/>
                <w:szCs w:val="20"/>
                <w:color w:val="auto"/>
              </w:rPr>
            </w:pPr>
            <w:r>
              <w:rPr>
                <w:rFonts w:ascii="Times New Roman" w:cs="Times New Roman" w:eastAsia="Times New Roman" w:hAnsi="Times New Roman"/>
                <w:sz w:val="21"/>
                <w:szCs w:val="21"/>
                <w:color w:val="231F20"/>
              </w:rPr>
              <w:t>Lincoln Benefit Life Company in the principal amount of $1,000,000.</w:t>
            </w:r>
          </w:p>
        </w:tc>
        <w:tc>
          <w:tcPr>
            <w:tcW w:w="0" w:type="dxa"/>
            <w:vAlign w:val="bottom"/>
          </w:tcPr>
          <w:p>
            <w:pPr>
              <w:spacing w:after="0"/>
              <w:rPr>
                <w:sz w:val="1"/>
                <w:szCs w:val="1"/>
                <w:color w:val="auto"/>
              </w:rPr>
            </w:pPr>
          </w:p>
        </w:tc>
      </w:tr>
      <w:tr>
        <w:trPr>
          <w:trHeight w:val="673"/>
        </w:trPr>
        <w:tc>
          <w:tcPr>
            <w:tcW w:w="820" w:type="dxa"/>
            <w:vAlign w:val="bottom"/>
            <w:gridSpan w:val="3"/>
          </w:tcPr>
          <w:p>
            <w:pPr>
              <w:jc w:val="right"/>
              <w:ind w:right="380"/>
              <w:spacing w:after="0"/>
              <w:rPr>
                <w:sz w:val="20"/>
                <w:szCs w:val="20"/>
                <w:color w:val="auto"/>
              </w:rPr>
            </w:pPr>
            <w:r>
              <w:rPr>
                <w:rFonts w:ascii="Times New Roman" w:cs="Times New Roman" w:eastAsia="Times New Roman" w:hAnsi="Times New Roman"/>
                <w:sz w:val="21"/>
                <w:szCs w:val="21"/>
                <w:color w:val="231F20"/>
                <w:w w:val="92"/>
              </w:rPr>
              <w:t>4.15</w:t>
            </w:r>
          </w:p>
        </w:tc>
        <w:tc>
          <w:tcPr>
            <w:tcW w:w="6640" w:type="dxa"/>
            <w:vAlign w:val="bottom"/>
            <w:gridSpan w:val="3"/>
          </w:tcPr>
          <w:p>
            <w:pPr>
              <w:ind w:left="240"/>
              <w:spacing w:after="0"/>
              <w:rPr>
                <w:sz w:val="20"/>
                <w:szCs w:val="20"/>
                <w:color w:val="auto"/>
              </w:rPr>
            </w:pPr>
            <w:r>
              <w:rPr>
                <w:rFonts w:ascii="Times New Roman" w:cs="Times New Roman" w:eastAsia="Times New Roman" w:hAnsi="Times New Roman"/>
                <w:sz w:val="21"/>
                <w:szCs w:val="21"/>
                <w:color w:val="231F20"/>
              </w:rPr>
              <w:t>3.70% Senior Note, Series 2016, dated as of August 1, 2016 purchased by</w:t>
            </w:r>
          </w:p>
        </w:tc>
        <w:tc>
          <w:tcPr>
            <w:tcW w:w="0" w:type="dxa"/>
            <w:vAlign w:val="bottom"/>
          </w:tcPr>
          <w:p>
            <w:pPr>
              <w:spacing w:after="0"/>
              <w:rPr>
                <w:sz w:val="1"/>
                <w:szCs w:val="1"/>
                <w:color w:val="auto"/>
              </w:rPr>
            </w:pPr>
          </w:p>
        </w:tc>
      </w:tr>
      <w:tr>
        <w:trPr>
          <w:trHeight w:val="242"/>
        </w:trPr>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40" w:type="dxa"/>
            <w:vAlign w:val="bottom"/>
            <w:gridSpan w:val="3"/>
          </w:tcPr>
          <w:p>
            <w:pPr>
              <w:ind w:left="240"/>
              <w:spacing w:after="0"/>
              <w:rPr>
                <w:sz w:val="20"/>
                <w:szCs w:val="20"/>
                <w:color w:val="auto"/>
              </w:rPr>
            </w:pPr>
            <w:r>
              <w:rPr>
                <w:rFonts w:ascii="Times New Roman" w:cs="Times New Roman" w:eastAsia="Times New Roman" w:hAnsi="Times New Roman"/>
                <w:sz w:val="21"/>
                <w:szCs w:val="21"/>
                <w:color w:val="231F20"/>
              </w:rPr>
              <w:t>United of Omaha Life Insurance Company in the principal amount of</w:t>
            </w:r>
          </w:p>
        </w:tc>
        <w:tc>
          <w:tcPr>
            <w:tcW w:w="0" w:type="dxa"/>
            <w:vAlign w:val="bottom"/>
          </w:tcPr>
          <w:p>
            <w:pPr>
              <w:spacing w:after="0"/>
              <w:rPr>
                <w:sz w:val="1"/>
                <w:szCs w:val="1"/>
                <w:color w:val="auto"/>
              </w:rPr>
            </w:pPr>
          </w:p>
        </w:tc>
      </w:tr>
      <w:tr>
        <w:trPr>
          <w:trHeight w:val="281"/>
        </w:trPr>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20" w:type="dxa"/>
            <w:vAlign w:val="bottom"/>
          </w:tcPr>
          <w:p>
            <w:pPr>
              <w:ind w:left="240"/>
              <w:spacing w:after="0"/>
              <w:rPr>
                <w:sz w:val="20"/>
                <w:szCs w:val="20"/>
                <w:color w:val="auto"/>
              </w:rPr>
            </w:pPr>
            <w:r>
              <w:rPr>
                <w:rFonts w:ascii="Times New Roman" w:cs="Times New Roman" w:eastAsia="Times New Roman" w:hAnsi="Times New Roman"/>
                <w:sz w:val="21"/>
                <w:szCs w:val="21"/>
                <w:color w:val="231F20"/>
              </w:rPr>
              <w:t>$5,000,000.</w:t>
            </w:r>
          </w:p>
        </w:tc>
        <w:tc>
          <w:tcPr>
            <w:tcW w:w="15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gridSpan w:val="3"/>
          </w:tcPr>
          <w:p>
            <w:pPr>
              <w:jc w:val="right"/>
              <w:ind w:right="380"/>
              <w:spacing w:after="0"/>
              <w:rPr>
                <w:sz w:val="20"/>
                <w:szCs w:val="20"/>
                <w:color w:val="auto"/>
              </w:rPr>
            </w:pPr>
            <w:r>
              <w:rPr>
                <w:rFonts w:ascii="Times New Roman" w:cs="Times New Roman" w:eastAsia="Times New Roman" w:hAnsi="Times New Roman"/>
                <w:sz w:val="21"/>
                <w:szCs w:val="21"/>
                <w:color w:val="231F20"/>
                <w:w w:val="92"/>
              </w:rPr>
              <w:t>4.16</w:t>
            </w:r>
          </w:p>
        </w:tc>
        <w:tc>
          <w:tcPr>
            <w:tcW w:w="6640" w:type="dxa"/>
            <w:vAlign w:val="bottom"/>
            <w:gridSpan w:val="3"/>
          </w:tcPr>
          <w:p>
            <w:pPr>
              <w:ind w:left="240"/>
              <w:spacing w:after="0"/>
              <w:rPr>
                <w:sz w:val="20"/>
                <w:szCs w:val="20"/>
                <w:color w:val="auto"/>
              </w:rPr>
            </w:pPr>
            <w:r>
              <w:rPr>
                <w:rFonts w:ascii="Times New Roman" w:cs="Times New Roman" w:eastAsia="Times New Roman" w:hAnsi="Times New Roman"/>
                <w:sz w:val="21"/>
                <w:szCs w:val="21"/>
                <w:color w:val="231F20"/>
              </w:rPr>
              <w:t>3.70% Senior Note, Series 2016, dated as of August 1, 2016 purchased by</w:t>
            </w:r>
          </w:p>
        </w:tc>
        <w:tc>
          <w:tcPr>
            <w:tcW w:w="0" w:type="dxa"/>
            <w:vAlign w:val="bottom"/>
          </w:tcPr>
          <w:p>
            <w:pPr>
              <w:spacing w:after="0"/>
              <w:rPr>
                <w:sz w:val="1"/>
                <w:szCs w:val="1"/>
                <w:color w:val="auto"/>
              </w:rPr>
            </w:pPr>
          </w:p>
        </w:tc>
      </w:tr>
      <w:tr>
        <w:trPr>
          <w:trHeight w:val="242"/>
        </w:trPr>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40" w:type="dxa"/>
            <w:vAlign w:val="bottom"/>
            <w:gridSpan w:val="3"/>
          </w:tcPr>
          <w:p>
            <w:pPr>
              <w:ind w:left="240"/>
              <w:spacing w:after="0"/>
              <w:rPr>
                <w:sz w:val="20"/>
                <w:szCs w:val="20"/>
                <w:color w:val="auto"/>
              </w:rPr>
            </w:pPr>
            <w:r>
              <w:rPr>
                <w:rFonts w:ascii="Times New Roman" w:cs="Times New Roman" w:eastAsia="Times New Roman" w:hAnsi="Times New Roman"/>
                <w:sz w:val="21"/>
                <w:szCs w:val="21"/>
                <w:color w:val="231F20"/>
              </w:rPr>
              <w:t>United of Omaha Life Insurance Company in the principal amount of</w:t>
            </w:r>
          </w:p>
        </w:tc>
        <w:tc>
          <w:tcPr>
            <w:tcW w:w="0" w:type="dxa"/>
            <w:vAlign w:val="bottom"/>
          </w:tcPr>
          <w:p>
            <w:pPr>
              <w:spacing w:after="0"/>
              <w:rPr>
                <w:sz w:val="1"/>
                <w:szCs w:val="1"/>
                <w:color w:val="auto"/>
              </w:rPr>
            </w:pPr>
          </w:p>
        </w:tc>
      </w:tr>
      <w:tr>
        <w:trPr>
          <w:trHeight w:val="281"/>
        </w:trPr>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20" w:type="dxa"/>
            <w:vAlign w:val="bottom"/>
          </w:tcPr>
          <w:p>
            <w:pPr>
              <w:ind w:left="240"/>
              <w:spacing w:after="0"/>
              <w:rPr>
                <w:sz w:val="20"/>
                <w:szCs w:val="20"/>
                <w:color w:val="auto"/>
              </w:rPr>
            </w:pPr>
            <w:r>
              <w:rPr>
                <w:rFonts w:ascii="Times New Roman" w:cs="Times New Roman" w:eastAsia="Times New Roman" w:hAnsi="Times New Roman"/>
                <w:sz w:val="21"/>
                <w:szCs w:val="21"/>
                <w:color w:val="231F20"/>
              </w:rPr>
              <w:t>$3,000,000.</w:t>
            </w:r>
          </w:p>
        </w:tc>
        <w:tc>
          <w:tcPr>
            <w:tcW w:w="15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gridSpan w:val="3"/>
          </w:tcPr>
          <w:p>
            <w:pPr>
              <w:jc w:val="right"/>
              <w:ind w:right="380"/>
              <w:spacing w:after="0"/>
              <w:rPr>
                <w:sz w:val="20"/>
                <w:szCs w:val="20"/>
                <w:color w:val="auto"/>
              </w:rPr>
            </w:pPr>
            <w:r>
              <w:rPr>
                <w:rFonts w:ascii="Times New Roman" w:cs="Times New Roman" w:eastAsia="Times New Roman" w:hAnsi="Times New Roman"/>
                <w:sz w:val="21"/>
                <w:szCs w:val="21"/>
                <w:color w:val="231F20"/>
                <w:w w:val="92"/>
              </w:rPr>
              <w:t>4.17</w:t>
            </w:r>
          </w:p>
        </w:tc>
        <w:tc>
          <w:tcPr>
            <w:tcW w:w="6640" w:type="dxa"/>
            <w:vAlign w:val="bottom"/>
            <w:gridSpan w:val="3"/>
          </w:tcPr>
          <w:p>
            <w:pPr>
              <w:ind w:left="240"/>
              <w:spacing w:after="0"/>
              <w:rPr>
                <w:sz w:val="20"/>
                <w:szCs w:val="20"/>
                <w:color w:val="auto"/>
              </w:rPr>
            </w:pPr>
            <w:r>
              <w:rPr>
                <w:rFonts w:ascii="Times New Roman" w:cs="Times New Roman" w:eastAsia="Times New Roman" w:hAnsi="Times New Roman"/>
                <w:sz w:val="21"/>
                <w:szCs w:val="21"/>
                <w:color w:val="231F20"/>
              </w:rPr>
              <w:t>3.70% Senior Note, Series 2016, dated as of August 1, 2016 purchased by</w:t>
            </w:r>
          </w:p>
        </w:tc>
        <w:tc>
          <w:tcPr>
            <w:tcW w:w="0" w:type="dxa"/>
            <w:vAlign w:val="bottom"/>
          </w:tcPr>
          <w:p>
            <w:pPr>
              <w:spacing w:after="0"/>
              <w:rPr>
                <w:sz w:val="1"/>
                <w:szCs w:val="1"/>
                <w:color w:val="auto"/>
              </w:rPr>
            </w:pPr>
          </w:p>
        </w:tc>
      </w:tr>
      <w:tr>
        <w:trPr>
          <w:trHeight w:val="281"/>
        </w:trPr>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40" w:type="dxa"/>
            <w:vAlign w:val="bottom"/>
            <w:gridSpan w:val="3"/>
          </w:tcPr>
          <w:p>
            <w:pPr>
              <w:ind w:left="240"/>
              <w:spacing w:after="0"/>
              <w:rPr>
                <w:sz w:val="20"/>
                <w:szCs w:val="20"/>
                <w:color w:val="auto"/>
              </w:rPr>
            </w:pPr>
            <w:r>
              <w:rPr>
                <w:rFonts w:ascii="Times New Roman" w:cs="Times New Roman" w:eastAsia="Times New Roman" w:hAnsi="Times New Roman"/>
                <w:sz w:val="21"/>
                <w:szCs w:val="21"/>
                <w:color w:val="231F20"/>
                <w:w w:val="99"/>
              </w:rPr>
              <w:t>Companion Life Insurance Company in the principal amount of $2,000,000.</w:t>
            </w:r>
          </w:p>
        </w:tc>
        <w:tc>
          <w:tcPr>
            <w:tcW w:w="0" w:type="dxa"/>
            <w:vAlign w:val="bottom"/>
          </w:tcPr>
          <w:p>
            <w:pPr>
              <w:spacing w:after="0"/>
              <w:rPr>
                <w:sz w:val="1"/>
                <w:szCs w:val="1"/>
                <w:color w:val="auto"/>
              </w:rPr>
            </w:pPr>
          </w:p>
        </w:tc>
      </w:tr>
      <w:tr>
        <w:trPr>
          <w:trHeight w:val="673"/>
        </w:trPr>
        <w:tc>
          <w:tcPr>
            <w:tcW w:w="820" w:type="dxa"/>
            <w:vAlign w:val="bottom"/>
            <w:gridSpan w:val="3"/>
          </w:tcPr>
          <w:p>
            <w:pPr>
              <w:jc w:val="right"/>
              <w:ind w:right="380"/>
              <w:spacing w:after="0"/>
              <w:rPr>
                <w:sz w:val="20"/>
                <w:szCs w:val="20"/>
                <w:color w:val="auto"/>
              </w:rPr>
            </w:pPr>
            <w:r>
              <w:rPr>
                <w:rFonts w:ascii="Times New Roman" w:cs="Times New Roman" w:eastAsia="Times New Roman" w:hAnsi="Times New Roman"/>
                <w:sz w:val="21"/>
                <w:szCs w:val="21"/>
                <w:color w:val="231F20"/>
                <w:w w:val="92"/>
              </w:rPr>
              <w:t>4.18</w:t>
            </w:r>
          </w:p>
        </w:tc>
        <w:tc>
          <w:tcPr>
            <w:tcW w:w="6640" w:type="dxa"/>
            <w:vAlign w:val="bottom"/>
            <w:gridSpan w:val="3"/>
          </w:tcPr>
          <w:p>
            <w:pPr>
              <w:ind w:left="240"/>
              <w:spacing w:after="0"/>
              <w:rPr>
                <w:sz w:val="20"/>
                <w:szCs w:val="20"/>
                <w:color w:val="auto"/>
              </w:rPr>
            </w:pPr>
            <w:r>
              <w:rPr>
                <w:rFonts w:ascii="Times New Roman" w:cs="Times New Roman" w:eastAsia="Times New Roman" w:hAnsi="Times New Roman"/>
                <w:sz w:val="21"/>
                <w:szCs w:val="21"/>
                <w:color w:val="231F20"/>
              </w:rPr>
              <w:t>Note Purchase Agreement dated July 14, 2017 by and among Northern</w:t>
            </w:r>
          </w:p>
        </w:tc>
        <w:tc>
          <w:tcPr>
            <w:tcW w:w="0" w:type="dxa"/>
            <w:vAlign w:val="bottom"/>
          </w:tcPr>
          <w:p>
            <w:pPr>
              <w:spacing w:after="0"/>
              <w:rPr>
                <w:sz w:val="1"/>
                <w:szCs w:val="1"/>
                <w:color w:val="auto"/>
              </w:rPr>
            </w:pPr>
          </w:p>
        </w:tc>
      </w:tr>
      <w:tr>
        <w:trPr>
          <w:trHeight w:val="242"/>
        </w:trPr>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40" w:type="dxa"/>
            <w:vAlign w:val="bottom"/>
            <w:gridSpan w:val="3"/>
          </w:tcPr>
          <w:p>
            <w:pPr>
              <w:ind w:left="240"/>
              <w:spacing w:after="0"/>
              <w:rPr>
                <w:sz w:val="20"/>
                <w:szCs w:val="20"/>
                <w:color w:val="auto"/>
              </w:rPr>
            </w:pPr>
            <w:r>
              <w:rPr>
                <w:rFonts w:ascii="Times New Roman" w:cs="Times New Roman" w:eastAsia="Times New Roman" w:hAnsi="Times New Roman"/>
                <w:sz w:val="21"/>
                <w:szCs w:val="21"/>
                <w:color w:val="231F20"/>
                <w:w w:val="99"/>
              </w:rPr>
              <w:t>Utilities, Inc. and the several purchasers named therein for the 3.52% Senior</w:t>
            </w:r>
          </w:p>
        </w:tc>
        <w:tc>
          <w:tcPr>
            <w:tcW w:w="0" w:type="dxa"/>
            <w:vAlign w:val="bottom"/>
          </w:tcPr>
          <w:p>
            <w:pPr>
              <w:spacing w:after="0"/>
              <w:rPr>
                <w:sz w:val="1"/>
                <w:szCs w:val="1"/>
                <w:color w:val="auto"/>
              </w:rPr>
            </w:pPr>
          </w:p>
        </w:tc>
      </w:tr>
      <w:tr>
        <w:trPr>
          <w:trHeight w:val="242"/>
        </w:trPr>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40" w:type="dxa"/>
            <w:vAlign w:val="bottom"/>
            <w:gridSpan w:val="3"/>
          </w:tcPr>
          <w:p>
            <w:pPr>
              <w:ind w:left="240"/>
              <w:spacing w:after="0"/>
              <w:rPr>
                <w:sz w:val="20"/>
                <w:szCs w:val="20"/>
                <w:color w:val="auto"/>
              </w:rPr>
            </w:pPr>
            <w:r>
              <w:rPr>
                <w:rFonts w:ascii="Times New Roman" w:cs="Times New Roman" w:eastAsia="Times New Roman" w:hAnsi="Times New Roman"/>
                <w:sz w:val="21"/>
                <w:szCs w:val="21"/>
                <w:color w:val="231F20"/>
              </w:rPr>
              <w:t>Notes, Series 2017A, due November 1, 2027 and the 4.32% Senior Notes,</w:t>
            </w:r>
          </w:p>
        </w:tc>
        <w:tc>
          <w:tcPr>
            <w:tcW w:w="0" w:type="dxa"/>
            <w:vAlign w:val="bottom"/>
          </w:tcPr>
          <w:p>
            <w:pPr>
              <w:spacing w:after="0"/>
              <w:rPr>
                <w:sz w:val="1"/>
                <w:szCs w:val="1"/>
                <w:color w:val="auto"/>
              </w:rPr>
            </w:pPr>
          </w:p>
        </w:tc>
      </w:tr>
      <w:tr>
        <w:trPr>
          <w:trHeight w:val="281"/>
        </w:trPr>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40" w:type="dxa"/>
            <w:vAlign w:val="bottom"/>
            <w:gridSpan w:val="3"/>
          </w:tcPr>
          <w:p>
            <w:pPr>
              <w:ind w:left="240"/>
              <w:spacing w:after="0"/>
              <w:rPr>
                <w:sz w:val="20"/>
                <w:szCs w:val="20"/>
                <w:color w:val="auto"/>
              </w:rPr>
            </w:pPr>
            <w:r>
              <w:rPr>
                <w:rFonts w:ascii="Times New Roman" w:cs="Times New Roman" w:eastAsia="Times New Roman" w:hAnsi="Times New Roman"/>
                <w:sz w:val="21"/>
                <w:szCs w:val="21"/>
                <w:color w:val="231F20"/>
              </w:rPr>
              <w:t>Series 2017B, due November 1, 2047.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u w:val="single" w:color="auto"/>
          <w:color w:val="231F20"/>
        </w:rPr>
        <w:t>Reference (1)</w:t>
      </w:r>
    </w:p>
    <w:p>
      <w:pPr>
        <w:spacing w:after="0" w:line="228"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1"/>
          <w:szCs w:val="21"/>
          <w:color w:val="231F20"/>
        </w:rPr>
        <w:t>Exhibit 4.5 to Form 8-K dated August 1, 2016 (SEC File No. 1-8858)</w:t>
      </w:r>
    </w:p>
    <w:p>
      <w:pPr>
        <w:spacing w:after="0" w:line="173"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1"/>
          <w:szCs w:val="21"/>
          <w:color w:val="231F20"/>
        </w:rPr>
        <w:t>Exhibit 4.6 to Form 8-K dated August 1, 2016 (SEC File No. 1-8858)</w:t>
      </w:r>
    </w:p>
    <w:p>
      <w:pPr>
        <w:spacing w:after="0" w:line="173"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1"/>
          <w:szCs w:val="21"/>
          <w:color w:val="231F20"/>
        </w:rPr>
        <w:t>Exhibit 4.7 to Form 8-K dated August 1, 2016 (SEC File No. 1-8858)</w:t>
      </w:r>
    </w:p>
    <w:p>
      <w:pPr>
        <w:spacing w:after="0" w:line="173"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1"/>
          <w:szCs w:val="21"/>
          <w:color w:val="231F20"/>
        </w:rPr>
        <w:t>Exhibit 4.8 to Form 8-K dated August 1, 2016 (SEC File No. 1-8858)</w:t>
      </w:r>
    </w:p>
    <w:p>
      <w:pPr>
        <w:spacing w:after="0" w:line="173"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20"/>
          <w:szCs w:val="20"/>
          <w:color w:val="231F20"/>
        </w:rPr>
        <w:t>Exhibit 4.1 to Form 8-K dated July 14, 2017 (SEC File No. 1-8858)</w:t>
      </w:r>
    </w:p>
    <w:p>
      <w:pPr>
        <w:spacing w:after="0" w:line="611" w:lineRule="exact"/>
        <w:rPr>
          <w:sz w:val="20"/>
          <w:szCs w:val="20"/>
          <w:color w:val="auto"/>
        </w:rPr>
      </w:pPr>
    </w:p>
    <w:p>
      <w:pPr>
        <w:sectPr>
          <w:pgSz w:w="12240" w:h="15840" w:orient="portrait"/>
          <w:cols w:equalWidth="0" w:num="2">
            <w:col w:w="7460" w:space="380"/>
            <w:col w:w="2940"/>
          </w:cols>
          <w:pgMar w:left="720" w:top="930" w:right="740" w:bottom="188" w:gutter="0" w:footer="0" w:header="0"/>
        </w:sectPr>
      </w:pPr>
    </w:p>
    <w:p>
      <w:pPr>
        <w:ind w:left="1060" w:hanging="1052"/>
        <w:spacing w:after="0" w:line="253" w:lineRule="auto"/>
        <w:tabs>
          <w:tab w:leader="none" w:pos="1040" w:val="left"/>
        </w:tabs>
        <w:rPr>
          <w:sz w:val="20"/>
          <w:szCs w:val="20"/>
          <w:color w:val="auto"/>
        </w:rPr>
      </w:pPr>
      <w:r>
        <w:rPr>
          <w:rFonts w:ascii="Times New Roman" w:cs="Times New Roman" w:eastAsia="Times New Roman" w:hAnsi="Times New Roman"/>
          <w:sz w:val="21"/>
          <w:szCs w:val="21"/>
          <w:color w:val="231F20"/>
        </w:rPr>
        <w:t>4.19</w:t>
      </w:r>
      <w:r>
        <w:rPr>
          <w:sz w:val="20"/>
          <w:szCs w:val="20"/>
          <w:color w:val="auto"/>
        </w:rPr>
        <w:tab/>
      </w:r>
      <w:r>
        <w:rPr>
          <w:rFonts w:ascii="Times New Roman" w:cs="Times New Roman" w:eastAsia="Times New Roman" w:hAnsi="Times New Roman"/>
          <w:sz w:val="21"/>
          <w:szCs w:val="21"/>
          <w:color w:val="231F20"/>
        </w:rPr>
        <w:t>Note Purchase Agreement dated July 14, 2017 by and among Fitchburg Gas and Electric Light Company and the several purchasers named therein for the 3.52% Senior Notes, Series 2017A, due November 1, 2027 and the 4.32% Senior Notes, Series 2017B, due November 1, 2047.</w:t>
      </w:r>
    </w:p>
    <w:p>
      <w:pPr>
        <w:spacing w:after="0" w:line="20" w:lineRule="exact"/>
        <w:rPr>
          <w:sz w:val="20"/>
          <w:szCs w:val="20"/>
          <w:color w:val="auto"/>
        </w:rPr>
      </w:pPr>
      <w:r>
        <w:rPr>
          <w:sz w:val="20"/>
          <w:szCs w:val="20"/>
          <w:color w:val="auto"/>
        </w:rPr>
        <w:br w:type="column"/>
      </w:r>
    </w:p>
    <w:p>
      <w:pPr>
        <w:spacing w:after="0" w:line="305" w:lineRule="auto"/>
        <w:rPr>
          <w:sz w:val="20"/>
          <w:szCs w:val="20"/>
          <w:color w:val="auto"/>
        </w:rPr>
      </w:pPr>
      <w:r>
        <w:rPr>
          <w:rFonts w:ascii="Times New Roman" w:cs="Times New Roman" w:eastAsia="Times New Roman" w:hAnsi="Times New Roman"/>
          <w:sz w:val="20"/>
          <w:szCs w:val="20"/>
          <w:color w:val="231F20"/>
        </w:rPr>
        <w:t>Exhibit 4.2 to Form 8-K dated July 14, 2017 (SEC File No. 1-8858)</w:t>
      </w:r>
    </w:p>
    <w:p>
      <w:pPr>
        <w:spacing w:after="0" w:line="611" w:lineRule="exact"/>
        <w:rPr>
          <w:sz w:val="20"/>
          <w:szCs w:val="20"/>
          <w:color w:val="auto"/>
        </w:rPr>
      </w:pPr>
    </w:p>
    <w:p>
      <w:pPr>
        <w:sectPr>
          <w:pgSz w:w="12240" w:h="15840" w:orient="portrait"/>
          <w:cols w:equalWidth="0" w:num="2">
            <w:col w:w="7560" w:space="280"/>
            <w:col w:w="2940"/>
          </w:cols>
          <w:pgMar w:left="720" w:top="930" w:right="740" w:bottom="188" w:gutter="0" w:footer="0" w:header="0"/>
          <w:type w:val="continuous"/>
        </w:sectPr>
      </w:pPr>
    </w:p>
    <w:p>
      <w:pPr>
        <w:ind w:left="1060" w:hanging="1052"/>
        <w:spacing w:after="0" w:line="259" w:lineRule="auto"/>
        <w:tabs>
          <w:tab w:leader="none" w:pos="1040" w:val="left"/>
        </w:tabs>
        <w:rPr>
          <w:sz w:val="20"/>
          <w:szCs w:val="20"/>
          <w:color w:val="auto"/>
        </w:rPr>
      </w:pPr>
      <w:r>
        <w:rPr>
          <w:rFonts w:ascii="Times New Roman" w:cs="Times New Roman" w:eastAsia="Times New Roman" w:hAnsi="Times New Roman"/>
          <w:sz w:val="21"/>
          <w:szCs w:val="21"/>
          <w:color w:val="231F20"/>
        </w:rPr>
        <w:t>4.20</w:t>
      </w:r>
      <w:r>
        <w:rPr>
          <w:sz w:val="20"/>
          <w:szCs w:val="20"/>
          <w:color w:val="auto"/>
        </w:rPr>
        <w:tab/>
      </w:r>
      <w:r>
        <w:rPr>
          <w:rFonts w:ascii="Times New Roman" w:cs="Times New Roman" w:eastAsia="Times New Roman" w:hAnsi="Times New Roman"/>
          <w:sz w:val="21"/>
          <w:szCs w:val="21"/>
          <w:color w:val="231F20"/>
        </w:rPr>
        <w:t>Note Purchase Agreement dated July 14, 2017 by and among Granite State Gas Transmission, Inc. and the several purchasers named therein for the 3.72% Senior Notes, Series 2017A, due November 1, 2027.</w:t>
      </w:r>
    </w:p>
    <w:p>
      <w:pPr>
        <w:spacing w:after="0" w:line="173" w:lineRule="exact"/>
        <w:rPr>
          <w:sz w:val="20"/>
          <w:szCs w:val="20"/>
          <w:color w:val="auto"/>
        </w:rPr>
      </w:pPr>
    </w:p>
    <w:p>
      <w:pPr>
        <w:jc w:val="center"/>
        <w:ind w:right="60"/>
        <w:spacing w:after="0" w:line="279" w:lineRule="auto"/>
        <w:rPr>
          <w:sz w:val="20"/>
          <w:szCs w:val="20"/>
          <w:color w:val="auto"/>
        </w:rPr>
      </w:pPr>
      <w:r>
        <w:rPr>
          <w:rFonts w:ascii="Times New Roman" w:cs="Times New Roman" w:eastAsia="Times New Roman" w:hAnsi="Times New Roman"/>
          <w:sz w:val="21"/>
          <w:szCs w:val="21"/>
          <w:color w:val="231F20"/>
        </w:rPr>
        <w:t>4.21 (4)    3.52% Senior Note, Series 2017A, due November 1, 2027, issued by Northern Utilities, Inc. to Great-West Life &amp; Annuity Insurance Company.</w:t>
      </w:r>
    </w:p>
    <w:p>
      <w:pPr>
        <w:spacing w:after="0" w:line="393" w:lineRule="exact"/>
        <w:rPr>
          <w:sz w:val="20"/>
          <w:szCs w:val="20"/>
          <w:color w:val="auto"/>
        </w:rPr>
      </w:pPr>
    </w:p>
    <w:p>
      <w:pPr>
        <w:jc w:val="center"/>
        <w:ind w:right="80"/>
        <w:spacing w:after="0" w:line="279" w:lineRule="auto"/>
        <w:rPr>
          <w:sz w:val="20"/>
          <w:szCs w:val="20"/>
          <w:color w:val="auto"/>
        </w:rPr>
      </w:pPr>
      <w:r>
        <w:rPr>
          <w:rFonts w:ascii="Times New Roman" w:cs="Times New Roman" w:eastAsia="Times New Roman" w:hAnsi="Times New Roman"/>
          <w:sz w:val="21"/>
          <w:szCs w:val="21"/>
          <w:color w:val="231F20"/>
        </w:rPr>
        <w:t>4.22 (4)    4.32% Senior Note, Series 2017B, due November 1, 2047, issued by Northern Utilities, Inc. to The Canada Life Insurance Company of Canada.</w:t>
      </w:r>
    </w:p>
    <w:p>
      <w:pPr>
        <w:spacing w:after="0" w:line="393" w:lineRule="exact"/>
        <w:rPr>
          <w:sz w:val="20"/>
          <w:szCs w:val="20"/>
          <w:color w:val="auto"/>
        </w:rPr>
      </w:pPr>
    </w:p>
    <w:p>
      <w:pPr>
        <w:ind w:left="1060" w:hanging="1052"/>
        <w:spacing w:after="0" w:line="259" w:lineRule="auto"/>
        <w:tabs>
          <w:tab w:leader="none" w:pos="1040" w:val="left"/>
        </w:tabs>
        <w:rPr>
          <w:sz w:val="20"/>
          <w:szCs w:val="20"/>
          <w:color w:val="auto"/>
        </w:rPr>
      </w:pPr>
      <w:r>
        <w:rPr>
          <w:rFonts w:ascii="Times New Roman" w:cs="Times New Roman" w:eastAsia="Times New Roman" w:hAnsi="Times New Roman"/>
          <w:sz w:val="21"/>
          <w:szCs w:val="21"/>
          <w:color w:val="231F20"/>
        </w:rPr>
        <w:t>4.23 (4)</w:t>
      </w:r>
      <w:r>
        <w:rPr>
          <w:sz w:val="20"/>
          <w:szCs w:val="20"/>
          <w:color w:val="auto"/>
        </w:rPr>
        <w:tab/>
      </w:r>
      <w:r>
        <w:rPr>
          <w:rFonts w:ascii="Times New Roman" w:cs="Times New Roman" w:eastAsia="Times New Roman" w:hAnsi="Times New Roman"/>
          <w:sz w:val="21"/>
          <w:szCs w:val="21"/>
          <w:color w:val="231F20"/>
        </w:rPr>
        <w:t>3.52% Senior Note, Series 2017A, due November 1, 2027, issued by Fitchburg Gas and Electric Light Company to Great-West Life &amp; Annuity Insurance Company.</w:t>
      </w:r>
    </w:p>
    <w:p>
      <w:pPr>
        <w:spacing w:after="0" w:line="173" w:lineRule="exact"/>
        <w:rPr>
          <w:sz w:val="20"/>
          <w:szCs w:val="20"/>
          <w:color w:val="auto"/>
        </w:rPr>
      </w:pPr>
    </w:p>
    <w:p>
      <w:pPr>
        <w:jc w:val="right"/>
        <w:ind w:right="20"/>
        <w:spacing w:after="0" w:line="279" w:lineRule="auto"/>
        <w:rPr>
          <w:sz w:val="20"/>
          <w:szCs w:val="20"/>
          <w:color w:val="auto"/>
        </w:rPr>
      </w:pPr>
      <w:r>
        <w:rPr>
          <w:rFonts w:ascii="Times New Roman" w:cs="Times New Roman" w:eastAsia="Times New Roman" w:hAnsi="Times New Roman"/>
          <w:sz w:val="21"/>
          <w:szCs w:val="21"/>
          <w:color w:val="231F20"/>
        </w:rPr>
        <w:t>4.24 (4)    4.32% Senior Note, Series 2017B, due November 1, 2047, issued by Fitchburg Gas and Electric Light Company to The Great-West Life Assurance Company.</w:t>
      </w:r>
    </w:p>
    <w:p>
      <w:pPr>
        <w:spacing w:after="0" w:line="393" w:lineRule="exact"/>
        <w:rPr>
          <w:sz w:val="20"/>
          <w:szCs w:val="20"/>
          <w:color w:val="auto"/>
        </w:rPr>
      </w:pPr>
    </w:p>
    <w:p>
      <w:pPr>
        <w:jc w:val="center"/>
        <w:ind w:right="200"/>
        <w:spacing w:after="0" w:line="279" w:lineRule="auto"/>
        <w:rPr>
          <w:sz w:val="20"/>
          <w:szCs w:val="20"/>
          <w:color w:val="auto"/>
        </w:rPr>
      </w:pPr>
      <w:r>
        <w:rPr>
          <w:rFonts w:ascii="Times New Roman" w:cs="Times New Roman" w:eastAsia="Times New Roman" w:hAnsi="Times New Roman"/>
          <w:sz w:val="21"/>
          <w:szCs w:val="21"/>
          <w:color w:val="231F20"/>
        </w:rPr>
        <w:t>4.25 (4)    3.72% Senior Note, Series 2017A, due November 1, 2027, issued by Granite State Gas Transmission, Inc. to Thrivent Financial for Lutherans.</w:t>
      </w:r>
    </w:p>
    <w:p>
      <w:pPr>
        <w:spacing w:after="0" w:line="39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1"/>
          <w:szCs w:val="21"/>
          <w:color w:val="231F20"/>
        </w:rPr>
        <w:t>4.26</w:t>
      </w:r>
      <w:r>
        <w:rPr>
          <w:sz w:val="20"/>
          <w:szCs w:val="20"/>
          <w:color w:val="auto"/>
        </w:rPr>
        <w:tab/>
      </w:r>
      <w:r>
        <w:rPr>
          <w:rFonts w:ascii="Times New Roman" w:cs="Times New Roman" w:eastAsia="Times New Roman" w:hAnsi="Times New Roman"/>
          <w:sz w:val="20"/>
          <w:szCs w:val="20"/>
          <w:color w:val="231F20"/>
        </w:rPr>
        <w:t>Bond Purchase Agreement dated November 30, 2018 by and among Unitil</w:t>
      </w:r>
    </w:p>
    <w:p>
      <w:pPr>
        <w:spacing w:after="0" w:line="3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1"/>
          <w:szCs w:val="21"/>
          <w:color w:val="231F20"/>
        </w:rPr>
        <w:t>Energy Systems, Inc. and the several purchasers named therein for the</w:t>
      </w:r>
    </w:p>
    <w:p>
      <w:pPr>
        <w:ind w:left="1060"/>
        <w:spacing w:after="0"/>
        <w:rPr>
          <w:sz w:val="20"/>
          <w:szCs w:val="20"/>
          <w:color w:val="auto"/>
        </w:rPr>
      </w:pPr>
      <w:r>
        <w:rPr>
          <w:rFonts w:ascii="Times New Roman" w:cs="Times New Roman" w:eastAsia="Times New Roman" w:hAnsi="Times New Roman"/>
          <w:sz w:val="20"/>
          <w:szCs w:val="20"/>
          <w:color w:val="231F20"/>
        </w:rPr>
        <w:t>$30,000,000 aggregate principal amount of first mortgage bonds, Series Q, due</w:t>
      </w:r>
    </w:p>
    <w:p>
      <w:pPr>
        <w:spacing w:after="0" w:line="1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1"/>
          <w:szCs w:val="21"/>
          <w:color w:val="231F20"/>
        </w:rPr>
        <w:t>November 30, 2048.</w:t>
      </w:r>
    </w:p>
    <w:p>
      <w:pPr>
        <w:spacing w:after="0" w:line="20" w:lineRule="exact"/>
        <w:rPr>
          <w:sz w:val="20"/>
          <w:szCs w:val="20"/>
          <w:color w:val="auto"/>
        </w:rPr>
      </w:pPr>
      <w:r>
        <w:rPr>
          <w:sz w:val="20"/>
          <w:szCs w:val="20"/>
          <w:color w:val="auto"/>
        </w:rPr>
        <w:br w:type="column"/>
      </w:r>
    </w:p>
    <w:p>
      <w:pPr>
        <w:spacing w:after="0" w:line="305" w:lineRule="auto"/>
        <w:rPr>
          <w:sz w:val="20"/>
          <w:szCs w:val="20"/>
          <w:color w:val="auto"/>
        </w:rPr>
      </w:pPr>
      <w:r>
        <w:rPr>
          <w:rFonts w:ascii="Times New Roman" w:cs="Times New Roman" w:eastAsia="Times New Roman" w:hAnsi="Times New Roman"/>
          <w:sz w:val="20"/>
          <w:szCs w:val="20"/>
          <w:color w:val="231F20"/>
        </w:rPr>
        <w:t>Exhibit 4.3 to Form 8-K dated July 14, 2017 (SEC File No. 1-8858)</w:t>
      </w:r>
    </w:p>
    <w:p>
      <w:pPr>
        <w:spacing w:after="0" w:line="370"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1"/>
          <w:szCs w:val="21"/>
          <w:color w:val="231F20"/>
        </w:rPr>
        <w:t>Exhibit 4.2 to Form 8-K dated November 1, 2017 (SEC File No. 1-8858)</w:t>
      </w:r>
    </w:p>
    <w:p>
      <w:pPr>
        <w:spacing w:after="0" w:line="17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1"/>
          <w:szCs w:val="21"/>
          <w:color w:val="231F20"/>
        </w:rPr>
        <w:t>Exhibit 4.3 to Form 8-K dated November 1, 2017 (SEC File No. 1-8858)</w:t>
      </w:r>
    </w:p>
    <w:p>
      <w:pPr>
        <w:spacing w:after="0" w:line="17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1"/>
          <w:szCs w:val="21"/>
          <w:color w:val="231F20"/>
        </w:rPr>
        <w:t>Exhibit 4.5 to Form 8-K dated November 1, 2017 (SEC File No. 1-8858)</w:t>
      </w:r>
    </w:p>
    <w:p>
      <w:pPr>
        <w:spacing w:after="0" w:line="17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1"/>
          <w:szCs w:val="21"/>
          <w:color w:val="231F20"/>
        </w:rPr>
        <w:t>Exhibit 4.6 to Form 8-K dated November 1, 2017 (SEC File No. 1-8858)</w:t>
      </w:r>
    </w:p>
    <w:p>
      <w:pPr>
        <w:spacing w:after="0" w:line="17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1"/>
          <w:szCs w:val="21"/>
          <w:color w:val="231F20"/>
        </w:rPr>
        <w:t>Exhibit 4.8 to Form 8-K dated November 1, 2017 (SEC File No. 1-8858)</w:t>
      </w:r>
    </w:p>
    <w:p>
      <w:pPr>
        <w:spacing w:after="0" w:line="17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1"/>
          <w:szCs w:val="21"/>
          <w:color w:val="231F20"/>
        </w:rPr>
        <w:t>Exhibit 4.1 to Form 8-K dated November 30, 2018 (SEC File No. 1-8858)</w:t>
      </w:r>
    </w:p>
    <w:p>
      <w:pPr>
        <w:spacing w:after="0" w:line="414" w:lineRule="exact"/>
        <w:rPr>
          <w:sz w:val="20"/>
          <w:szCs w:val="20"/>
          <w:color w:val="auto"/>
        </w:rPr>
      </w:pPr>
    </w:p>
    <w:p>
      <w:pPr>
        <w:sectPr>
          <w:pgSz w:w="12240" w:h="15840" w:orient="portrait"/>
          <w:cols w:equalWidth="0" w:num="2">
            <w:col w:w="7700" w:space="140"/>
            <w:col w:w="2940"/>
          </w:cols>
          <w:pgMar w:left="720" w:top="930" w:right="740" w:bottom="188" w:gutter="0" w:footer="0" w:header="0"/>
          <w:type w:val="continuous"/>
        </w:sectPr>
      </w:pP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96</w:t>
      </w:r>
    </w:p>
    <w:p>
      <w:pPr>
        <w:sectPr>
          <w:pgSz w:w="12240" w:h="15840" w:orient="portrait"/>
          <w:cols w:equalWidth="0" w:num="1">
            <w:col w:w="10780"/>
          </w:cols>
          <w:pgMar w:left="720" w:top="930" w:right="740" w:bottom="188" w:gutter="0" w:footer="0" w:header="0"/>
          <w:type w:val="continuous"/>
        </w:sectPr>
      </w:pPr>
    </w:p>
    <w:bookmarkStart w:id="116" w:name="page117"/>
    <w:bookmarkEnd w:id="116"/>
    <w:p>
      <w:pPr>
        <w:ind w:left="280"/>
        <w:spacing w:after="0"/>
        <w:rPr>
          <w:sz w:val="20"/>
          <w:szCs w:val="20"/>
          <w:color w:val="auto"/>
        </w:rPr>
      </w:pPr>
      <w:r>
        <w:rPr>
          <w:rFonts w:ascii="Times New Roman" w:cs="Times New Roman" w:eastAsia="Times New Roman" w:hAnsi="Times New Roman"/>
          <w:sz w:val="16"/>
          <w:szCs w:val="16"/>
          <w:b w:val="1"/>
          <w:bCs w:val="1"/>
          <w:u w:val="single" w:color="auto"/>
          <w:color w:val="231F20"/>
        </w:rPr>
        <w:t>Exhibit</w:t>
      </w:r>
    </w:p>
    <w:p>
      <w:pPr>
        <w:spacing w:after="0" w:line="26" w:lineRule="exact"/>
        <w:rPr>
          <w:sz w:val="20"/>
          <w:szCs w:val="20"/>
          <w:color w:val="auto"/>
        </w:rPr>
      </w:pPr>
    </w:p>
    <w:p>
      <w:pPr>
        <w:ind w:left="240"/>
        <w:spacing w:after="0"/>
        <w:tabs>
          <w:tab w:leader="none" w:pos="3620" w:val="left"/>
          <w:tab w:leader="none" w:pos="8840" w:val="left"/>
        </w:tabs>
        <w:rPr>
          <w:sz w:val="20"/>
          <w:szCs w:val="20"/>
          <w:color w:val="auto"/>
        </w:rPr>
      </w:pPr>
      <w:r>
        <w:rPr>
          <w:rFonts w:ascii="Times New Roman" w:cs="Times New Roman" w:eastAsia="Times New Roman" w:hAnsi="Times New Roman"/>
          <w:sz w:val="16"/>
          <w:szCs w:val="16"/>
          <w:b w:val="1"/>
          <w:bCs w:val="1"/>
          <w:u w:val="single" w:color="auto"/>
          <w:color w:val="231F20"/>
        </w:rPr>
        <w:t>Number</w:t>
      </w:r>
      <w:r>
        <w:rPr>
          <w:sz w:val="20"/>
          <w:szCs w:val="20"/>
          <w:color w:val="auto"/>
        </w:rPr>
        <w:tab/>
      </w:r>
      <w:r>
        <w:rPr>
          <w:rFonts w:ascii="Times New Roman" w:cs="Times New Roman" w:eastAsia="Times New Roman" w:hAnsi="Times New Roman"/>
          <w:sz w:val="16"/>
          <w:szCs w:val="16"/>
          <w:b w:val="1"/>
          <w:bCs w:val="1"/>
          <w:u w:val="single" w:color="auto"/>
          <w:color w:val="231F20"/>
        </w:rPr>
        <w:t>Description of Exhibit</w:t>
      </w:r>
      <w:r>
        <w:rPr>
          <w:sz w:val="20"/>
          <w:szCs w:val="20"/>
          <w:color w:val="auto"/>
        </w:rPr>
        <w:tab/>
      </w:r>
      <w:r>
        <w:rPr>
          <w:rFonts w:ascii="Times New Roman" w:cs="Times New Roman" w:eastAsia="Times New Roman" w:hAnsi="Times New Roman"/>
          <w:sz w:val="16"/>
          <w:szCs w:val="16"/>
          <w:b w:val="1"/>
          <w:bCs w:val="1"/>
          <w:u w:val="single" w:color="auto"/>
          <w:color w:val="231F20"/>
        </w:rPr>
        <w:t>Reference (1)</w:t>
      </w:r>
    </w:p>
    <w:p>
      <w:pPr>
        <w:sectPr>
          <w:pgSz w:w="12240" w:h="15840" w:orient="portrait"/>
          <w:cols w:equalWidth="0" w:num="1">
            <w:col w:w="10760"/>
          </w:cols>
          <w:pgMar w:left="720" w:top="930" w:right="760" w:bottom="188" w:gutter="0" w:footer="0" w:header="0"/>
        </w:sectPr>
      </w:pPr>
    </w:p>
    <w:p>
      <w:pPr>
        <w:spacing w:after="0" w:line="200" w:lineRule="exact"/>
        <w:rPr>
          <w:sz w:val="20"/>
          <w:szCs w:val="20"/>
          <w:color w:val="auto"/>
        </w:rPr>
      </w:pPr>
    </w:p>
    <w:p>
      <w:pPr>
        <w:spacing w:after="0" w:line="232" w:lineRule="exact"/>
        <w:rPr>
          <w:sz w:val="20"/>
          <w:szCs w:val="20"/>
          <w:color w:val="auto"/>
        </w:rPr>
      </w:pPr>
    </w:p>
    <w:p>
      <w:pPr>
        <w:jc w:val="right"/>
        <w:ind w:right="80"/>
        <w:spacing w:after="0" w:line="279" w:lineRule="auto"/>
        <w:rPr>
          <w:sz w:val="20"/>
          <w:szCs w:val="20"/>
          <w:color w:val="auto"/>
        </w:rPr>
      </w:pPr>
      <w:r>
        <w:rPr>
          <w:rFonts w:ascii="Times New Roman" w:cs="Times New Roman" w:eastAsia="Times New Roman" w:hAnsi="Times New Roman"/>
          <w:sz w:val="21"/>
          <w:szCs w:val="21"/>
          <w:color w:val="231F20"/>
        </w:rPr>
        <w:t>4.27       Fifteenth Supplemental Indenture dated November 29, 2018 by and between Unitil Energy Systems, Inc. and U.S. Bank National Association (as trustee).</w:t>
      </w:r>
    </w:p>
    <w:p>
      <w:pPr>
        <w:spacing w:after="0" w:line="393" w:lineRule="exact"/>
        <w:rPr>
          <w:sz w:val="20"/>
          <w:szCs w:val="20"/>
          <w:color w:val="auto"/>
        </w:rPr>
      </w:pPr>
    </w:p>
    <w:p>
      <w:pPr>
        <w:jc w:val="right"/>
        <w:ind w:right="300"/>
        <w:spacing w:after="0" w:line="279" w:lineRule="auto"/>
        <w:rPr>
          <w:sz w:val="20"/>
          <w:szCs w:val="20"/>
          <w:color w:val="auto"/>
        </w:rPr>
      </w:pPr>
      <w:r>
        <w:rPr>
          <w:rFonts w:ascii="Times New Roman" w:cs="Times New Roman" w:eastAsia="Times New Roman" w:hAnsi="Times New Roman"/>
          <w:sz w:val="21"/>
          <w:szCs w:val="21"/>
          <w:color w:val="231F20"/>
        </w:rPr>
        <w:t>4.28 (4)    First Mortgage Bond, Series Q, 4.18%, due November 30, 2048, issued by Unitil Energy Systems, Inc. to United of Omaha Life Insurance Company.</w:t>
      </w:r>
    </w:p>
    <w:p>
      <w:pPr>
        <w:spacing w:after="0" w:line="200" w:lineRule="exact"/>
        <w:rPr>
          <w:sz w:val="20"/>
          <w:szCs w:val="20"/>
          <w:color w:val="auto"/>
        </w:rPr>
      </w:pPr>
    </w:p>
    <w:p>
      <w:pPr>
        <w:spacing w:after="0" w:line="205" w:lineRule="exact"/>
        <w:rPr>
          <w:sz w:val="20"/>
          <w:szCs w:val="20"/>
          <w:color w:val="auto"/>
        </w:rPr>
      </w:pPr>
    </w:p>
    <w:p>
      <w:pPr>
        <w:ind w:left="1060" w:right="60" w:hanging="1052"/>
        <w:spacing w:after="0" w:line="279" w:lineRule="auto"/>
        <w:tabs>
          <w:tab w:leader="none" w:pos="1040" w:val="left"/>
        </w:tabs>
        <w:rPr>
          <w:sz w:val="20"/>
          <w:szCs w:val="20"/>
          <w:color w:val="auto"/>
        </w:rPr>
      </w:pPr>
      <w:r>
        <w:rPr>
          <w:rFonts w:ascii="Times New Roman" w:cs="Times New Roman" w:eastAsia="Times New Roman" w:hAnsi="Times New Roman"/>
          <w:sz w:val="21"/>
          <w:szCs w:val="21"/>
          <w:color w:val="231F20"/>
        </w:rPr>
        <w:t>4.29</w:t>
      </w:r>
      <w:r>
        <w:rPr>
          <w:sz w:val="20"/>
          <w:szCs w:val="20"/>
          <w:color w:val="auto"/>
        </w:rPr>
        <w:tab/>
      </w:r>
      <w:r>
        <w:rPr>
          <w:rFonts w:ascii="Times New Roman" w:cs="Times New Roman" w:eastAsia="Times New Roman" w:hAnsi="Times New Roman"/>
          <w:sz w:val="21"/>
          <w:szCs w:val="21"/>
          <w:color w:val="231F20"/>
        </w:rPr>
        <w:t>Note Purchase Agreement dated September 12, 2019 by and among Northern Utilities, Inc. and the several purchasers named therein.</w:t>
      </w:r>
    </w:p>
    <w:p>
      <w:pPr>
        <w:spacing w:after="0" w:line="393" w:lineRule="exact"/>
        <w:rPr>
          <w:sz w:val="20"/>
          <w:szCs w:val="20"/>
          <w:color w:val="auto"/>
        </w:rPr>
      </w:pPr>
    </w:p>
    <w:p>
      <w:pPr>
        <w:ind w:left="1060" w:right="20" w:hanging="1052"/>
        <w:spacing w:after="0" w:line="279" w:lineRule="auto"/>
        <w:tabs>
          <w:tab w:leader="none" w:pos="1040" w:val="left"/>
        </w:tabs>
        <w:rPr>
          <w:sz w:val="20"/>
          <w:szCs w:val="20"/>
          <w:color w:val="auto"/>
        </w:rPr>
      </w:pPr>
      <w:r>
        <w:rPr>
          <w:rFonts w:ascii="Times New Roman" w:cs="Times New Roman" w:eastAsia="Times New Roman" w:hAnsi="Times New Roman"/>
          <w:sz w:val="21"/>
          <w:szCs w:val="21"/>
          <w:color w:val="231F20"/>
        </w:rPr>
        <w:t>4.30 (4)</w:t>
      </w:r>
      <w:r>
        <w:rPr>
          <w:sz w:val="20"/>
          <w:szCs w:val="20"/>
          <w:color w:val="auto"/>
        </w:rPr>
        <w:tab/>
      </w:r>
      <w:r>
        <w:rPr>
          <w:rFonts w:ascii="Times New Roman" w:cs="Times New Roman" w:eastAsia="Times New Roman" w:hAnsi="Times New Roman"/>
          <w:sz w:val="21"/>
          <w:szCs w:val="21"/>
          <w:color w:val="231F20"/>
        </w:rPr>
        <w:t>4.04% Senior Note, Series 2019, due September 12, 2049, issued by Northern Utilities, Inc. to Pacific Life Insurance Company.</w:t>
      </w:r>
    </w:p>
    <w:p>
      <w:pPr>
        <w:spacing w:after="0" w:line="393" w:lineRule="exact"/>
        <w:rPr>
          <w:sz w:val="20"/>
          <w:szCs w:val="20"/>
          <w:color w:val="auto"/>
        </w:rPr>
      </w:pPr>
    </w:p>
    <w:p>
      <w:pPr>
        <w:ind w:left="1060" w:right="360" w:hanging="1052"/>
        <w:spacing w:after="0" w:line="279" w:lineRule="auto"/>
        <w:tabs>
          <w:tab w:leader="none" w:pos="1040" w:val="left"/>
        </w:tabs>
        <w:rPr>
          <w:sz w:val="20"/>
          <w:szCs w:val="20"/>
          <w:color w:val="auto"/>
        </w:rPr>
      </w:pPr>
      <w:r>
        <w:rPr>
          <w:rFonts w:ascii="Times New Roman" w:cs="Times New Roman" w:eastAsia="Times New Roman" w:hAnsi="Times New Roman"/>
          <w:sz w:val="21"/>
          <w:szCs w:val="21"/>
          <w:color w:val="231F20"/>
        </w:rPr>
        <w:t>4.31</w:t>
      </w:r>
      <w:r>
        <w:rPr>
          <w:sz w:val="20"/>
          <w:szCs w:val="20"/>
          <w:color w:val="auto"/>
        </w:rPr>
        <w:tab/>
      </w:r>
      <w:r>
        <w:rPr>
          <w:rFonts w:ascii="Times New Roman" w:cs="Times New Roman" w:eastAsia="Times New Roman" w:hAnsi="Times New Roman"/>
          <w:sz w:val="21"/>
          <w:szCs w:val="21"/>
          <w:color w:val="231F20"/>
        </w:rPr>
        <w:t>Note Purchase Agreement dated December 18, 2019 by and among Unitil Corporation and the several purchasers named therein.</w:t>
      </w:r>
    </w:p>
    <w:p>
      <w:pPr>
        <w:spacing w:after="0" w:line="393" w:lineRule="exact"/>
        <w:rPr>
          <w:sz w:val="20"/>
          <w:szCs w:val="20"/>
          <w:color w:val="auto"/>
        </w:rPr>
      </w:pPr>
    </w:p>
    <w:p>
      <w:pPr>
        <w:ind w:left="1060" w:right="320" w:hanging="1052"/>
        <w:spacing w:after="0" w:line="259" w:lineRule="auto"/>
        <w:tabs>
          <w:tab w:leader="none" w:pos="1040" w:val="left"/>
        </w:tabs>
        <w:rPr>
          <w:sz w:val="20"/>
          <w:szCs w:val="20"/>
          <w:color w:val="auto"/>
        </w:rPr>
      </w:pPr>
      <w:r>
        <w:rPr>
          <w:rFonts w:ascii="Times New Roman" w:cs="Times New Roman" w:eastAsia="Times New Roman" w:hAnsi="Times New Roman"/>
          <w:sz w:val="21"/>
          <w:szCs w:val="21"/>
          <w:color w:val="231F20"/>
        </w:rPr>
        <w:t>4.32 (4)</w:t>
      </w:r>
      <w:r>
        <w:rPr>
          <w:sz w:val="20"/>
          <w:szCs w:val="20"/>
          <w:color w:val="auto"/>
        </w:rPr>
        <w:tab/>
      </w:r>
      <w:r>
        <w:rPr>
          <w:rFonts w:ascii="Times New Roman" w:cs="Times New Roman" w:eastAsia="Times New Roman" w:hAnsi="Times New Roman"/>
          <w:sz w:val="21"/>
          <w:szCs w:val="21"/>
          <w:color w:val="231F20"/>
        </w:rPr>
        <w:t>3.43% Senior Note, Series 2019, due December 18, 2029, issued by Unitil Corporation to CHIMEFISH &amp; CO, as nominee for American Equity Investment Life Insurance Company.</w:t>
      </w:r>
    </w:p>
    <w:p>
      <w:pPr>
        <w:spacing w:after="0" w:line="173" w:lineRule="exact"/>
        <w:rPr>
          <w:sz w:val="20"/>
          <w:szCs w:val="20"/>
          <w:color w:val="auto"/>
        </w:rPr>
      </w:pPr>
    </w:p>
    <w:p>
      <w:pPr>
        <w:ind w:left="1060" w:right="60" w:hanging="1052"/>
        <w:spacing w:after="0" w:line="279" w:lineRule="auto"/>
        <w:tabs>
          <w:tab w:leader="none" w:pos="1040" w:val="left"/>
        </w:tabs>
        <w:rPr>
          <w:sz w:val="20"/>
          <w:szCs w:val="20"/>
          <w:color w:val="auto"/>
        </w:rPr>
      </w:pPr>
      <w:r>
        <w:rPr>
          <w:rFonts w:ascii="Times New Roman" w:cs="Times New Roman" w:eastAsia="Times New Roman" w:hAnsi="Times New Roman"/>
          <w:sz w:val="21"/>
          <w:szCs w:val="21"/>
          <w:color w:val="231F20"/>
        </w:rPr>
        <w:t>4.33</w:t>
      </w:r>
      <w:r>
        <w:rPr>
          <w:sz w:val="20"/>
          <w:szCs w:val="20"/>
          <w:color w:val="auto"/>
        </w:rPr>
        <w:tab/>
      </w:r>
      <w:r>
        <w:rPr>
          <w:rFonts w:ascii="Times New Roman" w:cs="Times New Roman" w:eastAsia="Times New Roman" w:hAnsi="Times New Roman"/>
          <w:sz w:val="21"/>
          <w:szCs w:val="21"/>
          <w:color w:val="231F20"/>
        </w:rPr>
        <w:t>Note Purchase Agreement dated September 15, 2020 by and among Northern Utilities, Inc. and the several purchasers named therein.</w:t>
      </w:r>
    </w:p>
    <w:p>
      <w:pPr>
        <w:spacing w:after="0" w:line="393" w:lineRule="exact"/>
        <w:rPr>
          <w:sz w:val="20"/>
          <w:szCs w:val="20"/>
          <w:color w:val="auto"/>
        </w:rPr>
      </w:pPr>
    </w:p>
    <w:p>
      <w:pPr>
        <w:ind w:left="1060" w:right="20" w:hanging="1052"/>
        <w:spacing w:after="0" w:line="279" w:lineRule="auto"/>
        <w:tabs>
          <w:tab w:leader="none" w:pos="1040" w:val="left"/>
        </w:tabs>
        <w:rPr>
          <w:sz w:val="20"/>
          <w:szCs w:val="20"/>
          <w:color w:val="auto"/>
        </w:rPr>
      </w:pPr>
      <w:r>
        <w:rPr>
          <w:rFonts w:ascii="Times New Roman" w:cs="Times New Roman" w:eastAsia="Times New Roman" w:hAnsi="Times New Roman"/>
          <w:sz w:val="21"/>
          <w:szCs w:val="21"/>
          <w:color w:val="231F20"/>
        </w:rPr>
        <w:t>4.34 (4)</w:t>
      </w:r>
      <w:r>
        <w:rPr>
          <w:sz w:val="20"/>
          <w:szCs w:val="20"/>
          <w:color w:val="auto"/>
        </w:rPr>
        <w:tab/>
      </w:r>
      <w:r>
        <w:rPr>
          <w:rFonts w:ascii="Times New Roman" w:cs="Times New Roman" w:eastAsia="Times New Roman" w:hAnsi="Times New Roman"/>
          <w:sz w:val="21"/>
          <w:szCs w:val="21"/>
          <w:color w:val="231F20"/>
        </w:rPr>
        <w:t>3.78% Senior Note, Series 2020, due September 15, 2040, issued by Northern Utilities, Inc. to Metropolitan Life Insurance Company.</w:t>
      </w:r>
    </w:p>
    <w:p>
      <w:pPr>
        <w:spacing w:after="0" w:line="393" w:lineRule="exact"/>
        <w:rPr>
          <w:sz w:val="20"/>
          <w:szCs w:val="20"/>
          <w:color w:val="auto"/>
        </w:rPr>
      </w:pPr>
    </w:p>
    <w:p>
      <w:pPr>
        <w:ind w:left="1060" w:hanging="1052"/>
        <w:spacing w:after="0" w:line="305" w:lineRule="auto"/>
        <w:tabs>
          <w:tab w:leader="none" w:pos="1040" w:val="left"/>
        </w:tabs>
        <w:rPr>
          <w:sz w:val="20"/>
          <w:szCs w:val="20"/>
          <w:color w:val="auto"/>
        </w:rPr>
      </w:pPr>
      <w:r>
        <w:rPr>
          <w:rFonts w:ascii="Times New Roman" w:cs="Times New Roman" w:eastAsia="Times New Roman" w:hAnsi="Times New Roman"/>
          <w:sz w:val="21"/>
          <w:szCs w:val="21"/>
          <w:color w:val="231F20"/>
        </w:rPr>
        <w:t>4.35</w:t>
      </w:r>
      <w:r>
        <w:rPr>
          <w:sz w:val="20"/>
          <w:szCs w:val="20"/>
          <w:color w:val="auto"/>
        </w:rPr>
        <w:tab/>
      </w:r>
      <w:r>
        <w:rPr>
          <w:rFonts w:ascii="Times New Roman" w:cs="Times New Roman" w:eastAsia="Times New Roman" w:hAnsi="Times New Roman"/>
          <w:sz w:val="20"/>
          <w:szCs w:val="20"/>
          <w:color w:val="231F20"/>
        </w:rPr>
        <w:t>Note Purchase Agreement dated September 15, 2020 by and among Fitchburg Gas and Electric Light Company and the several purchasers named therein.</w:t>
      </w:r>
    </w:p>
    <w:p>
      <w:pPr>
        <w:spacing w:after="0" w:line="370" w:lineRule="exact"/>
        <w:rPr>
          <w:sz w:val="20"/>
          <w:szCs w:val="20"/>
          <w:color w:val="auto"/>
        </w:rPr>
      </w:pPr>
    </w:p>
    <w:p>
      <w:pPr>
        <w:ind w:left="1060" w:right="360" w:hanging="1052"/>
        <w:spacing w:after="0" w:line="259" w:lineRule="auto"/>
        <w:tabs>
          <w:tab w:leader="none" w:pos="1040" w:val="left"/>
        </w:tabs>
        <w:rPr>
          <w:sz w:val="20"/>
          <w:szCs w:val="20"/>
          <w:color w:val="auto"/>
        </w:rPr>
      </w:pPr>
      <w:r>
        <w:rPr>
          <w:rFonts w:ascii="Times New Roman" w:cs="Times New Roman" w:eastAsia="Times New Roman" w:hAnsi="Times New Roman"/>
          <w:sz w:val="21"/>
          <w:szCs w:val="21"/>
          <w:color w:val="231F20"/>
        </w:rPr>
        <w:t>4.36 (4)</w:t>
      </w:r>
      <w:r>
        <w:rPr>
          <w:sz w:val="20"/>
          <w:szCs w:val="20"/>
          <w:color w:val="auto"/>
        </w:rPr>
        <w:tab/>
      </w:r>
      <w:r>
        <w:rPr>
          <w:rFonts w:ascii="Times New Roman" w:cs="Times New Roman" w:eastAsia="Times New Roman" w:hAnsi="Times New Roman"/>
          <w:sz w:val="21"/>
          <w:szCs w:val="21"/>
          <w:color w:val="231F20"/>
        </w:rPr>
        <w:t>3.78% Senior Note, Series 2020A, due September 15, 2040, issued by Fitchburg Gas and Electric Light Company to Brighthouse Life Insurance Company of NY.</w:t>
      </w:r>
    </w:p>
    <w:p>
      <w:pPr>
        <w:spacing w:after="0" w:line="173" w:lineRule="exact"/>
        <w:rPr>
          <w:sz w:val="20"/>
          <w:szCs w:val="20"/>
          <w:color w:val="auto"/>
        </w:rPr>
      </w:pPr>
    </w:p>
    <w:p>
      <w:pPr>
        <w:jc w:val="both"/>
        <w:ind w:left="1060" w:right="280" w:hanging="1052"/>
        <w:spacing w:after="0" w:line="259" w:lineRule="auto"/>
        <w:tabs>
          <w:tab w:leader="none" w:pos="1040" w:val="left"/>
        </w:tabs>
        <w:rPr>
          <w:sz w:val="20"/>
          <w:szCs w:val="20"/>
          <w:color w:val="auto"/>
        </w:rPr>
      </w:pPr>
      <w:r>
        <w:rPr>
          <w:rFonts w:ascii="Times New Roman" w:cs="Times New Roman" w:eastAsia="Times New Roman" w:hAnsi="Times New Roman"/>
          <w:sz w:val="21"/>
          <w:szCs w:val="21"/>
          <w:color w:val="231F20"/>
        </w:rPr>
        <w:t>4.37</w:t>
      </w:r>
      <w:r>
        <w:rPr>
          <w:sz w:val="20"/>
          <w:szCs w:val="20"/>
          <w:color w:val="auto"/>
        </w:rPr>
        <w:tab/>
      </w:r>
      <w:r>
        <w:rPr>
          <w:rFonts w:ascii="Times New Roman" w:cs="Times New Roman" w:eastAsia="Times New Roman" w:hAnsi="Times New Roman"/>
          <w:sz w:val="21"/>
          <w:szCs w:val="21"/>
          <w:color w:val="231F20"/>
        </w:rPr>
        <w:t>Bond Purchase Agreement dated September 15, 2020 by and among Unitil Energy Systems, Inc., U.S. Bank National Association (as trustee), and the several purchasers named therein.</w:t>
      </w:r>
    </w:p>
    <w:p>
      <w:pPr>
        <w:spacing w:after="0" w:line="173" w:lineRule="exact"/>
        <w:rPr>
          <w:sz w:val="20"/>
          <w:szCs w:val="20"/>
          <w:color w:val="auto"/>
        </w:rPr>
      </w:pPr>
    </w:p>
    <w:p>
      <w:pPr>
        <w:jc w:val="right"/>
        <w:ind w:right="100"/>
        <w:spacing w:after="0" w:line="279" w:lineRule="auto"/>
        <w:rPr>
          <w:sz w:val="20"/>
          <w:szCs w:val="20"/>
          <w:color w:val="auto"/>
        </w:rPr>
      </w:pPr>
      <w:r>
        <w:rPr>
          <w:rFonts w:ascii="Times New Roman" w:cs="Times New Roman" w:eastAsia="Times New Roman" w:hAnsi="Times New Roman"/>
          <w:sz w:val="21"/>
          <w:szCs w:val="21"/>
          <w:color w:val="231F20"/>
        </w:rPr>
        <w:t>4.38       Sixteenth Supplemental Indenture dated September 15, 2020 by and between Unitil Energy Systems, Inc. and U.S. Bank National Association (as trustee).</w:t>
      </w:r>
    </w:p>
    <w:p>
      <w:pPr>
        <w:spacing w:after="0" w:line="393" w:lineRule="exact"/>
        <w:rPr>
          <w:sz w:val="20"/>
          <w:szCs w:val="20"/>
          <w:color w:val="auto"/>
        </w:rPr>
      </w:pPr>
    </w:p>
    <w:p>
      <w:pPr>
        <w:ind w:left="1060" w:right="140" w:hanging="1052"/>
        <w:spacing w:after="0" w:line="259" w:lineRule="auto"/>
        <w:tabs>
          <w:tab w:leader="none" w:pos="1040" w:val="left"/>
        </w:tabs>
        <w:rPr>
          <w:sz w:val="20"/>
          <w:szCs w:val="20"/>
          <w:color w:val="auto"/>
        </w:rPr>
      </w:pPr>
      <w:r>
        <w:rPr>
          <w:rFonts w:ascii="Times New Roman" w:cs="Times New Roman" w:eastAsia="Times New Roman" w:hAnsi="Times New Roman"/>
          <w:sz w:val="21"/>
          <w:szCs w:val="21"/>
          <w:color w:val="231F20"/>
        </w:rPr>
        <w:t>4.39 (4)</w:t>
      </w:r>
      <w:r>
        <w:rPr>
          <w:sz w:val="20"/>
          <w:szCs w:val="20"/>
          <w:color w:val="auto"/>
        </w:rPr>
        <w:tab/>
      </w:r>
      <w:r>
        <w:rPr>
          <w:rFonts w:ascii="Times New Roman" w:cs="Times New Roman" w:eastAsia="Times New Roman" w:hAnsi="Times New Roman"/>
          <w:sz w:val="21"/>
          <w:szCs w:val="21"/>
          <w:color w:val="231F20"/>
        </w:rPr>
        <w:t>First Mortgage Bond, Series R, 3.58%, due September 15, 2040, issued by Unitil Energy Systems, Inc. to CUDD and CO (as nominee for Symetra Life Insurance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1"/>
          <w:szCs w:val="21"/>
          <w:color w:val="231F20"/>
        </w:rPr>
        <w:t>Exhibit 4.2 to Form 8-K dated November 30, 2018 (SEC File No. 1-8858)</w:t>
      </w:r>
    </w:p>
    <w:p>
      <w:pPr>
        <w:spacing w:after="0" w:line="17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1"/>
          <w:szCs w:val="21"/>
          <w:color w:val="231F20"/>
        </w:rPr>
        <w:t>Exhibit 4.3 to Form 8-K dated November 30, 2018 (SEC File No. 1-8858)</w:t>
      </w:r>
    </w:p>
    <w:p>
      <w:pPr>
        <w:spacing w:after="0" w:line="18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1"/>
          <w:szCs w:val="21"/>
          <w:color w:val="231F20"/>
        </w:rPr>
        <w:t>Exhibit 4.1 to Form 8-K dated September 12, 2019 (SEC File No. 1-8858)</w:t>
      </w:r>
    </w:p>
    <w:p>
      <w:pPr>
        <w:spacing w:after="0" w:line="17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1"/>
          <w:szCs w:val="21"/>
          <w:color w:val="231F20"/>
        </w:rPr>
        <w:t>Exhibit 4.2 to Form 8-K dated September 12, 2019 (SEC File No. 1-8858)</w:t>
      </w:r>
    </w:p>
    <w:p>
      <w:pPr>
        <w:spacing w:after="0" w:line="17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1"/>
          <w:szCs w:val="21"/>
          <w:color w:val="231F20"/>
        </w:rPr>
        <w:t>Exhibit 4.1 to Form 8-K dated December 18, 2019 (SEC File No. 1-8858)</w:t>
      </w:r>
    </w:p>
    <w:p>
      <w:pPr>
        <w:spacing w:after="0" w:line="17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1"/>
          <w:szCs w:val="21"/>
          <w:color w:val="231F20"/>
        </w:rPr>
        <w:t>Exhibit 4.2 to Form 8-K dated December 18, 2019 (SEC File No. 1-8858)</w:t>
      </w:r>
    </w:p>
    <w:p>
      <w:pPr>
        <w:spacing w:after="0" w:line="17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1"/>
          <w:szCs w:val="21"/>
          <w:color w:val="231F20"/>
        </w:rPr>
        <w:t>Exhibit 4.1 to Form 8-K dated September 15, 2020 (SEC File No. 1-8858)</w:t>
      </w:r>
    </w:p>
    <w:p>
      <w:pPr>
        <w:spacing w:after="0" w:line="17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1"/>
          <w:szCs w:val="21"/>
          <w:color w:val="231F20"/>
        </w:rPr>
        <w:t>Exhibit 4.2 to Form 8-K dated September 15, 2020 (SEC File No. 1-8858)</w:t>
      </w:r>
    </w:p>
    <w:p>
      <w:pPr>
        <w:spacing w:after="0" w:line="17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1"/>
          <w:szCs w:val="21"/>
          <w:color w:val="231F20"/>
        </w:rPr>
        <w:t>Exhibit 4.3 to Form 8-K dated September 15, 2020 (SEC File No. 1-8858)</w:t>
      </w:r>
    </w:p>
    <w:p>
      <w:pPr>
        <w:spacing w:after="0" w:line="17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1"/>
          <w:szCs w:val="21"/>
          <w:color w:val="231F20"/>
        </w:rPr>
        <w:t>Exhibit 4.4 to Form 8-K dated September 15, 2020 (SEC File No. 1-8858)</w:t>
      </w:r>
    </w:p>
    <w:p>
      <w:pPr>
        <w:spacing w:after="0" w:line="17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1"/>
          <w:szCs w:val="21"/>
          <w:color w:val="231F20"/>
        </w:rPr>
        <w:t>Exhibit 4.5 to Form 8-K dated September 15, 2020 (SEC File No. 1-8858)</w:t>
      </w:r>
    </w:p>
    <w:p>
      <w:pPr>
        <w:spacing w:after="0" w:line="17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1"/>
          <w:szCs w:val="21"/>
          <w:color w:val="231F20"/>
        </w:rPr>
        <w:t>Exhibit 4.6 to Form 8-K dated September 15, 2020 (SEC File No. 1-8858)</w:t>
      </w:r>
    </w:p>
    <w:p>
      <w:pPr>
        <w:spacing w:after="0" w:line="17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1"/>
          <w:szCs w:val="21"/>
          <w:color w:val="231F20"/>
        </w:rPr>
        <w:t>Exhibit 4.7 to Form 8-K dated September 15, 2020 (SEC File No. 1-8858)</w:t>
      </w:r>
    </w:p>
    <w:p>
      <w:pPr>
        <w:spacing w:after="0" w:line="200" w:lineRule="exact"/>
        <w:rPr>
          <w:sz w:val="20"/>
          <w:szCs w:val="20"/>
          <w:color w:val="auto"/>
        </w:rPr>
      </w:pPr>
    </w:p>
    <w:p>
      <w:pPr>
        <w:sectPr>
          <w:pgSz w:w="12240" w:h="15840" w:orient="portrait"/>
          <w:cols w:equalWidth="0" w:num="2">
            <w:col w:w="7620" w:space="220"/>
            <w:col w:w="2920"/>
          </w:cols>
          <w:pgMar w:left="720" w:top="930" w:right="760" w:bottom="18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97</w:t>
      </w:r>
    </w:p>
    <w:p>
      <w:pPr>
        <w:sectPr>
          <w:pgSz w:w="12240" w:h="15840" w:orient="portrait"/>
          <w:cols w:equalWidth="0" w:num="1">
            <w:col w:w="10760"/>
          </w:cols>
          <w:pgMar w:left="720" w:top="930" w:right="760" w:bottom="188" w:gutter="0" w:footer="0" w:header="0"/>
          <w:type w:val="continuous"/>
        </w:sectPr>
      </w:pPr>
    </w:p>
    <w:bookmarkStart w:id="117" w:name="page118"/>
    <w:bookmarkEnd w:id="117"/>
    <w:p>
      <w:pPr>
        <w:ind w:left="280"/>
        <w:spacing w:after="0"/>
        <w:rPr>
          <w:sz w:val="20"/>
          <w:szCs w:val="20"/>
          <w:color w:val="auto"/>
        </w:rPr>
      </w:pPr>
      <w:r>
        <w:rPr>
          <w:rFonts w:ascii="Times New Roman" w:cs="Times New Roman" w:eastAsia="Times New Roman" w:hAnsi="Times New Roman"/>
          <w:sz w:val="16"/>
          <w:szCs w:val="16"/>
          <w:b w:val="1"/>
          <w:bCs w:val="1"/>
          <w:u w:val="single" w:color="auto"/>
          <w:color w:val="231F20"/>
        </w:rPr>
        <w:t>Exhibit</w:t>
      </w:r>
    </w:p>
    <w:p>
      <w:pPr>
        <w:spacing w:after="0" w:line="26" w:lineRule="exact"/>
        <w:rPr>
          <w:sz w:val="20"/>
          <w:szCs w:val="20"/>
          <w:color w:val="auto"/>
        </w:rPr>
      </w:pPr>
    </w:p>
    <w:p>
      <w:pPr>
        <w:ind w:left="240"/>
        <w:spacing w:after="0"/>
        <w:tabs>
          <w:tab w:leader="none" w:pos="3620" w:val="left"/>
          <w:tab w:leader="none" w:pos="8840" w:val="left"/>
        </w:tabs>
        <w:rPr>
          <w:sz w:val="20"/>
          <w:szCs w:val="20"/>
          <w:color w:val="auto"/>
        </w:rPr>
      </w:pPr>
      <w:r>
        <w:rPr>
          <w:rFonts w:ascii="Times New Roman" w:cs="Times New Roman" w:eastAsia="Times New Roman" w:hAnsi="Times New Roman"/>
          <w:sz w:val="16"/>
          <w:szCs w:val="16"/>
          <w:b w:val="1"/>
          <w:bCs w:val="1"/>
          <w:u w:val="single" w:color="auto"/>
          <w:color w:val="231F20"/>
        </w:rPr>
        <w:t>Number</w:t>
      </w:r>
      <w:r>
        <w:rPr>
          <w:sz w:val="20"/>
          <w:szCs w:val="20"/>
          <w:color w:val="auto"/>
        </w:rPr>
        <w:tab/>
      </w:r>
      <w:r>
        <w:rPr>
          <w:rFonts w:ascii="Times New Roman" w:cs="Times New Roman" w:eastAsia="Times New Roman" w:hAnsi="Times New Roman"/>
          <w:sz w:val="16"/>
          <w:szCs w:val="16"/>
          <w:b w:val="1"/>
          <w:bCs w:val="1"/>
          <w:u w:val="single" w:color="auto"/>
          <w:color w:val="231F20"/>
        </w:rPr>
        <w:t>Description of Exhibit</w:t>
      </w:r>
      <w:r>
        <w:rPr>
          <w:sz w:val="20"/>
          <w:szCs w:val="20"/>
          <w:color w:val="auto"/>
        </w:rPr>
        <w:tab/>
      </w:r>
      <w:r>
        <w:rPr>
          <w:rFonts w:ascii="Times New Roman" w:cs="Times New Roman" w:eastAsia="Times New Roman" w:hAnsi="Times New Roman"/>
          <w:sz w:val="16"/>
          <w:szCs w:val="16"/>
          <w:b w:val="1"/>
          <w:bCs w:val="1"/>
          <w:u w:val="single" w:color="auto"/>
          <w:color w:val="231F20"/>
        </w:rPr>
        <w:t>Reference (1)</w:t>
      </w:r>
    </w:p>
    <w:p>
      <w:pPr>
        <w:sectPr>
          <w:pgSz w:w="12240" w:h="15840" w:orient="portrait"/>
          <w:cols w:equalWidth="0" w:num="1">
            <w:col w:w="10780"/>
          </w:cols>
          <w:pgMar w:left="720" w:top="930" w:right="740" w:bottom="188" w:gutter="0" w:footer="0" w:header="0"/>
        </w:sectPr>
      </w:pPr>
    </w:p>
    <w:p>
      <w:pPr>
        <w:spacing w:after="0" w:line="202" w:lineRule="exact"/>
        <w:rPr>
          <w:sz w:val="20"/>
          <w:szCs w:val="20"/>
          <w:color w:val="auto"/>
        </w:rPr>
      </w:pPr>
    </w:p>
    <w:p>
      <w:pPr>
        <w:ind w:left="1060" w:right="140" w:hanging="1052"/>
        <w:spacing w:after="0" w:line="259" w:lineRule="auto"/>
        <w:tabs>
          <w:tab w:leader="none" w:pos="1040" w:val="left"/>
        </w:tabs>
        <w:rPr>
          <w:sz w:val="20"/>
          <w:szCs w:val="20"/>
          <w:color w:val="auto"/>
        </w:rPr>
      </w:pPr>
      <w:r>
        <w:rPr>
          <w:rFonts w:ascii="Times New Roman" w:cs="Times New Roman" w:eastAsia="Times New Roman" w:hAnsi="Times New Roman"/>
          <w:sz w:val="21"/>
          <w:szCs w:val="21"/>
          <w:color w:val="231F20"/>
        </w:rPr>
        <w:t>4.40 (5)</w:t>
      </w:r>
      <w:r>
        <w:rPr>
          <w:sz w:val="20"/>
          <w:szCs w:val="20"/>
          <w:color w:val="auto"/>
        </w:rPr>
        <w:tab/>
      </w:r>
      <w:r>
        <w:rPr>
          <w:rFonts w:ascii="Times New Roman" w:cs="Times New Roman" w:eastAsia="Times New Roman" w:hAnsi="Times New Roman"/>
          <w:sz w:val="21"/>
          <w:szCs w:val="21"/>
          <w:color w:val="231F20"/>
        </w:rPr>
        <w:t>Bond Purchase Agreement dated August 21, 2024 by and among Unitil Energy Systems, Inc., U.S. Bank Trust Company, National Association (as trustee) and the several purchasers named therein.</w:t>
      </w:r>
    </w:p>
    <w:p>
      <w:pPr>
        <w:spacing w:after="0" w:line="173" w:lineRule="exact"/>
        <w:rPr>
          <w:sz w:val="20"/>
          <w:szCs w:val="20"/>
          <w:color w:val="auto"/>
        </w:rPr>
      </w:pPr>
    </w:p>
    <w:p>
      <w:pPr>
        <w:ind w:left="1060" w:hanging="1052"/>
        <w:spacing w:after="0" w:line="259" w:lineRule="auto"/>
        <w:tabs>
          <w:tab w:leader="none" w:pos="1040" w:val="left"/>
        </w:tabs>
        <w:rPr>
          <w:sz w:val="20"/>
          <w:szCs w:val="20"/>
          <w:color w:val="auto"/>
        </w:rPr>
      </w:pPr>
      <w:r>
        <w:rPr>
          <w:rFonts w:ascii="Times New Roman" w:cs="Times New Roman" w:eastAsia="Times New Roman" w:hAnsi="Times New Roman"/>
          <w:sz w:val="21"/>
          <w:szCs w:val="21"/>
          <w:color w:val="231F20"/>
        </w:rPr>
        <w:t>4.41</w:t>
      </w:r>
      <w:r>
        <w:rPr>
          <w:sz w:val="20"/>
          <w:szCs w:val="20"/>
          <w:color w:val="auto"/>
        </w:rPr>
        <w:tab/>
      </w:r>
      <w:r>
        <w:rPr>
          <w:rFonts w:ascii="Times New Roman" w:cs="Times New Roman" w:eastAsia="Times New Roman" w:hAnsi="Times New Roman"/>
          <w:sz w:val="21"/>
          <w:szCs w:val="21"/>
          <w:color w:val="231F20"/>
        </w:rPr>
        <w:t>Seventeenth Supplemental Indenture dated August 21, 2024 by and between Unitil Energy Systems, Inc. and U.S. Bank Trust Company, National Association (as trustee)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1"/>
          <w:szCs w:val="21"/>
          <w:color w:val="231F20"/>
        </w:rPr>
        <w:t>Exhibit 4.11 to Form 8-K for August 21, 2024 (SEC File No. 1-8858)</w:t>
      </w:r>
    </w:p>
    <w:p>
      <w:pPr>
        <w:spacing w:after="0" w:line="17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1"/>
          <w:szCs w:val="21"/>
          <w:color w:val="231F20"/>
        </w:rPr>
        <w:t>Exhibit 4.12 to Form 8-K for August 21, 2024 (SEC File No. 1-8858)</w:t>
      </w:r>
    </w:p>
    <w:p>
      <w:pPr>
        <w:spacing w:after="0" w:line="173" w:lineRule="exact"/>
        <w:rPr>
          <w:sz w:val="20"/>
          <w:szCs w:val="20"/>
          <w:color w:val="auto"/>
        </w:rPr>
      </w:pPr>
    </w:p>
    <w:p>
      <w:pPr>
        <w:sectPr>
          <w:pgSz w:w="12240" w:h="15840" w:orient="portrait"/>
          <w:cols w:equalWidth="0" w:num="2">
            <w:col w:w="7480" w:space="360"/>
            <w:col w:w="2940"/>
          </w:cols>
          <w:pgMar w:left="720" w:top="930" w:right="740" w:bottom="188" w:gutter="0" w:footer="0" w:header="0"/>
          <w:type w:val="continuous"/>
        </w:sectPr>
      </w:pPr>
    </w:p>
    <w:p>
      <w:pPr>
        <w:ind w:left="1060" w:hanging="1052"/>
        <w:spacing w:after="0" w:line="305" w:lineRule="auto"/>
        <w:tabs>
          <w:tab w:leader="none" w:pos="1040" w:val="left"/>
        </w:tabs>
        <w:rPr>
          <w:sz w:val="20"/>
          <w:szCs w:val="20"/>
          <w:color w:val="auto"/>
        </w:rPr>
      </w:pPr>
      <w:r>
        <w:rPr>
          <w:rFonts w:ascii="Times New Roman" w:cs="Times New Roman" w:eastAsia="Times New Roman" w:hAnsi="Times New Roman"/>
          <w:sz w:val="21"/>
          <w:szCs w:val="21"/>
          <w:color w:val="231F20"/>
        </w:rPr>
        <w:t>4.42 (4)</w:t>
      </w:r>
      <w:r>
        <w:rPr>
          <w:sz w:val="20"/>
          <w:szCs w:val="20"/>
          <w:color w:val="auto"/>
        </w:rPr>
        <w:tab/>
      </w:r>
      <w:r>
        <w:rPr>
          <w:rFonts w:ascii="Times New Roman" w:cs="Times New Roman" w:eastAsia="Times New Roman" w:hAnsi="Times New Roman"/>
          <w:sz w:val="20"/>
          <w:szCs w:val="20"/>
          <w:color w:val="231F20"/>
        </w:rPr>
        <w:t>First Mortgage Bond, Series S, 5.69%, due August 21, 2054, issued by Unitil Energy Systems, Inc. to Metlife Reinsurance Company of Hamilton, Ltd.</w:t>
      </w:r>
    </w:p>
    <w:p>
      <w:pPr>
        <w:spacing w:after="0" w:line="20" w:lineRule="exact"/>
        <w:rPr>
          <w:sz w:val="20"/>
          <w:szCs w:val="20"/>
          <w:color w:val="auto"/>
        </w:rPr>
      </w:pPr>
      <w:r>
        <w:rPr>
          <w:sz w:val="20"/>
          <w:szCs w:val="20"/>
          <w:color w:val="auto"/>
        </w:rPr>
        <w:br w:type="column"/>
      </w:r>
    </w:p>
    <w:p>
      <w:pPr>
        <w:ind w:right="80"/>
        <w:spacing w:after="0" w:line="259" w:lineRule="auto"/>
        <w:rPr>
          <w:sz w:val="20"/>
          <w:szCs w:val="20"/>
          <w:color w:val="auto"/>
        </w:rPr>
      </w:pPr>
      <w:r>
        <w:rPr>
          <w:rFonts w:ascii="Times New Roman" w:cs="Times New Roman" w:eastAsia="Times New Roman" w:hAnsi="Times New Roman"/>
          <w:sz w:val="21"/>
          <w:szCs w:val="21"/>
          <w:color w:val="231F20"/>
        </w:rPr>
        <w:t>Exhibit 4.13 to Form 8-K for August 21, 2024 (SEC File No. 1-8858)</w:t>
      </w:r>
    </w:p>
    <w:p>
      <w:pPr>
        <w:spacing w:after="0" w:line="173" w:lineRule="exact"/>
        <w:rPr>
          <w:sz w:val="20"/>
          <w:szCs w:val="20"/>
          <w:color w:val="auto"/>
        </w:rPr>
      </w:pPr>
    </w:p>
    <w:p>
      <w:pPr>
        <w:sectPr>
          <w:pgSz w:w="12240" w:h="15840" w:orient="portrait"/>
          <w:cols w:equalWidth="0" w:num="2">
            <w:col w:w="7540" w:space="300"/>
            <w:col w:w="2940"/>
          </w:cols>
          <w:pgMar w:left="720" w:top="930" w:right="740" w:bottom="188" w:gutter="0" w:footer="0" w:header="0"/>
          <w:type w:val="continuous"/>
        </w:sectPr>
      </w:pPr>
    </w:p>
    <w:p>
      <w:pPr>
        <w:jc w:val="center"/>
        <w:spacing w:after="0" w:line="279" w:lineRule="auto"/>
        <w:rPr>
          <w:sz w:val="20"/>
          <w:szCs w:val="20"/>
          <w:color w:val="auto"/>
        </w:rPr>
      </w:pPr>
      <w:r>
        <w:rPr>
          <w:rFonts w:ascii="Times New Roman" w:cs="Times New Roman" w:eastAsia="Times New Roman" w:hAnsi="Times New Roman"/>
          <w:sz w:val="21"/>
          <w:szCs w:val="21"/>
          <w:color w:val="231F20"/>
        </w:rPr>
        <w:t>4.43 (5)    Note Purchase Agreement dated July 6, 2023 by and among Fitchburg Gas and Electric Light Company and the several purchasers named therein.</w:t>
      </w:r>
    </w:p>
    <w:p>
      <w:pPr>
        <w:spacing w:after="0" w:line="152" w:lineRule="exact"/>
        <w:rPr>
          <w:sz w:val="20"/>
          <w:szCs w:val="20"/>
          <w:color w:val="auto"/>
        </w:rPr>
      </w:pPr>
    </w:p>
    <w:p>
      <w:pPr>
        <w:jc w:val="both"/>
        <w:ind w:left="1060" w:right="160" w:hanging="1052"/>
        <w:spacing w:after="0" w:line="259" w:lineRule="auto"/>
        <w:tabs>
          <w:tab w:leader="none" w:pos="1040" w:val="left"/>
        </w:tabs>
        <w:rPr>
          <w:sz w:val="20"/>
          <w:szCs w:val="20"/>
          <w:color w:val="auto"/>
        </w:rPr>
      </w:pPr>
      <w:r>
        <w:rPr>
          <w:rFonts w:ascii="Times New Roman" w:cs="Times New Roman" w:eastAsia="Times New Roman" w:hAnsi="Times New Roman"/>
          <w:sz w:val="21"/>
          <w:szCs w:val="21"/>
          <w:color w:val="231F20"/>
        </w:rPr>
        <w:t>4.44 (4)</w:t>
      </w:r>
      <w:r>
        <w:rPr>
          <w:sz w:val="20"/>
          <w:szCs w:val="20"/>
          <w:color w:val="auto"/>
        </w:rPr>
        <w:tab/>
      </w:r>
      <w:r>
        <w:rPr>
          <w:rFonts w:ascii="Times New Roman" w:cs="Times New Roman" w:eastAsia="Times New Roman" w:hAnsi="Times New Roman"/>
          <w:sz w:val="21"/>
          <w:szCs w:val="21"/>
          <w:color w:val="231F20"/>
        </w:rPr>
        <w:t>5.70% Senior Note, Series 2023A, due July 2, 2033, issued by Fitchburg Gas and Electric Light Company to MetLife Reinsurance Company of Hamilton, Ltd.</w:t>
      </w:r>
    </w:p>
    <w:p>
      <w:pPr>
        <w:spacing w:after="0" w:line="20" w:lineRule="exact"/>
        <w:rPr>
          <w:sz w:val="20"/>
          <w:szCs w:val="20"/>
          <w:color w:val="auto"/>
        </w:rPr>
      </w:pPr>
      <w:r>
        <w:rPr>
          <w:sz w:val="20"/>
          <w:szCs w:val="20"/>
          <w:color w:val="auto"/>
        </w:rPr>
        <w:br w:type="column"/>
      </w:r>
    </w:p>
    <w:p>
      <w:pPr>
        <w:spacing w:after="0" w:line="305" w:lineRule="auto"/>
        <w:rPr>
          <w:sz w:val="20"/>
          <w:szCs w:val="20"/>
          <w:color w:val="auto"/>
        </w:rPr>
      </w:pPr>
      <w:r>
        <w:rPr>
          <w:rFonts w:ascii="Times New Roman" w:cs="Times New Roman" w:eastAsia="Times New Roman" w:hAnsi="Times New Roman"/>
          <w:sz w:val="20"/>
          <w:szCs w:val="20"/>
          <w:color w:val="231F20"/>
        </w:rPr>
        <w:t>Exhibit 4.1 to Form 8-K dated July 6, 2023 (SEC File No. 1-8858)</w:t>
      </w:r>
    </w:p>
    <w:p>
      <w:pPr>
        <w:spacing w:after="0" w:line="128"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20"/>
          <w:szCs w:val="20"/>
          <w:color w:val="231F20"/>
        </w:rPr>
        <w:t>Exhibit 4.2 to Form 8-K dated July 6, 2023 (SEC File No. 1-8858)</w:t>
      </w:r>
    </w:p>
    <w:p>
      <w:pPr>
        <w:spacing w:after="0" w:line="370" w:lineRule="exact"/>
        <w:rPr>
          <w:sz w:val="20"/>
          <w:szCs w:val="20"/>
          <w:color w:val="auto"/>
        </w:rPr>
      </w:pPr>
    </w:p>
    <w:p>
      <w:pPr>
        <w:sectPr>
          <w:pgSz w:w="12240" w:h="15840" w:orient="portrait"/>
          <w:cols w:equalWidth="0" w:num="2">
            <w:col w:w="7700" w:space="140"/>
            <w:col w:w="2940"/>
          </w:cols>
          <w:pgMar w:left="720" w:top="930" w:right="740" w:bottom="188" w:gutter="0" w:footer="0" w:header="0"/>
          <w:type w:val="continuous"/>
        </w:sectPr>
      </w:pPr>
    </w:p>
    <w:p>
      <w:pPr>
        <w:ind w:left="1060" w:hanging="1052"/>
        <w:spacing w:after="0" w:line="279" w:lineRule="auto"/>
        <w:tabs>
          <w:tab w:leader="none" w:pos="1040" w:val="left"/>
        </w:tabs>
        <w:rPr>
          <w:sz w:val="20"/>
          <w:szCs w:val="20"/>
          <w:color w:val="auto"/>
        </w:rPr>
      </w:pPr>
      <w:r>
        <w:rPr>
          <w:rFonts w:ascii="Times New Roman" w:cs="Times New Roman" w:eastAsia="Times New Roman" w:hAnsi="Times New Roman"/>
          <w:sz w:val="21"/>
          <w:szCs w:val="21"/>
          <w:color w:val="231F20"/>
        </w:rPr>
        <w:t>4.45 (4)</w:t>
      </w:r>
      <w:r>
        <w:rPr>
          <w:sz w:val="20"/>
          <w:szCs w:val="20"/>
          <w:color w:val="auto"/>
        </w:rPr>
        <w:tab/>
      </w:r>
      <w:r>
        <w:rPr>
          <w:rFonts w:ascii="Times New Roman" w:cs="Times New Roman" w:eastAsia="Times New Roman" w:hAnsi="Times New Roman"/>
          <w:sz w:val="21"/>
          <w:szCs w:val="21"/>
          <w:color w:val="231F20"/>
        </w:rPr>
        <w:t>5.96% Senior Note, Series 2023B, due July 2, 2053, issued by Fitchburg Gas and Electric Light Company to Mutual of Omaha Insurance Company</w:t>
      </w:r>
    </w:p>
    <w:p>
      <w:pPr>
        <w:spacing w:after="0" w:line="152" w:lineRule="exact"/>
        <w:rPr>
          <w:sz w:val="20"/>
          <w:szCs w:val="20"/>
          <w:color w:val="auto"/>
        </w:rPr>
      </w:pPr>
    </w:p>
    <w:p>
      <w:pPr>
        <w:ind w:left="1060" w:right="520" w:hanging="1052"/>
        <w:spacing w:after="0" w:line="279" w:lineRule="auto"/>
        <w:tabs>
          <w:tab w:leader="none" w:pos="1040" w:val="left"/>
        </w:tabs>
        <w:rPr>
          <w:sz w:val="20"/>
          <w:szCs w:val="20"/>
          <w:color w:val="auto"/>
        </w:rPr>
      </w:pPr>
      <w:r>
        <w:rPr>
          <w:rFonts w:ascii="Times New Roman" w:cs="Times New Roman" w:eastAsia="Times New Roman" w:hAnsi="Times New Roman"/>
          <w:sz w:val="21"/>
          <w:szCs w:val="21"/>
          <w:color w:val="231F20"/>
        </w:rPr>
        <w:t>4.46 (5)</w:t>
      </w:r>
      <w:r>
        <w:rPr>
          <w:sz w:val="20"/>
          <w:szCs w:val="20"/>
          <w:color w:val="auto"/>
        </w:rPr>
        <w:tab/>
      </w:r>
      <w:r>
        <w:rPr>
          <w:rFonts w:ascii="Times New Roman" w:cs="Times New Roman" w:eastAsia="Times New Roman" w:hAnsi="Times New Roman"/>
          <w:sz w:val="21"/>
          <w:szCs w:val="21"/>
          <w:color w:val="231F20"/>
        </w:rPr>
        <w:t>Note Purchase Agreement dated August 21, 2024 by and among Unitil Corporation and the several purchasers named therein.</w:t>
      </w:r>
    </w:p>
    <w:p>
      <w:pPr>
        <w:spacing w:after="0" w:line="393" w:lineRule="exact"/>
        <w:rPr>
          <w:sz w:val="20"/>
          <w:szCs w:val="20"/>
          <w:color w:val="auto"/>
        </w:rPr>
      </w:pPr>
    </w:p>
    <w:p>
      <w:pPr>
        <w:ind w:left="1060" w:right="480" w:hanging="1052"/>
        <w:spacing w:after="0" w:line="279" w:lineRule="auto"/>
        <w:tabs>
          <w:tab w:leader="none" w:pos="1040" w:val="left"/>
        </w:tabs>
        <w:rPr>
          <w:sz w:val="20"/>
          <w:szCs w:val="20"/>
          <w:color w:val="auto"/>
        </w:rPr>
      </w:pPr>
      <w:r>
        <w:rPr>
          <w:rFonts w:ascii="Times New Roman" w:cs="Times New Roman" w:eastAsia="Times New Roman" w:hAnsi="Times New Roman"/>
          <w:sz w:val="21"/>
          <w:szCs w:val="21"/>
          <w:color w:val="231F20"/>
        </w:rPr>
        <w:t>4.47 (4)</w:t>
      </w:r>
      <w:r>
        <w:rPr>
          <w:sz w:val="20"/>
          <w:szCs w:val="20"/>
          <w:color w:val="auto"/>
        </w:rPr>
        <w:tab/>
      </w:r>
      <w:r>
        <w:rPr>
          <w:rFonts w:ascii="Times New Roman" w:cs="Times New Roman" w:eastAsia="Times New Roman" w:hAnsi="Times New Roman"/>
          <w:sz w:val="21"/>
          <w:szCs w:val="21"/>
          <w:color w:val="231F20"/>
        </w:rPr>
        <w:t>5.99% Senior Note, Series 2024, due August 21, 2034, issued by Unitil Corporation to Metropolitan Tower Life Insurance Company</w:t>
      </w:r>
    </w:p>
    <w:p>
      <w:pPr>
        <w:spacing w:after="0" w:line="393" w:lineRule="exact"/>
        <w:rPr>
          <w:sz w:val="20"/>
          <w:szCs w:val="20"/>
          <w:color w:val="auto"/>
        </w:rPr>
      </w:pPr>
    </w:p>
    <w:p>
      <w:pPr>
        <w:ind w:left="1060" w:right="260" w:hanging="1052"/>
        <w:spacing w:after="0" w:line="279" w:lineRule="auto"/>
        <w:tabs>
          <w:tab w:leader="none" w:pos="1040" w:val="left"/>
        </w:tabs>
        <w:rPr>
          <w:sz w:val="20"/>
          <w:szCs w:val="20"/>
          <w:color w:val="auto"/>
        </w:rPr>
      </w:pPr>
      <w:r>
        <w:rPr>
          <w:rFonts w:ascii="Times New Roman" w:cs="Times New Roman" w:eastAsia="Times New Roman" w:hAnsi="Times New Roman"/>
          <w:sz w:val="21"/>
          <w:szCs w:val="21"/>
          <w:color w:val="231F20"/>
        </w:rPr>
        <w:t>4.48 (5)</w:t>
      </w:r>
      <w:r>
        <w:rPr>
          <w:sz w:val="20"/>
          <w:szCs w:val="20"/>
          <w:color w:val="auto"/>
        </w:rPr>
        <w:tab/>
      </w:r>
      <w:r>
        <w:rPr>
          <w:rFonts w:ascii="Times New Roman" w:cs="Times New Roman" w:eastAsia="Times New Roman" w:hAnsi="Times New Roman"/>
          <w:sz w:val="21"/>
          <w:szCs w:val="21"/>
          <w:color w:val="231F20"/>
        </w:rPr>
        <w:t>Note Purchase Agreement dated August 21, 2024 by and among Northern Utilities, Inc. and the several purchasers named therein.</w:t>
      </w:r>
    </w:p>
    <w:p>
      <w:pPr>
        <w:spacing w:after="0" w:line="393" w:lineRule="exact"/>
        <w:rPr>
          <w:sz w:val="20"/>
          <w:szCs w:val="20"/>
          <w:color w:val="auto"/>
        </w:rPr>
      </w:pPr>
    </w:p>
    <w:p>
      <w:pPr>
        <w:ind w:left="1060" w:right="60" w:hanging="1052"/>
        <w:spacing w:after="0" w:line="279" w:lineRule="auto"/>
        <w:tabs>
          <w:tab w:leader="none" w:pos="1040" w:val="left"/>
        </w:tabs>
        <w:rPr>
          <w:sz w:val="20"/>
          <w:szCs w:val="20"/>
          <w:color w:val="auto"/>
        </w:rPr>
      </w:pPr>
      <w:r>
        <w:rPr>
          <w:rFonts w:ascii="Times New Roman" w:cs="Times New Roman" w:eastAsia="Times New Roman" w:hAnsi="Times New Roman"/>
          <w:sz w:val="21"/>
          <w:szCs w:val="21"/>
          <w:color w:val="231F20"/>
        </w:rPr>
        <w:t>4.49 (4)</w:t>
      </w:r>
      <w:r>
        <w:rPr>
          <w:sz w:val="20"/>
          <w:szCs w:val="20"/>
          <w:color w:val="auto"/>
        </w:rPr>
        <w:tab/>
      </w:r>
      <w:r>
        <w:rPr>
          <w:rFonts w:ascii="Times New Roman" w:cs="Times New Roman" w:eastAsia="Times New Roman" w:hAnsi="Times New Roman"/>
          <w:sz w:val="21"/>
          <w:szCs w:val="21"/>
          <w:color w:val="231F20"/>
        </w:rPr>
        <w:t>5.54% Senior Note, Series 2024A, due August 21, 2034, issued by Northern Utilities, Inc. to Metropolitan Life Insurance Company</w:t>
      </w:r>
    </w:p>
    <w:p>
      <w:pPr>
        <w:spacing w:after="0" w:line="393" w:lineRule="exact"/>
        <w:rPr>
          <w:sz w:val="20"/>
          <w:szCs w:val="20"/>
          <w:color w:val="auto"/>
        </w:rPr>
      </w:pPr>
    </w:p>
    <w:p>
      <w:pPr>
        <w:ind w:left="1060" w:right="80" w:hanging="1052"/>
        <w:spacing w:after="0" w:line="279" w:lineRule="auto"/>
        <w:tabs>
          <w:tab w:leader="none" w:pos="1040" w:val="left"/>
        </w:tabs>
        <w:rPr>
          <w:sz w:val="20"/>
          <w:szCs w:val="20"/>
          <w:color w:val="auto"/>
        </w:rPr>
      </w:pPr>
      <w:r>
        <w:rPr>
          <w:rFonts w:ascii="Times New Roman" w:cs="Times New Roman" w:eastAsia="Times New Roman" w:hAnsi="Times New Roman"/>
          <w:sz w:val="21"/>
          <w:szCs w:val="21"/>
          <w:color w:val="231F20"/>
        </w:rPr>
        <w:t>4.50 (4)</w:t>
      </w:r>
      <w:r>
        <w:rPr>
          <w:sz w:val="20"/>
          <w:szCs w:val="20"/>
          <w:color w:val="auto"/>
        </w:rPr>
        <w:tab/>
      </w:r>
      <w:r>
        <w:rPr>
          <w:rFonts w:ascii="Times New Roman" w:cs="Times New Roman" w:eastAsia="Times New Roman" w:hAnsi="Times New Roman"/>
          <w:sz w:val="21"/>
          <w:szCs w:val="21"/>
          <w:color w:val="231F20"/>
        </w:rPr>
        <w:t>5.74% Senior Note, Series 2024B, due August 21, 2039, issued by Northern Utilities, Inc.to Modern Woodmen of America.</w:t>
      </w:r>
    </w:p>
    <w:p>
      <w:pPr>
        <w:spacing w:after="0" w:line="20" w:lineRule="exact"/>
        <w:rPr>
          <w:sz w:val="20"/>
          <w:szCs w:val="20"/>
          <w:color w:val="auto"/>
        </w:rPr>
      </w:pPr>
      <w:r>
        <w:rPr>
          <w:sz w:val="20"/>
          <w:szCs w:val="20"/>
          <w:color w:val="auto"/>
        </w:rPr>
        <w:br w:type="column"/>
      </w:r>
    </w:p>
    <w:p>
      <w:pPr>
        <w:spacing w:after="0" w:line="305" w:lineRule="auto"/>
        <w:rPr>
          <w:sz w:val="20"/>
          <w:szCs w:val="20"/>
          <w:color w:val="auto"/>
        </w:rPr>
      </w:pPr>
      <w:r>
        <w:rPr>
          <w:rFonts w:ascii="Times New Roman" w:cs="Times New Roman" w:eastAsia="Times New Roman" w:hAnsi="Times New Roman"/>
          <w:sz w:val="20"/>
          <w:szCs w:val="20"/>
          <w:color w:val="231F20"/>
        </w:rPr>
        <w:t>Exhibit 4.3 to Form 8-K dated July 6, 2023 (SEC File No. 1-8858)</w:t>
      </w:r>
    </w:p>
    <w:p>
      <w:pPr>
        <w:spacing w:after="0" w:line="12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1"/>
          <w:szCs w:val="21"/>
          <w:color w:val="231F20"/>
        </w:rPr>
        <w:t>Exhibit 4.1 to Form 8-K for August 21, 2024 (SEC File No. 1-8858)</w:t>
      </w:r>
    </w:p>
    <w:p>
      <w:pPr>
        <w:spacing w:after="0" w:line="17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1"/>
          <w:szCs w:val="21"/>
          <w:color w:val="231F20"/>
        </w:rPr>
        <w:t>Exhibit 4.2 to Form 8-K for August 21, 2024 (SEC File No. 1-8858)</w:t>
      </w:r>
    </w:p>
    <w:p>
      <w:pPr>
        <w:spacing w:after="0" w:line="17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1"/>
          <w:szCs w:val="21"/>
          <w:color w:val="231F20"/>
        </w:rPr>
        <w:t>Exhibit 4.3 to Form 8-K for August 21, 2024 (SEC File No. 1-8858)</w:t>
      </w:r>
    </w:p>
    <w:p>
      <w:pPr>
        <w:spacing w:after="0" w:line="17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1"/>
          <w:szCs w:val="21"/>
          <w:color w:val="231F20"/>
        </w:rPr>
        <w:t>Exhibit 4.4 to Form 8-K for August 21, 2024 (SEC File No. 1-8858)</w:t>
      </w:r>
    </w:p>
    <w:p>
      <w:pPr>
        <w:spacing w:after="0" w:line="17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1"/>
          <w:szCs w:val="21"/>
          <w:color w:val="231F20"/>
        </w:rPr>
        <w:t>Exhibit 4.5 to Form 8-K for August 21, 2024 (SEC File No. 1-8858)</w:t>
      </w:r>
    </w:p>
    <w:p>
      <w:pPr>
        <w:spacing w:after="0" w:line="173" w:lineRule="exact"/>
        <w:rPr>
          <w:sz w:val="20"/>
          <w:szCs w:val="20"/>
          <w:color w:val="auto"/>
        </w:rPr>
      </w:pPr>
    </w:p>
    <w:p>
      <w:pPr>
        <w:sectPr>
          <w:pgSz w:w="12240" w:h="15840" w:orient="portrait"/>
          <w:cols w:equalWidth="0" w:num="2">
            <w:col w:w="7520" w:space="320"/>
            <w:col w:w="2940"/>
          </w:cols>
          <w:pgMar w:left="720" w:top="930" w:right="740" w:bottom="188" w:gutter="0" w:footer="0" w:header="0"/>
          <w:type w:val="continuous"/>
        </w:sectPr>
      </w:pPr>
    </w:p>
    <w:p>
      <w:pPr>
        <w:ind w:left="1060" w:hanging="1052"/>
        <w:spacing w:after="0" w:line="279" w:lineRule="auto"/>
        <w:tabs>
          <w:tab w:leader="none" w:pos="1040" w:val="left"/>
        </w:tabs>
        <w:rPr>
          <w:sz w:val="20"/>
          <w:szCs w:val="20"/>
          <w:color w:val="auto"/>
        </w:rPr>
      </w:pPr>
      <w:r>
        <w:rPr>
          <w:rFonts w:ascii="Times New Roman" w:cs="Times New Roman" w:eastAsia="Times New Roman" w:hAnsi="Times New Roman"/>
          <w:sz w:val="21"/>
          <w:szCs w:val="21"/>
          <w:color w:val="231F20"/>
        </w:rPr>
        <w:t>4.51 (5)</w:t>
      </w:r>
      <w:r>
        <w:rPr>
          <w:sz w:val="20"/>
          <w:szCs w:val="20"/>
          <w:color w:val="auto"/>
        </w:rPr>
        <w:tab/>
      </w:r>
      <w:r>
        <w:rPr>
          <w:rFonts w:ascii="Times New Roman" w:cs="Times New Roman" w:eastAsia="Times New Roman" w:hAnsi="Times New Roman"/>
          <w:sz w:val="21"/>
          <w:szCs w:val="21"/>
          <w:color w:val="231F20"/>
        </w:rPr>
        <w:t>Note Purchase Agreement dated August 21, 2024 by and among Fitchburg Gas and Electric Light Company and the several purchasers named therein</w:t>
      </w:r>
    </w:p>
    <w:p>
      <w:pPr>
        <w:spacing w:after="0" w:line="20" w:lineRule="exact"/>
        <w:rPr>
          <w:sz w:val="20"/>
          <w:szCs w:val="20"/>
          <w:color w:val="auto"/>
        </w:rPr>
      </w:pPr>
      <w:r>
        <w:rPr>
          <w:sz w:val="20"/>
          <w:szCs w:val="20"/>
          <w:color w:val="auto"/>
        </w:rPr>
        <w:br w:type="column"/>
      </w:r>
    </w:p>
    <w:p>
      <w:pPr>
        <w:ind w:right="80"/>
        <w:spacing w:after="0" w:line="259" w:lineRule="auto"/>
        <w:rPr>
          <w:sz w:val="20"/>
          <w:szCs w:val="20"/>
          <w:color w:val="auto"/>
        </w:rPr>
      </w:pPr>
      <w:r>
        <w:rPr>
          <w:rFonts w:ascii="Times New Roman" w:cs="Times New Roman" w:eastAsia="Times New Roman" w:hAnsi="Times New Roman"/>
          <w:sz w:val="21"/>
          <w:szCs w:val="21"/>
          <w:color w:val="231F20"/>
        </w:rPr>
        <w:t>Exhibit 4.6 to Form 8-K for August 21, 2024 (SEC File No. 1-8858)</w:t>
      </w:r>
    </w:p>
    <w:p>
      <w:pPr>
        <w:spacing w:after="0" w:line="173" w:lineRule="exact"/>
        <w:rPr>
          <w:sz w:val="20"/>
          <w:szCs w:val="20"/>
          <w:color w:val="auto"/>
        </w:rPr>
      </w:pPr>
    </w:p>
    <w:p>
      <w:pPr>
        <w:sectPr>
          <w:pgSz w:w="12240" w:h="15840" w:orient="portrait"/>
          <w:cols w:equalWidth="0" w:num="2">
            <w:col w:w="7700" w:space="140"/>
            <w:col w:w="2940"/>
          </w:cols>
          <w:pgMar w:left="720" w:top="930" w:right="740" w:bottom="188" w:gutter="0" w:footer="0" w:header="0"/>
          <w:type w:val="continuous"/>
        </w:sectPr>
      </w:pPr>
    </w:p>
    <w:p>
      <w:pPr>
        <w:ind w:left="1060" w:hanging="1052"/>
        <w:spacing w:after="0" w:line="259" w:lineRule="auto"/>
        <w:tabs>
          <w:tab w:leader="none" w:pos="1040" w:val="left"/>
        </w:tabs>
        <w:rPr>
          <w:sz w:val="20"/>
          <w:szCs w:val="20"/>
          <w:color w:val="auto"/>
        </w:rPr>
      </w:pPr>
      <w:r>
        <w:rPr>
          <w:rFonts w:ascii="Times New Roman" w:cs="Times New Roman" w:eastAsia="Times New Roman" w:hAnsi="Times New Roman"/>
          <w:sz w:val="21"/>
          <w:szCs w:val="21"/>
          <w:color w:val="231F20"/>
        </w:rPr>
        <w:t>4.52 (4)</w:t>
      </w:r>
      <w:r>
        <w:rPr>
          <w:sz w:val="20"/>
          <w:szCs w:val="20"/>
          <w:color w:val="auto"/>
        </w:rPr>
        <w:tab/>
      </w:r>
      <w:r>
        <w:rPr>
          <w:rFonts w:ascii="Times New Roman" w:cs="Times New Roman" w:eastAsia="Times New Roman" w:hAnsi="Times New Roman"/>
          <w:sz w:val="21"/>
          <w:szCs w:val="21"/>
          <w:color w:val="231F20"/>
        </w:rPr>
        <w:t>5.54% Senior Note, Series 2024A, due August 21, 2034, issued by Fitchburg Gas and Electric Light Company to Metlife Reinsurance Company of Hamilton, Ltd.</w:t>
      </w:r>
    </w:p>
    <w:p>
      <w:pPr>
        <w:spacing w:after="0" w:line="173" w:lineRule="exact"/>
        <w:rPr>
          <w:sz w:val="20"/>
          <w:szCs w:val="20"/>
          <w:color w:val="auto"/>
        </w:rPr>
      </w:pPr>
    </w:p>
    <w:p>
      <w:pPr>
        <w:ind w:left="1060" w:right="20" w:hanging="1052"/>
        <w:spacing w:after="0" w:line="259" w:lineRule="auto"/>
        <w:tabs>
          <w:tab w:leader="none" w:pos="1040" w:val="left"/>
        </w:tabs>
        <w:rPr>
          <w:sz w:val="20"/>
          <w:szCs w:val="20"/>
          <w:color w:val="auto"/>
        </w:rPr>
      </w:pPr>
      <w:r>
        <w:rPr>
          <w:rFonts w:ascii="Times New Roman" w:cs="Times New Roman" w:eastAsia="Times New Roman" w:hAnsi="Times New Roman"/>
          <w:sz w:val="21"/>
          <w:szCs w:val="21"/>
          <w:color w:val="231F20"/>
        </w:rPr>
        <w:t>4.53 (4)</w:t>
      </w:r>
      <w:r>
        <w:rPr>
          <w:sz w:val="20"/>
          <w:szCs w:val="20"/>
          <w:color w:val="auto"/>
        </w:rPr>
        <w:tab/>
      </w:r>
      <w:r>
        <w:rPr>
          <w:rFonts w:ascii="Times New Roman" w:cs="Times New Roman" w:eastAsia="Times New Roman" w:hAnsi="Times New Roman"/>
          <w:sz w:val="21"/>
          <w:szCs w:val="21"/>
          <w:color w:val="231F20"/>
        </w:rPr>
        <w:t>5.99% Senior Note, Series 2024B, due August 21, 2044, issued by Fitchburg Gas and Electric Light Company to Metlife Reinsurance Company of Hamilton, Ltd.</w:t>
      </w:r>
    </w:p>
    <w:p>
      <w:pPr>
        <w:spacing w:after="0" w:line="20" w:lineRule="exact"/>
        <w:rPr>
          <w:sz w:val="20"/>
          <w:szCs w:val="20"/>
          <w:color w:val="auto"/>
        </w:rPr>
      </w:pPr>
      <w:r>
        <w:rPr>
          <w:sz w:val="20"/>
          <w:szCs w:val="20"/>
          <w:color w:val="auto"/>
        </w:rPr>
        <w:br w:type="column"/>
      </w:r>
    </w:p>
    <w:p>
      <w:pPr>
        <w:ind w:right="80"/>
        <w:spacing w:after="0" w:line="259" w:lineRule="auto"/>
        <w:rPr>
          <w:sz w:val="20"/>
          <w:szCs w:val="20"/>
          <w:color w:val="auto"/>
        </w:rPr>
      </w:pPr>
      <w:r>
        <w:rPr>
          <w:rFonts w:ascii="Times New Roman" w:cs="Times New Roman" w:eastAsia="Times New Roman" w:hAnsi="Times New Roman"/>
          <w:sz w:val="21"/>
          <w:szCs w:val="21"/>
          <w:color w:val="231F20"/>
        </w:rPr>
        <w:t>Exhibit 4.7 to Form 8-K for August 21, 2024 (SEC File No. 1-8858)</w:t>
      </w:r>
    </w:p>
    <w:p>
      <w:pPr>
        <w:spacing w:after="0" w:line="17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1"/>
          <w:szCs w:val="21"/>
          <w:color w:val="231F20"/>
        </w:rPr>
        <w:t>Exhibit 4.8 to Form 8-K for August 21, 2024 (SEC File No. 1-8858)</w:t>
      </w:r>
    </w:p>
    <w:p>
      <w:pPr>
        <w:spacing w:after="0" w:line="200" w:lineRule="exact"/>
        <w:rPr>
          <w:sz w:val="20"/>
          <w:szCs w:val="20"/>
          <w:color w:val="auto"/>
        </w:rPr>
      </w:pPr>
    </w:p>
    <w:p>
      <w:pPr>
        <w:sectPr>
          <w:pgSz w:w="12240" w:h="15840" w:orient="portrait"/>
          <w:cols w:equalWidth="0" w:num="2">
            <w:col w:w="7520" w:space="320"/>
            <w:col w:w="2940"/>
          </w:cols>
          <w:pgMar w:left="720" w:top="930" w:right="740" w:bottom="188"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98</w:t>
      </w:r>
    </w:p>
    <w:p>
      <w:pPr>
        <w:sectPr>
          <w:pgSz w:w="12240" w:h="15840" w:orient="portrait"/>
          <w:cols w:equalWidth="0" w:num="1">
            <w:col w:w="10780"/>
          </w:cols>
          <w:pgMar w:left="720" w:top="930" w:right="740" w:bottom="188" w:gutter="0" w:footer="0" w:header="0"/>
          <w:type w:val="continuous"/>
        </w:sectPr>
      </w:pPr>
    </w:p>
    <w:bookmarkStart w:id="118" w:name="page119"/>
    <w:bookmarkEnd w:id="118"/>
    <w:p>
      <w:pPr>
        <w:ind w:left="280"/>
        <w:spacing w:after="0"/>
        <w:rPr>
          <w:sz w:val="20"/>
          <w:szCs w:val="20"/>
          <w:color w:val="auto"/>
        </w:rPr>
      </w:pPr>
      <w:r>
        <w:rPr>
          <w:rFonts w:ascii="Times New Roman" w:cs="Times New Roman" w:eastAsia="Times New Roman" w:hAnsi="Times New Roman"/>
          <w:sz w:val="16"/>
          <w:szCs w:val="16"/>
          <w:b w:val="1"/>
          <w:bCs w:val="1"/>
          <w:u w:val="single" w:color="auto"/>
          <w:color w:val="231F20"/>
        </w:rPr>
        <w:t>Exhibit</w:t>
      </w:r>
    </w:p>
    <w:p>
      <w:pPr>
        <w:spacing w:after="0" w:line="26" w:lineRule="exact"/>
        <w:rPr>
          <w:sz w:val="20"/>
          <w:szCs w:val="20"/>
          <w:color w:val="auto"/>
        </w:rPr>
      </w:pPr>
    </w:p>
    <w:p>
      <w:pPr>
        <w:ind w:left="240"/>
        <w:spacing w:after="0"/>
        <w:tabs>
          <w:tab w:leader="none" w:pos="3620" w:val="left"/>
          <w:tab w:leader="none" w:pos="8840" w:val="left"/>
        </w:tabs>
        <w:rPr>
          <w:sz w:val="20"/>
          <w:szCs w:val="20"/>
          <w:color w:val="auto"/>
        </w:rPr>
      </w:pPr>
      <w:r>
        <w:rPr>
          <w:rFonts w:ascii="Times New Roman" w:cs="Times New Roman" w:eastAsia="Times New Roman" w:hAnsi="Times New Roman"/>
          <w:sz w:val="16"/>
          <w:szCs w:val="16"/>
          <w:b w:val="1"/>
          <w:bCs w:val="1"/>
          <w:u w:val="single" w:color="auto"/>
          <w:color w:val="231F20"/>
        </w:rPr>
        <w:t>Number</w:t>
      </w:r>
      <w:r>
        <w:rPr>
          <w:sz w:val="20"/>
          <w:szCs w:val="20"/>
          <w:color w:val="auto"/>
        </w:rPr>
        <w:tab/>
      </w:r>
      <w:r>
        <w:rPr>
          <w:rFonts w:ascii="Times New Roman" w:cs="Times New Roman" w:eastAsia="Times New Roman" w:hAnsi="Times New Roman"/>
          <w:sz w:val="16"/>
          <w:szCs w:val="16"/>
          <w:b w:val="1"/>
          <w:bCs w:val="1"/>
          <w:u w:val="single" w:color="auto"/>
          <w:color w:val="231F20"/>
        </w:rPr>
        <w:t>Description of Exhibit</w:t>
      </w:r>
      <w:r>
        <w:rPr>
          <w:sz w:val="20"/>
          <w:szCs w:val="20"/>
          <w:color w:val="auto"/>
        </w:rPr>
        <w:tab/>
      </w:r>
      <w:r>
        <w:rPr>
          <w:rFonts w:ascii="Times New Roman" w:cs="Times New Roman" w:eastAsia="Times New Roman" w:hAnsi="Times New Roman"/>
          <w:sz w:val="16"/>
          <w:szCs w:val="16"/>
          <w:b w:val="1"/>
          <w:bCs w:val="1"/>
          <w:u w:val="single" w:color="auto"/>
          <w:color w:val="231F20"/>
        </w:rPr>
        <w:t>Reference (1)</w:t>
      </w:r>
    </w:p>
    <w:p>
      <w:pPr>
        <w:sectPr>
          <w:pgSz w:w="12240" w:h="15840" w:orient="portrait"/>
          <w:cols w:equalWidth="0" w:num="1">
            <w:col w:w="10780"/>
          </w:cols>
          <w:pgMar w:left="720" w:top="930" w:right="740" w:bottom="188" w:gutter="0" w:footer="0" w:header="0"/>
        </w:sectPr>
      </w:pPr>
    </w:p>
    <w:p>
      <w:pPr>
        <w:spacing w:after="0" w:line="202" w:lineRule="exact"/>
        <w:rPr>
          <w:sz w:val="20"/>
          <w:szCs w:val="20"/>
          <w:color w:val="auto"/>
        </w:rPr>
      </w:pPr>
    </w:p>
    <w:p>
      <w:pPr>
        <w:jc w:val="center"/>
        <w:spacing w:after="0" w:line="279" w:lineRule="auto"/>
        <w:rPr>
          <w:sz w:val="20"/>
          <w:szCs w:val="20"/>
          <w:color w:val="auto"/>
        </w:rPr>
      </w:pPr>
      <w:r>
        <w:rPr>
          <w:rFonts w:ascii="Times New Roman" w:cs="Times New Roman" w:eastAsia="Times New Roman" w:hAnsi="Times New Roman"/>
          <w:sz w:val="21"/>
          <w:szCs w:val="21"/>
          <w:color w:val="231F20"/>
        </w:rPr>
        <w:t>4.54 (5)    Note Purchase Agreement dated August 21, 2024 by and among Granite State Gas Transmission, Inc. and the several purchasers named therein.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1"/>
          <w:szCs w:val="21"/>
          <w:color w:val="231F20"/>
        </w:rPr>
        <w:t>Exhibit 4.9 to Form 8-K for August 21, 2024 (SEC File No. 1-8858)</w:t>
      </w:r>
    </w:p>
    <w:p>
      <w:pPr>
        <w:spacing w:after="0" w:line="173" w:lineRule="exact"/>
        <w:rPr>
          <w:sz w:val="20"/>
          <w:szCs w:val="20"/>
          <w:color w:val="auto"/>
        </w:rPr>
      </w:pPr>
    </w:p>
    <w:p>
      <w:pPr>
        <w:sectPr>
          <w:pgSz w:w="12240" w:h="15840" w:orient="portrait"/>
          <w:cols w:equalWidth="0" w:num="2">
            <w:col w:w="7600" w:space="240"/>
            <w:col w:w="2940"/>
          </w:cols>
          <w:pgMar w:left="720" w:top="930" w:right="740" w:bottom="188" w:gutter="0" w:footer="0" w:header="0"/>
          <w:type w:val="continuous"/>
        </w:sectPr>
      </w:pPr>
    </w:p>
    <w:p>
      <w:pPr>
        <w:jc w:val="center"/>
        <w:spacing w:after="0" w:line="279" w:lineRule="auto"/>
        <w:rPr>
          <w:sz w:val="20"/>
          <w:szCs w:val="20"/>
          <w:color w:val="auto"/>
        </w:rPr>
      </w:pPr>
      <w:r>
        <w:rPr>
          <w:rFonts w:ascii="Times New Roman" w:cs="Times New Roman" w:eastAsia="Times New Roman" w:hAnsi="Times New Roman"/>
          <w:sz w:val="21"/>
          <w:szCs w:val="21"/>
          <w:color w:val="231F20"/>
        </w:rPr>
        <w:t>4.55 (4)    5.74% Senior Note, Series 2024, due August 21, 2034, issued by Granite State Gas Transmission, Inc. to Metropolitan Life Insurance Company</w:t>
      </w:r>
    </w:p>
    <w:p>
      <w:pPr>
        <w:spacing w:after="0" w:line="20" w:lineRule="exact"/>
        <w:rPr>
          <w:sz w:val="20"/>
          <w:szCs w:val="20"/>
          <w:color w:val="auto"/>
        </w:rPr>
      </w:pPr>
      <w:r>
        <w:rPr>
          <w:sz w:val="20"/>
          <w:szCs w:val="20"/>
          <w:color w:val="auto"/>
        </w:rPr>
        <w:br w:type="column"/>
      </w:r>
    </w:p>
    <w:p>
      <w:pPr>
        <w:ind w:right="80"/>
        <w:spacing w:after="0" w:line="259" w:lineRule="auto"/>
        <w:rPr>
          <w:sz w:val="20"/>
          <w:szCs w:val="20"/>
          <w:color w:val="auto"/>
        </w:rPr>
      </w:pPr>
      <w:r>
        <w:rPr>
          <w:rFonts w:ascii="Times New Roman" w:cs="Times New Roman" w:eastAsia="Times New Roman" w:hAnsi="Times New Roman"/>
          <w:sz w:val="21"/>
          <w:szCs w:val="21"/>
          <w:color w:val="231F20"/>
        </w:rPr>
        <w:t>Exhibit 4.10 to Form 8-K for August 21, 2024 (SEC File No. 1-8858)</w:t>
      </w:r>
    </w:p>
    <w:p>
      <w:pPr>
        <w:spacing w:after="0" w:line="173" w:lineRule="exact"/>
        <w:rPr>
          <w:sz w:val="20"/>
          <w:szCs w:val="20"/>
          <w:color w:val="auto"/>
        </w:rPr>
      </w:pPr>
    </w:p>
    <w:p>
      <w:pPr>
        <w:sectPr>
          <w:pgSz w:w="12240" w:h="15840" w:orient="portrait"/>
          <w:cols w:equalWidth="0" w:num="2">
            <w:col w:w="7660" w:space="180"/>
            <w:col w:w="2940"/>
          </w:cols>
          <w:pgMar w:left="720" w:top="930" w:right="740" w:bottom="188" w:gutter="0" w:footer="0" w:header="0"/>
          <w:type w:val="continuous"/>
        </w:sectPr>
      </w:pPr>
    </w:p>
    <w:p>
      <w:pPr>
        <w:spacing w:after="0"/>
        <w:tabs>
          <w:tab w:leader="none" w:pos="1040" w:val="left"/>
        </w:tabs>
        <w:rPr>
          <w:sz w:val="20"/>
          <w:szCs w:val="20"/>
          <w:color w:val="auto"/>
        </w:rPr>
      </w:pPr>
      <w:r>
        <w:rPr>
          <w:rFonts w:ascii="Times New Roman" w:cs="Times New Roman" w:eastAsia="Times New Roman" w:hAnsi="Times New Roman"/>
          <w:sz w:val="21"/>
          <w:szCs w:val="21"/>
          <w:color w:val="231F20"/>
        </w:rPr>
        <w:t>4.56</w:t>
      </w:r>
      <w:r>
        <w:rPr>
          <w:sz w:val="20"/>
          <w:szCs w:val="20"/>
          <w:color w:val="auto"/>
        </w:rPr>
        <w:tab/>
      </w:r>
      <w:r>
        <w:rPr>
          <w:rFonts w:ascii="Times New Roman" w:cs="Times New Roman" w:eastAsia="Times New Roman" w:hAnsi="Times New Roman"/>
          <w:sz w:val="20"/>
          <w:szCs w:val="20"/>
          <w:color w:val="231F20"/>
        </w:rPr>
        <w:t>Amended and Restated Note issued to Bank of America, N.A.</w:t>
      </w:r>
    </w:p>
    <w:p>
      <w:pPr>
        <w:spacing w:after="0" w:line="200" w:lineRule="exact"/>
        <w:rPr>
          <w:sz w:val="20"/>
          <w:szCs w:val="20"/>
          <w:color w:val="auto"/>
        </w:rPr>
      </w:pPr>
    </w:p>
    <w:p>
      <w:pPr>
        <w:spacing w:after="0" w:line="272" w:lineRule="exact"/>
        <w:rPr>
          <w:sz w:val="20"/>
          <w:szCs w:val="20"/>
          <w:color w:val="auto"/>
        </w:rPr>
      </w:pPr>
    </w:p>
    <w:p>
      <w:pPr>
        <w:ind w:left="1060" w:hanging="1052"/>
        <w:spacing w:after="0" w:line="279" w:lineRule="auto"/>
        <w:tabs>
          <w:tab w:leader="none" w:pos="1040" w:val="left"/>
        </w:tabs>
        <w:rPr>
          <w:sz w:val="20"/>
          <w:szCs w:val="20"/>
          <w:color w:val="auto"/>
        </w:rPr>
      </w:pPr>
      <w:r>
        <w:rPr>
          <w:rFonts w:ascii="Times New Roman" w:cs="Times New Roman" w:eastAsia="Times New Roman" w:hAnsi="Times New Roman"/>
          <w:sz w:val="21"/>
          <w:szCs w:val="21"/>
          <w:color w:val="231F20"/>
        </w:rPr>
        <w:t>4.57</w:t>
      </w:r>
      <w:r>
        <w:rPr>
          <w:sz w:val="20"/>
          <w:szCs w:val="20"/>
          <w:color w:val="auto"/>
        </w:rPr>
        <w:tab/>
      </w:r>
      <w:r>
        <w:rPr>
          <w:rFonts w:ascii="Times New Roman" w:cs="Times New Roman" w:eastAsia="Times New Roman" w:hAnsi="Times New Roman"/>
          <w:sz w:val="21"/>
          <w:szCs w:val="21"/>
          <w:color w:val="231F20"/>
        </w:rPr>
        <w:t>Loan Agreement dated December 18, 2020 between Unitil Realty Corp. and TD Bank, N.A.</w:t>
      </w:r>
    </w:p>
    <w:p>
      <w:pPr>
        <w:spacing w:after="0" w:line="152" w:lineRule="exact"/>
        <w:rPr>
          <w:sz w:val="20"/>
          <w:szCs w:val="20"/>
          <w:color w:val="auto"/>
        </w:rPr>
      </w:pPr>
    </w:p>
    <w:p>
      <w:pPr>
        <w:ind w:left="1060" w:hanging="1052"/>
        <w:spacing w:after="0" w:line="279" w:lineRule="auto"/>
        <w:tabs>
          <w:tab w:leader="none" w:pos="1040" w:val="left"/>
        </w:tabs>
        <w:rPr>
          <w:sz w:val="20"/>
          <w:szCs w:val="20"/>
          <w:color w:val="auto"/>
        </w:rPr>
      </w:pPr>
      <w:r>
        <w:rPr>
          <w:rFonts w:ascii="Times New Roman" w:cs="Times New Roman" w:eastAsia="Times New Roman" w:hAnsi="Times New Roman"/>
          <w:sz w:val="21"/>
          <w:szCs w:val="21"/>
          <w:color w:val="231F20"/>
        </w:rPr>
        <w:t>4.58</w:t>
      </w:r>
      <w:r>
        <w:rPr>
          <w:sz w:val="20"/>
          <w:szCs w:val="20"/>
          <w:color w:val="auto"/>
        </w:rPr>
        <w:tab/>
      </w:r>
      <w:r>
        <w:rPr>
          <w:rFonts w:ascii="Times New Roman" w:cs="Times New Roman" w:eastAsia="Times New Roman" w:hAnsi="Times New Roman"/>
          <w:sz w:val="21"/>
          <w:szCs w:val="21"/>
          <w:color w:val="231F20"/>
        </w:rPr>
        <w:t>Mortgage and Security Agreement dated December 18, 2020 between Unitil Realty Corp. and TD Bank, N.A.</w:t>
      </w:r>
    </w:p>
    <w:p>
      <w:pPr>
        <w:spacing w:after="0" w:line="152"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1"/>
          <w:szCs w:val="21"/>
          <w:color w:val="231F20"/>
        </w:rPr>
        <w:t>4.59</w:t>
      </w:r>
      <w:r>
        <w:rPr>
          <w:sz w:val="20"/>
          <w:szCs w:val="20"/>
          <w:color w:val="auto"/>
        </w:rPr>
        <w:tab/>
      </w:r>
      <w:r>
        <w:rPr>
          <w:rFonts w:ascii="Times New Roman" w:cs="Times New Roman" w:eastAsia="Times New Roman" w:hAnsi="Times New Roman"/>
          <w:sz w:val="20"/>
          <w:szCs w:val="20"/>
          <w:color w:val="231F20"/>
        </w:rPr>
        <w:t>Mortgage Loan Note dated December 18, 2020 issued to TD Bank, N.A.</w:t>
      </w:r>
    </w:p>
    <w:p>
      <w:pPr>
        <w:spacing w:after="0" w:line="200" w:lineRule="exact"/>
        <w:rPr>
          <w:sz w:val="20"/>
          <w:szCs w:val="20"/>
          <w:color w:val="auto"/>
        </w:rPr>
      </w:pPr>
    </w:p>
    <w:p>
      <w:pPr>
        <w:spacing w:after="0" w:line="272"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1"/>
          <w:szCs w:val="21"/>
          <w:color w:val="231F20"/>
        </w:rPr>
        <w:t>4.60</w:t>
      </w:r>
      <w:r>
        <w:rPr>
          <w:sz w:val="20"/>
          <w:szCs w:val="20"/>
          <w:color w:val="auto"/>
        </w:rPr>
        <w:tab/>
      </w:r>
      <w:r>
        <w:rPr>
          <w:rFonts w:ascii="Times New Roman" w:cs="Times New Roman" w:eastAsia="Times New Roman" w:hAnsi="Times New Roman"/>
          <w:sz w:val="20"/>
          <w:szCs w:val="20"/>
          <w:color w:val="231F20"/>
        </w:rPr>
        <w:t>Description of Registrant’s Securities</w:t>
      </w:r>
    </w:p>
    <w:p>
      <w:pPr>
        <w:spacing w:after="0" w:line="200" w:lineRule="exact"/>
        <w:rPr>
          <w:sz w:val="20"/>
          <w:szCs w:val="20"/>
          <w:color w:val="auto"/>
        </w:rPr>
      </w:pPr>
    </w:p>
    <w:p>
      <w:pPr>
        <w:spacing w:after="0" w:line="272" w:lineRule="exact"/>
        <w:rPr>
          <w:sz w:val="20"/>
          <w:szCs w:val="20"/>
          <w:color w:val="auto"/>
        </w:rPr>
      </w:pPr>
    </w:p>
    <w:p>
      <w:pPr>
        <w:jc w:val="both"/>
        <w:ind w:left="1060" w:right="60" w:hanging="1052"/>
        <w:spacing w:after="0" w:line="259" w:lineRule="auto"/>
        <w:tabs>
          <w:tab w:leader="none" w:pos="1040" w:val="left"/>
        </w:tabs>
        <w:rPr>
          <w:sz w:val="20"/>
          <w:szCs w:val="20"/>
          <w:color w:val="auto"/>
        </w:rPr>
      </w:pPr>
      <w:r>
        <w:rPr>
          <w:rFonts w:ascii="Times New Roman" w:cs="Times New Roman" w:eastAsia="Times New Roman" w:hAnsi="Times New Roman"/>
          <w:sz w:val="21"/>
          <w:szCs w:val="21"/>
          <w:color w:val="231F20"/>
        </w:rPr>
        <w:t>4.61 (5)</w:t>
      </w:r>
      <w:r>
        <w:rPr>
          <w:sz w:val="20"/>
          <w:szCs w:val="20"/>
          <w:color w:val="auto"/>
        </w:rPr>
        <w:tab/>
      </w:r>
      <w:r>
        <w:rPr>
          <w:rFonts w:ascii="Times New Roman" w:cs="Times New Roman" w:eastAsia="Times New Roman" w:hAnsi="Times New Roman"/>
          <w:sz w:val="21"/>
          <w:szCs w:val="21"/>
          <w:color w:val="231F20"/>
        </w:rPr>
        <w:t>Third Amended and Restated Credit Agreement dated September 29, 2022 among Unitil Corporation, Bank of America, N.A., as administrative agent, and the Lenders</w:t>
      </w:r>
    </w:p>
    <w:p>
      <w:pPr>
        <w:spacing w:after="0" w:line="20" w:lineRule="exact"/>
        <w:rPr>
          <w:sz w:val="20"/>
          <w:szCs w:val="20"/>
          <w:color w:val="auto"/>
        </w:rPr>
      </w:pPr>
      <w:r>
        <w:rPr>
          <w:sz w:val="20"/>
          <w:szCs w:val="20"/>
          <w:color w:val="auto"/>
        </w:rPr>
        <w:br w:type="column"/>
      </w:r>
    </w:p>
    <w:p>
      <w:pPr>
        <w:ind w:firstLine="1"/>
        <w:spacing w:after="0" w:line="305" w:lineRule="auto"/>
        <w:rPr>
          <w:sz w:val="20"/>
          <w:szCs w:val="20"/>
          <w:color w:val="auto"/>
        </w:rPr>
      </w:pPr>
      <w:r>
        <w:rPr>
          <w:rFonts w:ascii="Times New Roman" w:cs="Times New Roman" w:eastAsia="Times New Roman" w:hAnsi="Times New Roman"/>
          <w:sz w:val="20"/>
          <w:szCs w:val="20"/>
          <w:color w:val="231F20"/>
        </w:rPr>
        <w:t>Exhibit 4.2 to Form 8-K dated July 25, 2018 (SEC File No. 1-8858)</w:t>
      </w:r>
    </w:p>
    <w:p>
      <w:pPr>
        <w:spacing w:after="0" w:line="128" w:lineRule="exact"/>
        <w:rPr>
          <w:sz w:val="20"/>
          <w:szCs w:val="20"/>
          <w:color w:val="auto"/>
        </w:rPr>
      </w:pPr>
    </w:p>
    <w:p>
      <w:pPr>
        <w:ind w:right="400"/>
        <w:spacing w:after="0" w:line="305" w:lineRule="auto"/>
        <w:rPr>
          <w:sz w:val="20"/>
          <w:szCs w:val="20"/>
          <w:color w:val="auto"/>
        </w:rPr>
      </w:pPr>
      <w:r>
        <w:rPr>
          <w:rFonts w:ascii="Times New Roman" w:cs="Times New Roman" w:eastAsia="Times New Roman" w:hAnsi="Times New Roman"/>
          <w:sz w:val="20"/>
          <w:szCs w:val="20"/>
          <w:color w:val="231F20"/>
        </w:rPr>
        <w:t>Exhibit 4.48 to Form 10-K for 2020 (SEC File No. 1-8858)</w:t>
      </w:r>
    </w:p>
    <w:p>
      <w:pPr>
        <w:spacing w:after="0" w:line="128" w:lineRule="exact"/>
        <w:rPr>
          <w:sz w:val="20"/>
          <w:szCs w:val="20"/>
          <w:color w:val="auto"/>
        </w:rPr>
      </w:pPr>
    </w:p>
    <w:p>
      <w:pPr>
        <w:ind w:right="400"/>
        <w:spacing w:after="0" w:line="305" w:lineRule="auto"/>
        <w:rPr>
          <w:sz w:val="20"/>
          <w:szCs w:val="20"/>
          <w:color w:val="auto"/>
        </w:rPr>
      </w:pPr>
      <w:r>
        <w:rPr>
          <w:rFonts w:ascii="Times New Roman" w:cs="Times New Roman" w:eastAsia="Times New Roman" w:hAnsi="Times New Roman"/>
          <w:sz w:val="20"/>
          <w:szCs w:val="20"/>
          <w:color w:val="231F20"/>
        </w:rPr>
        <w:t>Exhibit 4.49 to Form 10-K for 2020 (SEC File No. 1-8858)</w:t>
      </w:r>
    </w:p>
    <w:p>
      <w:pPr>
        <w:spacing w:after="0" w:line="128" w:lineRule="exact"/>
        <w:rPr>
          <w:sz w:val="20"/>
          <w:szCs w:val="20"/>
          <w:color w:val="auto"/>
        </w:rPr>
      </w:pPr>
    </w:p>
    <w:p>
      <w:pPr>
        <w:ind w:right="400" w:firstLine="1"/>
        <w:spacing w:after="0" w:line="305" w:lineRule="auto"/>
        <w:rPr>
          <w:sz w:val="20"/>
          <w:szCs w:val="20"/>
          <w:color w:val="auto"/>
        </w:rPr>
      </w:pPr>
      <w:r>
        <w:rPr>
          <w:rFonts w:ascii="Times New Roman" w:cs="Times New Roman" w:eastAsia="Times New Roman" w:hAnsi="Times New Roman"/>
          <w:sz w:val="20"/>
          <w:szCs w:val="20"/>
          <w:color w:val="231F20"/>
        </w:rPr>
        <w:t>Exhibit 4.50 to Form 10-K for 2020 (SEC File No. 1-8858)</w:t>
      </w:r>
    </w:p>
    <w:p>
      <w:pPr>
        <w:spacing w:after="0" w:line="128" w:lineRule="exact"/>
        <w:rPr>
          <w:sz w:val="20"/>
          <w:szCs w:val="20"/>
          <w:color w:val="auto"/>
        </w:rPr>
      </w:pPr>
    </w:p>
    <w:p>
      <w:pPr>
        <w:ind w:right="400" w:firstLine="1"/>
        <w:spacing w:after="0" w:line="305" w:lineRule="auto"/>
        <w:rPr>
          <w:sz w:val="20"/>
          <w:szCs w:val="20"/>
          <w:color w:val="auto"/>
        </w:rPr>
      </w:pPr>
      <w:r>
        <w:rPr>
          <w:rFonts w:ascii="Times New Roman" w:cs="Times New Roman" w:eastAsia="Times New Roman" w:hAnsi="Times New Roman"/>
          <w:sz w:val="20"/>
          <w:szCs w:val="20"/>
          <w:color w:val="231F20"/>
        </w:rPr>
        <w:t>Exhibit 4.50 to Form 10-K for 2021 (SEC File No. 1-8858)</w:t>
      </w:r>
    </w:p>
    <w:p>
      <w:pPr>
        <w:spacing w:after="0" w:line="12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1"/>
          <w:szCs w:val="21"/>
          <w:color w:val="231F20"/>
        </w:rPr>
        <w:t>Exhibit 4.1 to Form 8-K dated September 29, 2022 (SEC File No. 1-8858)</w:t>
      </w:r>
    </w:p>
    <w:p>
      <w:pPr>
        <w:spacing w:after="0" w:line="173" w:lineRule="exact"/>
        <w:rPr>
          <w:sz w:val="20"/>
          <w:szCs w:val="20"/>
          <w:color w:val="auto"/>
        </w:rPr>
      </w:pPr>
    </w:p>
    <w:p>
      <w:pPr>
        <w:sectPr>
          <w:pgSz w:w="12240" w:h="15840" w:orient="portrait"/>
          <w:cols w:equalWidth="0" w:num="2">
            <w:col w:w="7460" w:space="380"/>
            <w:col w:w="2940"/>
          </w:cols>
          <w:pgMar w:left="720" w:top="930" w:right="740" w:bottom="188" w:gutter="0" w:footer="0" w:header="0"/>
          <w:type w:val="continuous"/>
        </w:sectPr>
      </w:pPr>
    </w:p>
    <w:p>
      <w:pPr>
        <w:ind w:left="1060" w:hanging="1052"/>
        <w:spacing w:after="0" w:line="305" w:lineRule="auto"/>
        <w:tabs>
          <w:tab w:leader="none" w:pos="1040" w:val="left"/>
        </w:tabs>
        <w:rPr>
          <w:sz w:val="20"/>
          <w:szCs w:val="20"/>
          <w:color w:val="auto"/>
        </w:rPr>
      </w:pPr>
      <w:r>
        <w:rPr>
          <w:rFonts w:ascii="Times New Roman" w:cs="Times New Roman" w:eastAsia="Times New Roman" w:hAnsi="Times New Roman"/>
          <w:sz w:val="21"/>
          <w:szCs w:val="21"/>
          <w:color w:val="231F20"/>
        </w:rPr>
        <w:t>4.62</w:t>
      </w:r>
      <w:r>
        <w:rPr>
          <w:sz w:val="20"/>
          <w:szCs w:val="20"/>
          <w:color w:val="auto"/>
        </w:rPr>
        <w:tab/>
      </w:r>
      <w:r>
        <w:rPr>
          <w:rFonts w:ascii="Times New Roman" w:cs="Times New Roman" w:eastAsia="Times New Roman" w:hAnsi="Times New Roman"/>
          <w:sz w:val="20"/>
          <w:szCs w:val="20"/>
          <w:color w:val="231F20"/>
        </w:rPr>
        <w:t>First Amendment to Third Amended and Restated Credit Agreement between Unitil and Bank of America, N.A., as administrative agent, dated July 18, 2024</w:t>
      </w:r>
    </w:p>
    <w:p>
      <w:pPr>
        <w:spacing w:after="0" w:line="12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1"/>
          <w:szCs w:val="21"/>
          <w:color w:val="231F20"/>
        </w:rPr>
        <w:t>4.63</w:t>
      </w:r>
      <w:r>
        <w:rPr>
          <w:sz w:val="20"/>
          <w:szCs w:val="20"/>
          <w:color w:val="auto"/>
        </w:rPr>
        <w:tab/>
      </w:r>
      <w:r>
        <w:rPr>
          <w:rFonts w:ascii="Times New Roman" w:cs="Times New Roman" w:eastAsia="Times New Roman" w:hAnsi="Times New Roman"/>
          <w:sz w:val="20"/>
          <w:szCs w:val="20"/>
          <w:color w:val="231F20"/>
        </w:rPr>
        <w:t>Second Amended and Restated Note issued to Citizens Bank, N.A.</w:t>
      </w:r>
    </w:p>
    <w:p>
      <w:pPr>
        <w:spacing w:after="0" w:line="20" w:lineRule="exact"/>
        <w:rPr>
          <w:sz w:val="20"/>
          <w:szCs w:val="20"/>
          <w:color w:val="auto"/>
        </w:rPr>
      </w:pPr>
      <w:r>
        <w:rPr>
          <w:sz w:val="20"/>
          <w:szCs w:val="20"/>
          <w:color w:val="auto"/>
        </w:rPr>
        <w:br w:type="column"/>
      </w:r>
    </w:p>
    <w:p>
      <w:pPr>
        <w:jc w:val="both"/>
        <w:ind w:right="220"/>
        <w:spacing w:after="0" w:line="305" w:lineRule="auto"/>
        <w:rPr>
          <w:sz w:val="20"/>
          <w:szCs w:val="20"/>
          <w:color w:val="auto"/>
        </w:rPr>
      </w:pPr>
      <w:r>
        <w:rPr>
          <w:rFonts w:ascii="Times New Roman" w:cs="Times New Roman" w:eastAsia="Times New Roman" w:hAnsi="Times New Roman"/>
          <w:sz w:val="20"/>
          <w:szCs w:val="20"/>
          <w:color w:val="231F20"/>
        </w:rPr>
        <w:t>Exhibit 4.1 to Form 8-K for July 18, 2024 (SEC File No. 1-8858)</w:t>
      </w:r>
    </w:p>
    <w:p>
      <w:pPr>
        <w:spacing w:after="0" w:line="128" w:lineRule="exact"/>
        <w:rPr>
          <w:sz w:val="20"/>
          <w:szCs w:val="20"/>
          <w:color w:val="auto"/>
        </w:rPr>
      </w:pPr>
    </w:p>
    <w:p>
      <w:pPr>
        <w:ind w:right="20" w:firstLine="1"/>
        <w:spacing w:after="0" w:line="259" w:lineRule="auto"/>
        <w:rPr>
          <w:sz w:val="20"/>
          <w:szCs w:val="20"/>
          <w:color w:val="auto"/>
        </w:rPr>
      </w:pPr>
      <w:r>
        <w:rPr>
          <w:rFonts w:ascii="Times New Roman" w:cs="Times New Roman" w:eastAsia="Times New Roman" w:hAnsi="Times New Roman"/>
          <w:sz w:val="21"/>
          <w:szCs w:val="21"/>
          <w:color w:val="231F20"/>
        </w:rPr>
        <w:t>Exhibit 4.2 to Form 8-K dated September 29, 2022 (SEC File No. 1-8858)</w:t>
      </w:r>
    </w:p>
    <w:p>
      <w:pPr>
        <w:spacing w:after="0" w:line="173" w:lineRule="exact"/>
        <w:rPr>
          <w:sz w:val="20"/>
          <w:szCs w:val="20"/>
          <w:color w:val="auto"/>
        </w:rPr>
      </w:pPr>
    </w:p>
    <w:p>
      <w:pPr>
        <w:sectPr>
          <w:pgSz w:w="12240" w:h="15840" w:orient="portrait"/>
          <w:cols w:equalWidth="0" w:num="2">
            <w:col w:w="7700" w:space="140"/>
            <w:col w:w="2940"/>
          </w:cols>
          <w:pgMar w:left="720" w:top="930" w:right="740" w:bottom="188" w:gutter="0" w:footer="0" w:header="0"/>
          <w:type w:val="continuous"/>
        </w:sectPr>
      </w:pPr>
    </w:p>
    <w:p>
      <w:pPr>
        <w:spacing w:after="0"/>
        <w:tabs>
          <w:tab w:leader="none" w:pos="1040" w:val="left"/>
        </w:tabs>
        <w:rPr>
          <w:sz w:val="20"/>
          <w:szCs w:val="20"/>
          <w:color w:val="auto"/>
        </w:rPr>
      </w:pPr>
      <w:r>
        <w:rPr>
          <w:rFonts w:ascii="Times New Roman" w:cs="Times New Roman" w:eastAsia="Times New Roman" w:hAnsi="Times New Roman"/>
          <w:sz w:val="21"/>
          <w:szCs w:val="21"/>
          <w:color w:val="231F20"/>
        </w:rPr>
        <w:t>4.64</w:t>
      </w:r>
      <w:r>
        <w:rPr>
          <w:sz w:val="20"/>
          <w:szCs w:val="20"/>
          <w:color w:val="auto"/>
        </w:rPr>
        <w:tab/>
      </w:r>
      <w:r>
        <w:rPr>
          <w:rFonts w:ascii="Times New Roman" w:cs="Times New Roman" w:eastAsia="Times New Roman" w:hAnsi="Times New Roman"/>
          <w:sz w:val="20"/>
          <w:szCs w:val="20"/>
          <w:color w:val="231F20"/>
        </w:rPr>
        <w:t>Second Amended and Restated Note issued to TD Bank, N.A.</w:t>
      </w:r>
    </w:p>
    <w:p>
      <w:pPr>
        <w:spacing w:after="0" w:line="20" w:lineRule="exact"/>
        <w:rPr>
          <w:sz w:val="20"/>
          <w:szCs w:val="20"/>
          <w:color w:val="auto"/>
        </w:rPr>
      </w:pPr>
      <w:r>
        <w:rPr>
          <w:sz w:val="20"/>
          <w:szCs w:val="20"/>
          <w:color w:val="auto"/>
        </w:rPr>
        <w:br w:type="column"/>
      </w:r>
    </w:p>
    <w:p>
      <w:pPr>
        <w:ind w:right="20" w:firstLine="1"/>
        <w:spacing w:after="0" w:line="259" w:lineRule="auto"/>
        <w:rPr>
          <w:sz w:val="20"/>
          <w:szCs w:val="20"/>
          <w:color w:val="auto"/>
        </w:rPr>
      </w:pPr>
      <w:r>
        <w:rPr>
          <w:rFonts w:ascii="Times New Roman" w:cs="Times New Roman" w:eastAsia="Times New Roman" w:hAnsi="Times New Roman"/>
          <w:sz w:val="21"/>
          <w:szCs w:val="21"/>
          <w:color w:val="231F20"/>
        </w:rPr>
        <w:t>Exhibit 4.3 to Form 8-K dated September 29, 2022 (SEC File No. 1-8858)</w:t>
      </w:r>
    </w:p>
    <w:p>
      <w:pPr>
        <w:spacing w:after="0" w:line="173" w:lineRule="exact"/>
        <w:rPr>
          <w:sz w:val="20"/>
          <w:szCs w:val="20"/>
          <w:color w:val="auto"/>
        </w:rPr>
      </w:pPr>
    </w:p>
    <w:p>
      <w:pPr>
        <w:sectPr>
          <w:pgSz w:w="12240" w:h="15840" w:orient="portrait"/>
          <w:cols w:equalWidth="0" w:num="2">
            <w:col w:w="7120" w:space="720"/>
            <w:col w:w="2940"/>
          </w:cols>
          <w:pgMar w:left="720" w:top="930" w:right="740" w:bottom="188" w:gutter="0" w:footer="0" w:header="0"/>
          <w:type w:val="continuous"/>
        </w:sectPr>
      </w:pPr>
    </w:p>
    <w:p>
      <w:pPr>
        <w:ind w:left="1060" w:hanging="1052"/>
        <w:spacing w:after="0" w:line="253" w:lineRule="auto"/>
        <w:tabs>
          <w:tab w:leader="none" w:pos="1040" w:val="left"/>
        </w:tabs>
        <w:rPr>
          <w:sz w:val="20"/>
          <w:szCs w:val="20"/>
          <w:color w:val="auto"/>
        </w:rPr>
      </w:pPr>
      <w:r>
        <w:rPr>
          <w:rFonts w:ascii="Times New Roman" w:cs="Times New Roman" w:eastAsia="Times New Roman" w:hAnsi="Times New Roman"/>
          <w:sz w:val="21"/>
          <w:szCs w:val="21"/>
          <w:color w:val="231F20"/>
        </w:rPr>
        <w:t>4.65 (5)</w:t>
      </w:r>
      <w:r>
        <w:rPr>
          <w:sz w:val="20"/>
          <w:szCs w:val="20"/>
          <w:color w:val="auto"/>
        </w:rPr>
        <w:tab/>
      </w:r>
      <w:r>
        <w:rPr>
          <w:rFonts w:ascii="Times New Roman" w:cs="Times New Roman" w:eastAsia="Times New Roman" w:hAnsi="Times New Roman"/>
          <w:sz w:val="21"/>
          <w:szCs w:val="21"/>
          <w:color w:val="231F20"/>
        </w:rPr>
        <w:t>Second Amendment to Third Amended and Restated Credit Agreement dated January 29, 2025 among Unitil Corporation; Bank of America, N.A., as administrative agent; and Bank of America, N.A., Citizens Bank, N.A., and TD Bank, N.A.</w:t>
      </w:r>
    </w:p>
    <w:p>
      <w:pPr>
        <w:spacing w:after="0" w:line="17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1"/>
          <w:szCs w:val="21"/>
          <w:color w:val="231F20"/>
        </w:rPr>
        <w:t>4.66</w:t>
      </w:r>
      <w:r>
        <w:rPr>
          <w:sz w:val="20"/>
          <w:szCs w:val="20"/>
          <w:color w:val="auto"/>
        </w:rPr>
        <w:tab/>
      </w:r>
      <w:r>
        <w:rPr>
          <w:rFonts w:ascii="Times New Roman" w:cs="Times New Roman" w:eastAsia="Times New Roman" w:hAnsi="Times New Roman"/>
          <w:sz w:val="20"/>
          <w:szCs w:val="20"/>
          <w:color w:val="231F20"/>
        </w:rPr>
        <w:t>Third Amended and Restated Note issued to Citizens Bank, N.A.</w:t>
      </w:r>
    </w:p>
    <w:p>
      <w:pPr>
        <w:spacing w:after="0" w:line="20" w:lineRule="exact"/>
        <w:rPr>
          <w:sz w:val="20"/>
          <w:szCs w:val="20"/>
          <w:color w:val="auto"/>
        </w:rPr>
      </w:pPr>
      <w:r>
        <w:rPr>
          <w:sz w:val="20"/>
          <w:szCs w:val="20"/>
          <w:color w:val="auto"/>
        </w:rPr>
        <w:br w:type="column"/>
      </w:r>
    </w:p>
    <w:p>
      <w:pPr>
        <w:ind w:right="40"/>
        <w:spacing w:after="0" w:line="259" w:lineRule="auto"/>
        <w:rPr>
          <w:sz w:val="20"/>
          <w:szCs w:val="20"/>
          <w:color w:val="auto"/>
        </w:rPr>
      </w:pPr>
      <w:r>
        <w:rPr>
          <w:rFonts w:ascii="Times New Roman" w:cs="Times New Roman" w:eastAsia="Times New Roman" w:hAnsi="Times New Roman"/>
          <w:sz w:val="21"/>
          <w:szCs w:val="21"/>
          <w:color w:val="231F20"/>
        </w:rPr>
        <w:t>Exhibit 4.1 to Form 8-K dated January 29, 2025 (SEC File No. 1-8858)</w:t>
      </w:r>
    </w:p>
    <w:p>
      <w:pPr>
        <w:spacing w:after="0" w:line="200" w:lineRule="exact"/>
        <w:rPr>
          <w:sz w:val="20"/>
          <w:szCs w:val="20"/>
          <w:color w:val="auto"/>
        </w:rPr>
      </w:pPr>
    </w:p>
    <w:p>
      <w:pPr>
        <w:spacing w:after="0" w:line="214" w:lineRule="exact"/>
        <w:rPr>
          <w:sz w:val="20"/>
          <w:szCs w:val="20"/>
          <w:color w:val="auto"/>
        </w:rPr>
      </w:pPr>
    </w:p>
    <w:p>
      <w:pPr>
        <w:ind w:right="40" w:firstLine="1"/>
        <w:spacing w:after="0" w:line="259" w:lineRule="auto"/>
        <w:rPr>
          <w:sz w:val="20"/>
          <w:szCs w:val="20"/>
          <w:color w:val="auto"/>
        </w:rPr>
      </w:pPr>
      <w:r>
        <w:rPr>
          <w:rFonts w:ascii="Times New Roman" w:cs="Times New Roman" w:eastAsia="Times New Roman" w:hAnsi="Times New Roman"/>
          <w:sz w:val="21"/>
          <w:szCs w:val="21"/>
          <w:color w:val="231F20"/>
        </w:rPr>
        <w:t>Exhibit 4.2 to Form 8-K dated January 29, 2025 (SEC File No. 1-8858)</w:t>
      </w:r>
    </w:p>
    <w:p>
      <w:pPr>
        <w:spacing w:after="0" w:line="173" w:lineRule="exact"/>
        <w:rPr>
          <w:sz w:val="20"/>
          <w:szCs w:val="20"/>
          <w:color w:val="auto"/>
        </w:rPr>
      </w:pPr>
    </w:p>
    <w:p>
      <w:pPr>
        <w:sectPr>
          <w:pgSz w:w="12240" w:h="15840" w:orient="portrait"/>
          <w:cols w:equalWidth="0" w:num="2">
            <w:col w:w="7560" w:space="280"/>
            <w:col w:w="2940"/>
          </w:cols>
          <w:pgMar w:left="720" w:top="930" w:right="740" w:bottom="188" w:gutter="0" w:footer="0" w:header="0"/>
          <w:type w:val="continuous"/>
        </w:sectPr>
      </w:pPr>
    </w:p>
    <w:p>
      <w:pPr>
        <w:spacing w:after="0"/>
        <w:tabs>
          <w:tab w:leader="none" w:pos="1040" w:val="left"/>
        </w:tabs>
        <w:rPr>
          <w:sz w:val="20"/>
          <w:szCs w:val="20"/>
          <w:color w:val="auto"/>
        </w:rPr>
      </w:pPr>
      <w:r>
        <w:rPr>
          <w:rFonts w:ascii="Times New Roman" w:cs="Times New Roman" w:eastAsia="Times New Roman" w:hAnsi="Times New Roman"/>
          <w:sz w:val="21"/>
          <w:szCs w:val="21"/>
          <w:color w:val="231F20"/>
        </w:rPr>
        <w:t>4.67</w:t>
      </w:r>
      <w:r>
        <w:rPr>
          <w:sz w:val="20"/>
          <w:szCs w:val="20"/>
          <w:color w:val="auto"/>
        </w:rPr>
        <w:tab/>
      </w:r>
      <w:r>
        <w:rPr>
          <w:rFonts w:ascii="Times New Roman" w:cs="Times New Roman" w:eastAsia="Times New Roman" w:hAnsi="Times New Roman"/>
          <w:sz w:val="20"/>
          <w:szCs w:val="20"/>
          <w:color w:val="231F20"/>
        </w:rPr>
        <w:t>Third Amended and Restated Note issued to TD Bank, N.A.</w:t>
      </w:r>
    </w:p>
    <w:p>
      <w:pPr>
        <w:spacing w:after="0" w:line="20" w:lineRule="exact"/>
        <w:rPr>
          <w:sz w:val="20"/>
          <w:szCs w:val="20"/>
          <w:color w:val="auto"/>
        </w:rPr>
      </w:pPr>
      <w:r>
        <w:rPr>
          <w:sz w:val="20"/>
          <w:szCs w:val="20"/>
          <w:color w:val="auto"/>
        </w:rPr>
        <w:br w:type="column"/>
      </w:r>
    </w:p>
    <w:p>
      <w:pPr>
        <w:ind w:right="40" w:firstLine="1"/>
        <w:spacing w:after="0" w:line="259" w:lineRule="auto"/>
        <w:rPr>
          <w:sz w:val="20"/>
          <w:szCs w:val="20"/>
          <w:color w:val="auto"/>
        </w:rPr>
      </w:pPr>
      <w:r>
        <w:rPr>
          <w:rFonts w:ascii="Times New Roman" w:cs="Times New Roman" w:eastAsia="Times New Roman" w:hAnsi="Times New Roman"/>
          <w:sz w:val="21"/>
          <w:szCs w:val="21"/>
          <w:color w:val="231F20"/>
        </w:rPr>
        <w:t>Exhibit 4.3 to Form 8-K dated January 29, 2025 (SEC File No. 1-8858)</w:t>
      </w:r>
    </w:p>
    <w:p>
      <w:pPr>
        <w:spacing w:after="0" w:line="173" w:lineRule="exact"/>
        <w:rPr>
          <w:sz w:val="20"/>
          <w:szCs w:val="20"/>
          <w:color w:val="auto"/>
        </w:rPr>
      </w:pPr>
    </w:p>
    <w:p>
      <w:pPr>
        <w:sectPr>
          <w:pgSz w:w="12240" w:h="15840" w:orient="portrait"/>
          <w:cols w:equalWidth="0" w:num="2">
            <w:col w:w="7120" w:space="720"/>
            <w:col w:w="2940"/>
          </w:cols>
          <w:pgMar w:left="720" w:top="930" w:right="740" w:bottom="188" w:gutter="0" w:footer="0" w:header="0"/>
          <w:type w:val="continuous"/>
        </w:sectPr>
      </w:pPr>
    </w:p>
    <w:p>
      <w:pPr>
        <w:ind w:left="1060" w:hanging="1052"/>
        <w:spacing w:after="0" w:line="279" w:lineRule="auto"/>
        <w:rPr>
          <w:sz w:val="20"/>
          <w:szCs w:val="20"/>
          <w:color w:val="auto"/>
        </w:rPr>
      </w:pPr>
      <w:r>
        <w:rPr>
          <w:rFonts w:ascii="Times New Roman" w:cs="Times New Roman" w:eastAsia="Times New Roman" w:hAnsi="Times New Roman"/>
          <w:sz w:val="21"/>
          <w:szCs w:val="21"/>
          <w:color w:val="231F20"/>
        </w:rPr>
        <w:t>4.68 (5)(8) Note Purchase Agreement dated July 8, 2025 by and among Bangor Natural Gas Company and the several purchasers named therein.</w:t>
      </w:r>
    </w:p>
    <w:p>
      <w:pPr>
        <w:spacing w:after="0" w:line="20" w:lineRule="exact"/>
        <w:rPr>
          <w:sz w:val="20"/>
          <w:szCs w:val="20"/>
          <w:color w:val="auto"/>
        </w:rPr>
      </w:pPr>
      <w:r>
        <w:rPr>
          <w:sz w:val="20"/>
          <w:szCs w:val="20"/>
          <w:color w:val="auto"/>
        </w:rPr>
        <w:br w:type="column"/>
      </w:r>
    </w:p>
    <w:p>
      <w:pPr>
        <w:spacing w:after="0" w:line="279" w:lineRule="auto"/>
        <w:rPr>
          <w:sz w:val="20"/>
          <w:szCs w:val="20"/>
          <w:color w:val="auto"/>
        </w:rPr>
      </w:pPr>
      <w:r>
        <w:rPr>
          <w:rFonts w:ascii="Times New Roman" w:cs="Times New Roman" w:eastAsia="Times New Roman" w:hAnsi="Times New Roman"/>
          <w:sz w:val="21"/>
          <w:szCs w:val="21"/>
          <w:color w:val="231F20"/>
        </w:rPr>
        <w:t>Exhibit 4.1 to Form 8-K for July 8, 2025 (SEC File No. 1-8858)</w:t>
      </w:r>
    </w:p>
    <w:p>
      <w:pPr>
        <w:spacing w:after="0" w:line="200" w:lineRule="exact"/>
        <w:rPr>
          <w:sz w:val="20"/>
          <w:szCs w:val="20"/>
          <w:color w:val="auto"/>
        </w:rPr>
      </w:pPr>
    </w:p>
    <w:p>
      <w:pPr>
        <w:sectPr>
          <w:pgSz w:w="12240" w:h="15840" w:orient="portrait"/>
          <w:cols w:equalWidth="0" w:num="2">
            <w:col w:w="7440" w:space="400"/>
            <w:col w:w="2940"/>
          </w:cols>
          <w:pgMar w:left="720" w:top="930" w:right="740" w:bottom="188"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99</w:t>
      </w:r>
    </w:p>
    <w:p>
      <w:pPr>
        <w:sectPr>
          <w:pgSz w:w="12240" w:h="15840" w:orient="portrait"/>
          <w:cols w:equalWidth="0" w:num="1">
            <w:col w:w="10780"/>
          </w:cols>
          <w:pgMar w:left="720" w:top="930" w:right="740" w:bottom="188" w:gutter="0" w:footer="0" w:header="0"/>
          <w:type w:val="continuous"/>
        </w:sectPr>
      </w:pPr>
    </w:p>
    <w:bookmarkStart w:id="119" w:name="page120"/>
    <w:bookmarkEnd w:id="119"/>
    <w:p>
      <w:pPr>
        <w:ind w:left="280"/>
        <w:spacing w:after="0"/>
        <w:rPr>
          <w:sz w:val="20"/>
          <w:szCs w:val="20"/>
          <w:color w:val="auto"/>
        </w:rPr>
      </w:pPr>
      <w:r>
        <w:rPr>
          <w:rFonts w:ascii="Times New Roman" w:cs="Times New Roman" w:eastAsia="Times New Roman" w:hAnsi="Times New Roman"/>
          <w:sz w:val="16"/>
          <w:szCs w:val="16"/>
          <w:b w:val="1"/>
          <w:bCs w:val="1"/>
          <w:u w:val="single" w:color="auto"/>
          <w:color w:val="231F20"/>
        </w:rPr>
        <w:t>Exhibit</w:t>
      </w:r>
    </w:p>
    <w:p>
      <w:pPr>
        <w:spacing w:after="0" w:line="26" w:lineRule="exact"/>
        <w:rPr>
          <w:sz w:val="20"/>
          <w:szCs w:val="20"/>
          <w:color w:val="auto"/>
        </w:rPr>
      </w:pPr>
    </w:p>
    <w:p>
      <w:pPr>
        <w:ind w:left="240"/>
        <w:spacing w:after="0"/>
        <w:tabs>
          <w:tab w:leader="none" w:pos="3620" w:val="left"/>
          <w:tab w:leader="none" w:pos="8840" w:val="left"/>
        </w:tabs>
        <w:rPr>
          <w:sz w:val="20"/>
          <w:szCs w:val="20"/>
          <w:color w:val="auto"/>
        </w:rPr>
      </w:pPr>
      <w:r>
        <w:rPr>
          <w:rFonts w:ascii="Times New Roman" w:cs="Times New Roman" w:eastAsia="Times New Roman" w:hAnsi="Times New Roman"/>
          <w:sz w:val="16"/>
          <w:szCs w:val="16"/>
          <w:b w:val="1"/>
          <w:bCs w:val="1"/>
          <w:u w:val="single" w:color="auto"/>
          <w:color w:val="231F20"/>
        </w:rPr>
        <w:t>Number</w:t>
      </w:r>
      <w:r>
        <w:rPr>
          <w:sz w:val="20"/>
          <w:szCs w:val="20"/>
          <w:color w:val="auto"/>
        </w:rPr>
        <w:tab/>
      </w:r>
      <w:r>
        <w:rPr>
          <w:rFonts w:ascii="Times New Roman" w:cs="Times New Roman" w:eastAsia="Times New Roman" w:hAnsi="Times New Roman"/>
          <w:sz w:val="16"/>
          <w:szCs w:val="16"/>
          <w:b w:val="1"/>
          <w:bCs w:val="1"/>
          <w:u w:val="single" w:color="auto"/>
          <w:color w:val="231F20"/>
        </w:rPr>
        <w:t>Description of Exhibit</w:t>
      </w:r>
      <w:r>
        <w:rPr>
          <w:sz w:val="20"/>
          <w:szCs w:val="20"/>
          <w:color w:val="auto"/>
        </w:rPr>
        <w:tab/>
      </w:r>
      <w:r>
        <w:rPr>
          <w:rFonts w:ascii="Times New Roman" w:cs="Times New Roman" w:eastAsia="Times New Roman" w:hAnsi="Times New Roman"/>
          <w:sz w:val="16"/>
          <w:szCs w:val="16"/>
          <w:b w:val="1"/>
          <w:bCs w:val="1"/>
          <w:u w:val="single" w:color="auto"/>
          <w:color w:val="231F20"/>
        </w:rPr>
        <w:t>Reference (1)</w:t>
      </w:r>
    </w:p>
    <w:p>
      <w:pPr>
        <w:sectPr>
          <w:pgSz w:w="12240" w:h="15840" w:orient="portrait"/>
          <w:cols w:equalWidth="0" w:num="1">
            <w:col w:w="10780"/>
          </w:cols>
          <w:pgMar w:left="720" w:top="930" w:right="740" w:bottom="176" w:gutter="0" w:footer="0" w:header="0"/>
        </w:sectPr>
      </w:pPr>
    </w:p>
    <w:p>
      <w:pPr>
        <w:spacing w:after="0" w:line="202" w:lineRule="exact"/>
        <w:rPr>
          <w:sz w:val="20"/>
          <w:szCs w:val="20"/>
          <w:color w:val="auto"/>
        </w:rPr>
      </w:pPr>
    </w:p>
    <w:p>
      <w:pPr>
        <w:ind w:left="1060" w:hanging="1052"/>
        <w:spacing w:after="0" w:line="279" w:lineRule="auto"/>
        <w:tabs>
          <w:tab w:leader="none" w:pos="1040" w:val="left"/>
        </w:tabs>
        <w:rPr>
          <w:sz w:val="20"/>
          <w:szCs w:val="20"/>
          <w:color w:val="auto"/>
        </w:rPr>
      </w:pPr>
      <w:r>
        <w:rPr>
          <w:rFonts w:ascii="Times New Roman" w:cs="Times New Roman" w:eastAsia="Times New Roman" w:hAnsi="Times New Roman"/>
          <w:sz w:val="21"/>
          <w:szCs w:val="21"/>
          <w:color w:val="231F20"/>
        </w:rPr>
        <w:t>4.69</w:t>
      </w:r>
      <w:r>
        <w:rPr>
          <w:sz w:val="20"/>
          <w:szCs w:val="20"/>
          <w:color w:val="auto"/>
        </w:rPr>
        <w:tab/>
      </w:r>
      <w:r>
        <w:rPr>
          <w:rFonts w:ascii="Times New Roman" w:cs="Times New Roman" w:eastAsia="Times New Roman" w:hAnsi="Times New Roman"/>
          <w:sz w:val="21"/>
          <w:szCs w:val="21"/>
          <w:color w:val="231F20"/>
        </w:rPr>
        <w:t>5.70% Senior Note, Series 2025A, due July 8, 2030, issued by Bangor Natural Gas Company to CoBank, ACB.</w:t>
      </w:r>
    </w:p>
    <w:p>
      <w:pPr>
        <w:spacing w:after="0" w:line="152" w:lineRule="exact"/>
        <w:rPr>
          <w:sz w:val="20"/>
          <w:szCs w:val="20"/>
          <w:color w:val="auto"/>
        </w:rPr>
      </w:pPr>
    </w:p>
    <w:p>
      <w:pPr>
        <w:ind w:left="1060" w:right="20" w:hanging="1052"/>
        <w:spacing w:after="0" w:line="279" w:lineRule="auto"/>
        <w:tabs>
          <w:tab w:leader="none" w:pos="1040" w:val="left"/>
        </w:tabs>
        <w:rPr>
          <w:sz w:val="20"/>
          <w:szCs w:val="20"/>
          <w:color w:val="auto"/>
        </w:rPr>
      </w:pPr>
      <w:r>
        <w:rPr>
          <w:rFonts w:ascii="Times New Roman" w:cs="Times New Roman" w:eastAsia="Times New Roman" w:hAnsi="Times New Roman"/>
          <w:sz w:val="21"/>
          <w:szCs w:val="21"/>
          <w:color w:val="231F20"/>
        </w:rPr>
        <w:t>4.70</w:t>
      </w:r>
      <w:r>
        <w:rPr>
          <w:sz w:val="20"/>
          <w:szCs w:val="20"/>
          <w:color w:val="auto"/>
        </w:rPr>
        <w:tab/>
      </w:r>
      <w:r>
        <w:rPr>
          <w:rFonts w:ascii="Times New Roman" w:cs="Times New Roman" w:eastAsia="Times New Roman" w:hAnsi="Times New Roman"/>
          <w:sz w:val="21"/>
          <w:szCs w:val="21"/>
          <w:color w:val="231F20"/>
        </w:rPr>
        <w:t>6.31% Senior Note, Series 2025B, due July 8, 2035, issued by Bangor Natural Gas Company to United of Omaha Life Insurance Company.</w:t>
      </w:r>
    </w:p>
    <w:p>
      <w:pPr>
        <w:spacing w:after="0" w:line="152" w:lineRule="exact"/>
        <w:rPr>
          <w:sz w:val="20"/>
          <w:szCs w:val="20"/>
          <w:color w:val="auto"/>
        </w:rPr>
      </w:pPr>
    </w:p>
    <w:p>
      <w:pPr>
        <w:ind w:left="1060" w:right="380" w:hanging="1052"/>
        <w:spacing w:after="0" w:line="305" w:lineRule="auto"/>
        <w:tabs>
          <w:tab w:leader="none" w:pos="1040" w:val="left"/>
        </w:tabs>
        <w:rPr>
          <w:sz w:val="20"/>
          <w:szCs w:val="20"/>
          <w:color w:val="auto"/>
        </w:rPr>
      </w:pPr>
      <w:r>
        <w:rPr>
          <w:rFonts w:ascii="Times New Roman" w:cs="Times New Roman" w:eastAsia="Times New Roman" w:hAnsi="Times New Roman"/>
          <w:sz w:val="21"/>
          <w:szCs w:val="21"/>
          <w:color w:val="231F20"/>
        </w:rPr>
        <w:t>4.71 (5)</w:t>
      </w:r>
      <w:r>
        <w:rPr>
          <w:sz w:val="20"/>
          <w:szCs w:val="20"/>
          <w:color w:val="auto"/>
        </w:rPr>
        <w:tab/>
      </w:r>
      <w:r>
        <w:rPr>
          <w:rFonts w:ascii="Times New Roman" w:cs="Times New Roman" w:eastAsia="Times New Roman" w:hAnsi="Times New Roman"/>
          <w:sz w:val="20"/>
          <w:szCs w:val="20"/>
          <w:color w:val="231F20"/>
        </w:rPr>
        <w:t>Credit Agreement dated October 31, 2025 among Unitil Corporation, The Bank of Nova Scotia, as agent, and The Bank of Nova Scotia, as lender</w:t>
      </w:r>
    </w:p>
    <w:p>
      <w:pPr>
        <w:spacing w:after="0" w:line="370" w:lineRule="exact"/>
        <w:rPr>
          <w:sz w:val="20"/>
          <w:szCs w:val="20"/>
          <w:color w:val="auto"/>
        </w:rPr>
      </w:pPr>
    </w:p>
    <w:p>
      <w:pPr>
        <w:ind w:left="1060" w:right="80" w:hanging="1052"/>
        <w:spacing w:after="0" w:line="279" w:lineRule="auto"/>
        <w:tabs>
          <w:tab w:leader="none" w:pos="1040" w:val="left"/>
        </w:tabs>
        <w:rPr>
          <w:sz w:val="20"/>
          <w:szCs w:val="20"/>
          <w:color w:val="auto"/>
        </w:rPr>
      </w:pPr>
      <w:r>
        <w:rPr>
          <w:rFonts w:ascii="Times New Roman" w:cs="Times New Roman" w:eastAsia="Times New Roman" w:hAnsi="Times New Roman"/>
          <w:sz w:val="21"/>
          <w:szCs w:val="21"/>
          <w:color w:val="231F20"/>
        </w:rPr>
        <w:t>10.1 (3)</w:t>
      </w:r>
      <w:r>
        <w:rPr>
          <w:sz w:val="20"/>
          <w:szCs w:val="20"/>
          <w:color w:val="auto"/>
        </w:rPr>
        <w:tab/>
      </w:r>
      <w:r>
        <w:rPr>
          <w:rFonts w:ascii="Times New Roman" w:cs="Times New Roman" w:eastAsia="Times New Roman" w:hAnsi="Times New Roman"/>
          <w:sz w:val="21"/>
          <w:szCs w:val="21"/>
          <w:color w:val="231F20"/>
        </w:rPr>
        <w:t>Amended and Restated Form of Severance Agreement between the Company and the persons listed at the end of such Agreement.</w:t>
      </w:r>
    </w:p>
    <w:p>
      <w:pPr>
        <w:spacing w:after="0" w:line="393" w:lineRule="exact"/>
        <w:rPr>
          <w:sz w:val="20"/>
          <w:szCs w:val="20"/>
          <w:color w:val="auto"/>
        </w:rPr>
      </w:pPr>
    </w:p>
    <w:p>
      <w:pPr>
        <w:ind w:left="1060" w:right="80" w:hanging="1052"/>
        <w:spacing w:after="0" w:line="279" w:lineRule="auto"/>
        <w:tabs>
          <w:tab w:leader="none" w:pos="1040" w:val="left"/>
        </w:tabs>
        <w:rPr>
          <w:sz w:val="20"/>
          <w:szCs w:val="20"/>
          <w:color w:val="auto"/>
        </w:rPr>
      </w:pPr>
      <w:r>
        <w:rPr>
          <w:rFonts w:ascii="Times New Roman" w:cs="Times New Roman" w:eastAsia="Times New Roman" w:hAnsi="Times New Roman"/>
          <w:sz w:val="21"/>
          <w:szCs w:val="21"/>
          <w:color w:val="231F20"/>
        </w:rPr>
        <w:t>10.2 (3)</w:t>
      </w:r>
      <w:r>
        <w:rPr>
          <w:sz w:val="20"/>
          <w:szCs w:val="20"/>
          <w:color w:val="auto"/>
        </w:rPr>
        <w:tab/>
      </w:r>
      <w:r>
        <w:rPr>
          <w:rFonts w:ascii="Times New Roman" w:cs="Times New Roman" w:eastAsia="Times New Roman" w:hAnsi="Times New Roman"/>
          <w:sz w:val="21"/>
          <w:szCs w:val="21"/>
          <w:color w:val="231F20"/>
        </w:rPr>
        <w:t>Amended and Restated Form of Severance Agreement between the Company and the persons listed at the end of such Agreement.</w:t>
      </w:r>
    </w:p>
    <w:p>
      <w:pPr>
        <w:spacing w:after="0" w:line="39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1"/>
          <w:szCs w:val="21"/>
          <w:color w:val="231F20"/>
        </w:rPr>
        <w:t>10.3 (3)</w:t>
      </w:r>
      <w:r>
        <w:rPr>
          <w:sz w:val="20"/>
          <w:szCs w:val="20"/>
          <w:color w:val="auto"/>
        </w:rPr>
        <w:tab/>
      </w:r>
      <w:r>
        <w:rPr>
          <w:rFonts w:ascii="Times New Roman" w:cs="Times New Roman" w:eastAsia="Times New Roman" w:hAnsi="Times New Roman"/>
          <w:sz w:val="20"/>
          <w:szCs w:val="20"/>
          <w:color w:val="231F20"/>
        </w:rPr>
        <w:t>Amended and Restated Form of Severance Agreement (Three-Year Term).</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1"/>
          <w:szCs w:val="21"/>
          <w:color w:val="231F20"/>
        </w:rPr>
        <w:t>Exhibit 4.2 to Form 8-K for July 8, 2025 (SEC File No. 1-8858)</w:t>
      </w:r>
    </w:p>
    <w:p>
      <w:pPr>
        <w:spacing w:after="0" w:line="15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1"/>
          <w:szCs w:val="21"/>
          <w:color w:val="231F20"/>
        </w:rPr>
        <w:t>Exhibit 4.3 to Form 8-K for July 8, 2025 (SEC File No. 1-8858)</w:t>
      </w:r>
    </w:p>
    <w:p>
      <w:pPr>
        <w:spacing w:after="0" w:line="15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1"/>
          <w:szCs w:val="21"/>
          <w:color w:val="231F20"/>
        </w:rPr>
        <w:t>Exhibit 4.1 to Form 8-K for October 31, 2025 (SEC File No. 1-8858)</w:t>
      </w:r>
    </w:p>
    <w:p>
      <w:pPr>
        <w:spacing w:after="0" w:line="173" w:lineRule="exact"/>
        <w:rPr>
          <w:sz w:val="20"/>
          <w:szCs w:val="20"/>
          <w:color w:val="auto"/>
        </w:rPr>
      </w:pPr>
    </w:p>
    <w:p>
      <w:pPr>
        <w:jc w:val="both"/>
        <w:ind w:right="300"/>
        <w:spacing w:after="0" w:line="259" w:lineRule="auto"/>
        <w:rPr>
          <w:sz w:val="20"/>
          <w:szCs w:val="20"/>
          <w:color w:val="auto"/>
        </w:rPr>
      </w:pPr>
      <w:r>
        <w:rPr>
          <w:rFonts w:ascii="Times New Roman" w:cs="Times New Roman" w:eastAsia="Times New Roman" w:hAnsi="Times New Roman"/>
          <w:sz w:val="21"/>
          <w:szCs w:val="21"/>
          <w:color w:val="231F20"/>
        </w:rPr>
        <w:t>Exhibit 10.2 to Form 8-K dated June 19, 2008 (SEC File No. 1-8858)</w:t>
      </w:r>
    </w:p>
    <w:p>
      <w:pPr>
        <w:spacing w:after="0" w:line="173" w:lineRule="exact"/>
        <w:rPr>
          <w:sz w:val="20"/>
          <w:szCs w:val="20"/>
          <w:color w:val="auto"/>
        </w:rPr>
      </w:pPr>
    </w:p>
    <w:p>
      <w:pPr>
        <w:jc w:val="both"/>
        <w:ind w:right="300"/>
        <w:spacing w:after="0" w:line="259" w:lineRule="auto"/>
        <w:rPr>
          <w:sz w:val="20"/>
          <w:szCs w:val="20"/>
          <w:color w:val="auto"/>
        </w:rPr>
      </w:pPr>
      <w:r>
        <w:rPr>
          <w:rFonts w:ascii="Times New Roman" w:cs="Times New Roman" w:eastAsia="Times New Roman" w:hAnsi="Times New Roman"/>
          <w:sz w:val="21"/>
          <w:szCs w:val="21"/>
          <w:color w:val="231F20"/>
        </w:rPr>
        <w:t>Exhibit 10.3 to Form 8-K dated June 19, 2008 (SEC File No. 1-8858)</w:t>
      </w:r>
    </w:p>
    <w:p>
      <w:pPr>
        <w:spacing w:after="0" w:line="173" w:lineRule="exact"/>
        <w:rPr>
          <w:sz w:val="20"/>
          <w:szCs w:val="20"/>
          <w:color w:val="auto"/>
        </w:rPr>
      </w:pPr>
    </w:p>
    <w:p>
      <w:pPr>
        <w:jc w:val="both"/>
        <w:ind w:right="300" w:firstLine="1"/>
        <w:spacing w:after="0" w:line="259" w:lineRule="auto"/>
        <w:rPr>
          <w:sz w:val="20"/>
          <w:szCs w:val="20"/>
          <w:color w:val="auto"/>
        </w:rPr>
      </w:pPr>
      <w:r>
        <w:rPr>
          <w:rFonts w:ascii="Times New Roman" w:cs="Times New Roman" w:eastAsia="Times New Roman" w:hAnsi="Times New Roman"/>
          <w:sz w:val="21"/>
          <w:szCs w:val="21"/>
          <w:color w:val="231F20"/>
        </w:rPr>
        <w:t>Exhibit 10.1 to Form 8-K dated July 25, 2018 (SEC File No. 1-8858)</w:t>
      </w:r>
    </w:p>
    <w:p>
      <w:pPr>
        <w:spacing w:after="0" w:line="184" w:lineRule="exact"/>
        <w:rPr>
          <w:sz w:val="20"/>
          <w:szCs w:val="20"/>
          <w:color w:val="auto"/>
        </w:rPr>
      </w:pPr>
    </w:p>
    <w:p>
      <w:pPr>
        <w:sectPr>
          <w:pgSz w:w="12240" w:h="15840" w:orient="portrait"/>
          <w:cols w:equalWidth="0" w:num="2">
            <w:col w:w="7640" w:space="200"/>
            <w:col w:w="2940"/>
          </w:cols>
          <w:pgMar w:left="720" w:top="930" w:right="740" w:bottom="176"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86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231F20"/>
                <w:w w:val="96"/>
              </w:rPr>
              <w:t>10.4 (3)</w:t>
            </w:r>
          </w:p>
        </w:tc>
        <w:tc>
          <w:tcPr>
            <w:tcW w:w="6860" w:type="dxa"/>
            <w:vAlign w:val="bottom"/>
          </w:tcPr>
          <w:p>
            <w:pPr>
              <w:ind w:left="200"/>
              <w:spacing w:after="0"/>
              <w:rPr>
                <w:sz w:val="20"/>
                <w:szCs w:val="20"/>
                <w:color w:val="auto"/>
              </w:rPr>
            </w:pPr>
            <w:r>
              <w:rPr>
                <w:rFonts w:ascii="Times New Roman" w:cs="Times New Roman" w:eastAsia="Times New Roman" w:hAnsi="Times New Roman"/>
                <w:sz w:val="21"/>
                <w:szCs w:val="21"/>
                <w:color w:val="231F20"/>
              </w:rPr>
              <w:t>Amended and Restated Form of Severance Agreement (Two-Year Term).</w:t>
            </w:r>
          </w:p>
        </w:tc>
        <w:tc>
          <w:tcPr>
            <w:tcW w:w="2760" w:type="dxa"/>
            <w:vAlign w:val="bottom"/>
          </w:tcPr>
          <w:p>
            <w:pPr>
              <w:ind w:left="120"/>
              <w:spacing w:after="0"/>
              <w:rPr>
                <w:sz w:val="20"/>
                <w:szCs w:val="20"/>
                <w:color w:val="auto"/>
              </w:rPr>
            </w:pPr>
            <w:r>
              <w:rPr>
                <w:rFonts w:ascii="Times New Roman" w:cs="Times New Roman" w:eastAsia="Times New Roman" w:hAnsi="Times New Roman"/>
                <w:sz w:val="21"/>
                <w:szCs w:val="21"/>
                <w:color w:val="231F20"/>
                <w:w w:val="98"/>
              </w:rPr>
              <w:t>Exhibit 10.2 to Form 8-K dated</w:t>
            </w:r>
          </w:p>
        </w:tc>
      </w:tr>
      <w:tr>
        <w:trPr>
          <w:trHeight w:val="242"/>
        </w:trPr>
        <w:tc>
          <w:tcPr>
            <w:tcW w:w="86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2760" w:type="dxa"/>
            <w:vAlign w:val="bottom"/>
          </w:tcPr>
          <w:p>
            <w:pPr>
              <w:ind w:left="120"/>
              <w:spacing w:after="0"/>
              <w:rPr>
                <w:sz w:val="20"/>
                <w:szCs w:val="20"/>
                <w:color w:val="auto"/>
              </w:rPr>
            </w:pPr>
            <w:r>
              <w:rPr>
                <w:rFonts w:ascii="Times New Roman" w:cs="Times New Roman" w:eastAsia="Times New Roman" w:hAnsi="Times New Roman"/>
                <w:sz w:val="21"/>
                <w:szCs w:val="21"/>
                <w:color w:val="231F20"/>
              </w:rPr>
              <w:t>July 25, 2018 (SEC File No. 1-</w:t>
            </w:r>
          </w:p>
        </w:tc>
      </w:tr>
      <w:tr>
        <w:trPr>
          <w:trHeight w:val="281"/>
        </w:trPr>
        <w:tc>
          <w:tcPr>
            <w:tcW w:w="8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760" w:type="dxa"/>
            <w:vAlign w:val="bottom"/>
          </w:tcPr>
          <w:p>
            <w:pPr>
              <w:ind w:left="120"/>
              <w:spacing w:after="0"/>
              <w:rPr>
                <w:sz w:val="20"/>
                <w:szCs w:val="20"/>
                <w:color w:val="auto"/>
              </w:rPr>
            </w:pPr>
            <w:r>
              <w:rPr>
                <w:rFonts w:ascii="Times New Roman" w:cs="Times New Roman" w:eastAsia="Times New Roman" w:hAnsi="Times New Roman"/>
                <w:sz w:val="21"/>
                <w:szCs w:val="21"/>
                <w:color w:val="231F20"/>
              </w:rPr>
              <w:t>8858)</w:t>
            </w:r>
          </w:p>
        </w:tc>
      </w:tr>
      <w:tr>
        <w:trPr>
          <w:trHeight w:val="432"/>
        </w:trPr>
        <w:tc>
          <w:tcPr>
            <w:tcW w:w="86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231F20"/>
                <w:w w:val="96"/>
              </w:rPr>
              <w:t>10.5 (3)</w:t>
            </w:r>
          </w:p>
        </w:tc>
        <w:tc>
          <w:tcPr>
            <w:tcW w:w="6860" w:type="dxa"/>
            <w:vAlign w:val="bottom"/>
          </w:tcPr>
          <w:p>
            <w:pPr>
              <w:ind w:left="200"/>
              <w:spacing w:after="0"/>
              <w:rPr>
                <w:sz w:val="20"/>
                <w:szCs w:val="20"/>
                <w:color w:val="auto"/>
              </w:rPr>
            </w:pPr>
            <w:r>
              <w:rPr>
                <w:rFonts w:ascii="Times New Roman" w:cs="Times New Roman" w:eastAsia="Times New Roman" w:hAnsi="Times New Roman"/>
                <w:sz w:val="21"/>
                <w:szCs w:val="21"/>
                <w:color w:val="231F20"/>
              </w:rPr>
              <w:t>Amended and Restated Form of Severance Agreement (Two-Year Term; Non</w:t>
            </w:r>
          </w:p>
        </w:tc>
        <w:tc>
          <w:tcPr>
            <w:tcW w:w="2760" w:type="dxa"/>
            <w:vAlign w:val="bottom"/>
          </w:tcPr>
          <w:p>
            <w:pPr>
              <w:ind w:left="120"/>
              <w:spacing w:after="0"/>
              <w:rPr>
                <w:sz w:val="20"/>
                <w:szCs w:val="20"/>
                <w:color w:val="auto"/>
              </w:rPr>
            </w:pPr>
            <w:r>
              <w:rPr>
                <w:rFonts w:ascii="Times New Roman" w:cs="Times New Roman" w:eastAsia="Times New Roman" w:hAnsi="Times New Roman"/>
                <w:sz w:val="21"/>
                <w:szCs w:val="21"/>
                <w:color w:val="231F20"/>
                <w:w w:val="98"/>
              </w:rPr>
              <w:t>Exhibit 10.3 to Form 8-K dated</w:t>
            </w:r>
          </w:p>
        </w:tc>
      </w:tr>
      <w:tr>
        <w:trPr>
          <w:trHeight w:val="242"/>
        </w:trPr>
        <w:tc>
          <w:tcPr>
            <w:tcW w:w="860" w:type="dxa"/>
            <w:vAlign w:val="bottom"/>
          </w:tcPr>
          <w:p>
            <w:pPr>
              <w:spacing w:after="0"/>
              <w:rPr>
                <w:sz w:val="21"/>
                <w:szCs w:val="21"/>
                <w:color w:val="auto"/>
              </w:rPr>
            </w:pPr>
          </w:p>
        </w:tc>
        <w:tc>
          <w:tcPr>
            <w:tcW w:w="6860" w:type="dxa"/>
            <w:vAlign w:val="bottom"/>
          </w:tcPr>
          <w:p>
            <w:pPr>
              <w:ind w:left="200"/>
              <w:spacing w:after="0"/>
              <w:rPr>
                <w:sz w:val="20"/>
                <w:szCs w:val="20"/>
                <w:color w:val="auto"/>
              </w:rPr>
            </w:pPr>
            <w:r>
              <w:rPr>
                <w:rFonts w:ascii="Times New Roman" w:cs="Times New Roman" w:eastAsia="Times New Roman" w:hAnsi="Times New Roman"/>
                <w:sz w:val="21"/>
                <w:szCs w:val="21"/>
                <w:color w:val="231F20"/>
              </w:rPr>
              <w:t>Pension).</w:t>
            </w:r>
          </w:p>
        </w:tc>
        <w:tc>
          <w:tcPr>
            <w:tcW w:w="2760" w:type="dxa"/>
            <w:vAlign w:val="bottom"/>
          </w:tcPr>
          <w:p>
            <w:pPr>
              <w:ind w:left="120"/>
              <w:spacing w:after="0"/>
              <w:rPr>
                <w:sz w:val="20"/>
                <w:szCs w:val="20"/>
                <w:color w:val="auto"/>
              </w:rPr>
            </w:pPr>
            <w:r>
              <w:rPr>
                <w:rFonts w:ascii="Times New Roman" w:cs="Times New Roman" w:eastAsia="Times New Roman" w:hAnsi="Times New Roman"/>
                <w:sz w:val="21"/>
                <w:szCs w:val="21"/>
                <w:color w:val="231F20"/>
              </w:rPr>
              <w:t>July 25, 2018 (SEC File No. 1-</w:t>
            </w:r>
          </w:p>
        </w:tc>
      </w:tr>
      <w:tr>
        <w:trPr>
          <w:trHeight w:val="281"/>
        </w:trPr>
        <w:tc>
          <w:tcPr>
            <w:tcW w:w="8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760" w:type="dxa"/>
            <w:vAlign w:val="bottom"/>
          </w:tcPr>
          <w:p>
            <w:pPr>
              <w:ind w:left="120"/>
              <w:spacing w:after="0"/>
              <w:rPr>
                <w:sz w:val="20"/>
                <w:szCs w:val="20"/>
                <w:color w:val="auto"/>
              </w:rPr>
            </w:pPr>
            <w:r>
              <w:rPr>
                <w:rFonts w:ascii="Times New Roman" w:cs="Times New Roman" w:eastAsia="Times New Roman" w:hAnsi="Times New Roman"/>
                <w:sz w:val="21"/>
                <w:szCs w:val="21"/>
                <w:color w:val="231F20"/>
              </w:rPr>
              <w:t>8858)</w:t>
            </w:r>
          </w:p>
        </w:tc>
      </w:tr>
    </w:tbl>
    <w:p>
      <w:pPr>
        <w:spacing w:after="0" w:line="190" w:lineRule="exact"/>
        <w:rPr>
          <w:sz w:val="20"/>
          <w:szCs w:val="20"/>
          <w:color w:val="auto"/>
        </w:rPr>
      </w:pPr>
    </w:p>
    <w:p>
      <w:pPr>
        <w:sectPr>
          <w:pgSz w:w="12240" w:h="15840" w:orient="portrait"/>
          <w:cols w:equalWidth="0" w:num="1">
            <w:col w:w="10780"/>
          </w:cols>
          <w:pgMar w:left="720" w:top="930" w:right="740" w:bottom="176" w:gutter="0" w:footer="0" w:header="0"/>
          <w:type w:val="continuous"/>
        </w:sectPr>
      </w:pPr>
    </w:p>
    <w:p>
      <w:pPr>
        <w:ind w:left="1060" w:hanging="1052"/>
        <w:spacing w:after="0" w:line="279" w:lineRule="auto"/>
        <w:tabs>
          <w:tab w:leader="none" w:pos="1040" w:val="left"/>
        </w:tabs>
        <w:rPr>
          <w:sz w:val="20"/>
          <w:szCs w:val="20"/>
          <w:color w:val="auto"/>
        </w:rPr>
      </w:pPr>
      <w:r>
        <w:rPr>
          <w:rFonts w:ascii="Times New Roman" w:cs="Times New Roman" w:eastAsia="Times New Roman" w:hAnsi="Times New Roman"/>
          <w:sz w:val="21"/>
          <w:szCs w:val="21"/>
          <w:color w:val="231F20"/>
        </w:rPr>
        <w:t>10.6 (3)</w:t>
      </w:r>
      <w:r>
        <w:rPr>
          <w:sz w:val="20"/>
          <w:szCs w:val="20"/>
          <w:color w:val="auto"/>
        </w:rPr>
        <w:tab/>
      </w:r>
      <w:r>
        <w:rPr>
          <w:rFonts w:ascii="Times New Roman" w:cs="Times New Roman" w:eastAsia="Times New Roman" w:hAnsi="Times New Roman"/>
          <w:sz w:val="21"/>
          <w:szCs w:val="21"/>
          <w:color w:val="231F20"/>
        </w:rPr>
        <w:t>Severance Agreement dated March 23, 2020, between the Company and Daniel J. Hurstak.</w:t>
      </w:r>
    </w:p>
    <w:p>
      <w:pPr>
        <w:spacing w:after="0" w:line="20" w:lineRule="exact"/>
        <w:rPr>
          <w:sz w:val="20"/>
          <w:szCs w:val="20"/>
          <w:color w:val="auto"/>
        </w:rPr>
      </w:pPr>
      <w:r>
        <w:rPr>
          <w:sz w:val="20"/>
          <w:szCs w:val="20"/>
          <w:color w:val="auto"/>
        </w:rPr>
        <w:br w:type="column"/>
      </w:r>
    </w:p>
    <w:p>
      <w:pPr>
        <w:ind w:right="140"/>
        <w:spacing w:after="0" w:line="259" w:lineRule="auto"/>
        <w:rPr>
          <w:sz w:val="20"/>
          <w:szCs w:val="20"/>
          <w:color w:val="auto"/>
        </w:rPr>
      </w:pPr>
      <w:r>
        <w:rPr>
          <w:rFonts w:ascii="Times New Roman" w:cs="Times New Roman" w:eastAsia="Times New Roman" w:hAnsi="Times New Roman"/>
          <w:sz w:val="21"/>
          <w:szCs w:val="21"/>
          <w:color w:val="231F20"/>
        </w:rPr>
        <w:t>Exhibit 10.1 to Form 8-K dated March 19, 2020 (SEC File No. 1-8858)</w:t>
      </w:r>
    </w:p>
    <w:p>
      <w:pPr>
        <w:spacing w:after="0" w:line="173" w:lineRule="exact"/>
        <w:rPr>
          <w:sz w:val="20"/>
          <w:szCs w:val="20"/>
          <w:color w:val="auto"/>
        </w:rPr>
      </w:pPr>
    </w:p>
    <w:p>
      <w:pPr>
        <w:sectPr>
          <w:pgSz w:w="12240" w:h="15840" w:orient="portrait"/>
          <w:cols w:equalWidth="0" w:num="2">
            <w:col w:w="7140" w:space="700"/>
            <w:col w:w="2940"/>
          </w:cols>
          <w:pgMar w:left="720" w:top="930" w:right="740" w:bottom="176" w:gutter="0" w:footer="0" w:header="0"/>
          <w:type w:val="continuous"/>
        </w:sectPr>
      </w:pPr>
    </w:p>
    <w:p>
      <w:pPr>
        <w:ind w:left="1060" w:hanging="1052"/>
        <w:spacing w:after="0" w:line="279" w:lineRule="auto"/>
        <w:tabs>
          <w:tab w:leader="none" w:pos="1040" w:val="left"/>
        </w:tabs>
        <w:rPr>
          <w:sz w:val="20"/>
          <w:szCs w:val="20"/>
          <w:color w:val="auto"/>
        </w:rPr>
      </w:pPr>
      <w:r>
        <w:rPr>
          <w:rFonts w:ascii="Times New Roman" w:cs="Times New Roman" w:eastAsia="Times New Roman" w:hAnsi="Times New Roman"/>
          <w:sz w:val="21"/>
          <w:szCs w:val="21"/>
          <w:color w:val="231F20"/>
        </w:rPr>
        <w:t>10.7 (3)</w:t>
      </w:r>
      <w:r>
        <w:rPr>
          <w:sz w:val="20"/>
          <w:szCs w:val="20"/>
          <w:color w:val="auto"/>
        </w:rPr>
        <w:tab/>
      </w:r>
      <w:r>
        <w:rPr>
          <w:rFonts w:ascii="Times New Roman" w:cs="Times New Roman" w:eastAsia="Times New Roman" w:hAnsi="Times New Roman"/>
          <w:sz w:val="21"/>
          <w:szCs w:val="21"/>
          <w:color w:val="231F20"/>
        </w:rPr>
        <w:t>Severance Agreement dated July 29, 2020, between the Company and Robert B. Hevert.</w:t>
      </w:r>
    </w:p>
    <w:p>
      <w:pPr>
        <w:spacing w:after="0" w:line="20" w:lineRule="exact"/>
        <w:rPr>
          <w:sz w:val="20"/>
          <w:szCs w:val="20"/>
          <w:color w:val="auto"/>
        </w:rPr>
      </w:pPr>
      <w:r>
        <w:rPr>
          <w:sz w:val="20"/>
          <w:szCs w:val="20"/>
          <w:color w:val="auto"/>
        </w:rPr>
        <w:br w:type="column"/>
      </w:r>
    </w:p>
    <w:p>
      <w:pPr>
        <w:jc w:val="both"/>
        <w:ind w:right="300"/>
        <w:spacing w:after="0" w:line="259" w:lineRule="auto"/>
        <w:rPr>
          <w:sz w:val="20"/>
          <w:szCs w:val="20"/>
          <w:color w:val="auto"/>
        </w:rPr>
      </w:pPr>
      <w:r>
        <w:rPr>
          <w:rFonts w:ascii="Times New Roman" w:cs="Times New Roman" w:eastAsia="Times New Roman" w:hAnsi="Times New Roman"/>
          <w:sz w:val="21"/>
          <w:szCs w:val="21"/>
          <w:color w:val="231F20"/>
        </w:rPr>
        <w:t>Exhibit 10.1 to Form 8-K dated July 29, 2020 (SEC File No. 1-8858)</w:t>
      </w:r>
    </w:p>
    <w:p>
      <w:pPr>
        <w:spacing w:after="0" w:line="173" w:lineRule="exact"/>
        <w:rPr>
          <w:sz w:val="20"/>
          <w:szCs w:val="20"/>
          <w:color w:val="auto"/>
        </w:rPr>
      </w:pPr>
    </w:p>
    <w:p>
      <w:pPr>
        <w:sectPr>
          <w:pgSz w:w="12240" w:h="15840" w:orient="portrait"/>
          <w:cols w:equalWidth="0" w:num="2">
            <w:col w:w="7560" w:space="280"/>
            <w:col w:w="2940"/>
          </w:cols>
          <w:pgMar w:left="720" w:top="930" w:right="740" w:bottom="176" w:gutter="0" w:footer="0" w:header="0"/>
          <w:type w:val="continuous"/>
        </w:sectPr>
      </w:pPr>
    </w:p>
    <w:p>
      <w:pPr>
        <w:ind w:left="1060" w:hanging="1052"/>
        <w:spacing w:after="0" w:line="279" w:lineRule="auto"/>
        <w:tabs>
          <w:tab w:leader="none" w:pos="1040" w:val="left"/>
        </w:tabs>
        <w:rPr>
          <w:sz w:val="20"/>
          <w:szCs w:val="20"/>
          <w:color w:val="auto"/>
        </w:rPr>
      </w:pPr>
      <w:r>
        <w:rPr>
          <w:rFonts w:ascii="Times New Roman" w:cs="Times New Roman" w:eastAsia="Times New Roman" w:hAnsi="Times New Roman"/>
          <w:sz w:val="21"/>
          <w:szCs w:val="21"/>
          <w:color w:val="231F20"/>
        </w:rPr>
        <w:t>10.8 (3)</w:t>
      </w:r>
      <w:r>
        <w:rPr>
          <w:sz w:val="20"/>
          <w:szCs w:val="20"/>
          <w:color w:val="auto"/>
        </w:rPr>
        <w:tab/>
      </w:r>
      <w:r>
        <w:rPr>
          <w:rFonts w:ascii="Times New Roman" w:cs="Times New Roman" w:eastAsia="Times New Roman" w:hAnsi="Times New Roman"/>
          <w:sz w:val="21"/>
          <w:szCs w:val="21"/>
          <w:color w:val="231F20"/>
        </w:rPr>
        <w:t>Amended and Restated Unitil Corporation Supplemental Executive Retirement Plan effective as of December 31, 2016.</w:t>
      </w:r>
    </w:p>
    <w:p>
      <w:pPr>
        <w:spacing w:after="0" w:line="20" w:lineRule="exact"/>
        <w:rPr>
          <w:sz w:val="20"/>
          <w:szCs w:val="20"/>
          <w:color w:val="auto"/>
        </w:rPr>
      </w:pPr>
      <w:r>
        <w:rPr>
          <w:sz w:val="20"/>
          <w:szCs w:val="20"/>
          <w:color w:val="auto"/>
        </w:rPr>
        <w:br w:type="column"/>
      </w:r>
    </w:p>
    <w:p>
      <w:pPr>
        <w:ind w:right="140"/>
        <w:spacing w:after="0" w:line="259" w:lineRule="auto"/>
        <w:rPr>
          <w:sz w:val="20"/>
          <w:szCs w:val="20"/>
          <w:color w:val="auto"/>
        </w:rPr>
      </w:pPr>
      <w:r>
        <w:rPr>
          <w:rFonts w:ascii="Times New Roman" w:cs="Times New Roman" w:eastAsia="Times New Roman" w:hAnsi="Times New Roman"/>
          <w:sz w:val="21"/>
          <w:szCs w:val="21"/>
          <w:color w:val="231F20"/>
        </w:rPr>
        <w:t>Exhibit 10.1 to Form 10-Q for March 31, 2017 (SEC File No. 1-8858)</w:t>
      </w:r>
    </w:p>
    <w:p>
      <w:pPr>
        <w:spacing w:after="0" w:line="173" w:lineRule="exact"/>
        <w:rPr>
          <w:sz w:val="20"/>
          <w:szCs w:val="20"/>
          <w:color w:val="auto"/>
        </w:rPr>
      </w:pPr>
    </w:p>
    <w:p>
      <w:pPr>
        <w:sectPr>
          <w:pgSz w:w="12240" w:h="15840" w:orient="portrait"/>
          <w:cols w:equalWidth="0" w:num="2">
            <w:col w:w="7700" w:space="140"/>
            <w:col w:w="2940"/>
          </w:cols>
          <w:pgMar w:left="720" w:top="930" w:right="740" w:bottom="176" w:gutter="0" w:footer="0" w:header="0"/>
          <w:type w:val="continuous"/>
        </w:sectPr>
      </w:pPr>
    </w:p>
    <w:p>
      <w:pPr>
        <w:spacing w:after="0"/>
        <w:tabs>
          <w:tab w:leader="none" w:pos="1040" w:val="left"/>
          <w:tab w:leader="none" w:pos="7820" w:val="left"/>
        </w:tabs>
        <w:rPr>
          <w:sz w:val="20"/>
          <w:szCs w:val="20"/>
          <w:color w:val="auto"/>
        </w:rPr>
      </w:pPr>
      <w:r>
        <w:rPr>
          <w:rFonts w:ascii="Times New Roman" w:cs="Times New Roman" w:eastAsia="Times New Roman" w:hAnsi="Times New Roman"/>
          <w:sz w:val="21"/>
          <w:szCs w:val="21"/>
          <w:color w:val="231F20"/>
        </w:rPr>
        <w:t>10.9 (3)</w:t>
      </w:r>
      <w:r>
        <w:rPr>
          <w:sz w:val="20"/>
          <w:szCs w:val="20"/>
          <w:color w:val="auto"/>
        </w:rPr>
        <w:tab/>
      </w:r>
      <w:r>
        <w:rPr>
          <w:rFonts w:ascii="Times New Roman" w:cs="Times New Roman" w:eastAsia="Times New Roman" w:hAnsi="Times New Roman"/>
          <w:sz w:val="21"/>
          <w:szCs w:val="21"/>
          <w:color w:val="231F20"/>
        </w:rPr>
        <w:t>Amended and Restated Supplemental Executive Retirement Plan.</w:t>
      </w:r>
      <w:r>
        <w:rPr>
          <w:sz w:val="20"/>
          <w:szCs w:val="20"/>
          <w:color w:val="auto"/>
        </w:rPr>
        <w:tab/>
      </w:r>
      <w:r>
        <w:rPr>
          <w:rFonts w:ascii="Times New Roman" w:cs="Times New Roman" w:eastAsia="Times New Roman" w:hAnsi="Times New Roman"/>
          <w:sz w:val="20"/>
          <w:szCs w:val="20"/>
          <w:color w:val="231F20"/>
        </w:rPr>
        <w:t>Exhibit 10.5 to Form 8-K dated</w:t>
      </w:r>
    </w:p>
    <w:p>
      <w:pPr>
        <w:spacing w:after="0" w:line="30"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21"/>
          <w:szCs w:val="21"/>
          <w:color w:val="231F20"/>
        </w:rPr>
        <w:t>July 25, 2018 (SEC File No. 1-</w:t>
      </w:r>
    </w:p>
    <w:p>
      <w:pPr>
        <w:ind w:left="7840"/>
        <w:spacing w:after="0"/>
        <w:rPr>
          <w:sz w:val="20"/>
          <w:szCs w:val="20"/>
          <w:color w:val="auto"/>
        </w:rPr>
      </w:pPr>
      <w:r>
        <w:rPr>
          <w:rFonts w:ascii="Times New Roman" w:cs="Times New Roman" w:eastAsia="Times New Roman" w:hAnsi="Times New Roman"/>
          <w:sz w:val="21"/>
          <w:szCs w:val="21"/>
          <w:color w:val="231F20"/>
        </w:rPr>
        <w:t>8858)</w:t>
      </w:r>
    </w:p>
    <w:p>
      <w:pPr>
        <w:spacing w:after="0" w:line="200" w:lineRule="exact"/>
        <w:rPr>
          <w:sz w:val="20"/>
          <w:szCs w:val="20"/>
          <w:color w:val="auto"/>
        </w:rPr>
      </w:pPr>
    </w:p>
    <w:p>
      <w:pPr>
        <w:spacing w:after="0"/>
        <w:tabs>
          <w:tab w:leader="none" w:pos="1040" w:val="left"/>
          <w:tab w:leader="none" w:pos="7820" w:val="left"/>
        </w:tabs>
        <w:rPr>
          <w:sz w:val="20"/>
          <w:szCs w:val="20"/>
          <w:color w:val="auto"/>
        </w:rPr>
      </w:pPr>
      <w:r>
        <w:rPr>
          <w:rFonts w:ascii="Times New Roman" w:cs="Times New Roman" w:eastAsia="Times New Roman" w:hAnsi="Times New Roman"/>
          <w:sz w:val="21"/>
          <w:szCs w:val="21"/>
          <w:color w:val="231F20"/>
        </w:rPr>
        <w:t>10.10 (3)</w:t>
        <w:tab/>
        <w:t>Unitil Corporation Deferred Compensation Plan.</w:t>
      </w:r>
      <w:r>
        <w:rPr>
          <w:sz w:val="20"/>
          <w:szCs w:val="20"/>
          <w:color w:val="auto"/>
        </w:rPr>
        <w:tab/>
      </w:r>
      <w:r>
        <w:rPr>
          <w:rFonts w:ascii="Times New Roman" w:cs="Times New Roman" w:eastAsia="Times New Roman" w:hAnsi="Times New Roman"/>
          <w:sz w:val="20"/>
          <w:szCs w:val="20"/>
          <w:color w:val="231F20"/>
        </w:rPr>
        <w:t>Exhibit 10.6 to Form 8-K dated</w:t>
      </w:r>
    </w:p>
    <w:p>
      <w:pPr>
        <w:spacing w:after="0" w:line="30"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21"/>
          <w:szCs w:val="21"/>
          <w:color w:val="231F20"/>
        </w:rPr>
        <w:t>July 25, 2018 (SEC File No. 1-</w:t>
      </w:r>
    </w:p>
    <w:p>
      <w:pPr>
        <w:ind w:left="7840"/>
        <w:spacing w:after="0"/>
        <w:rPr>
          <w:sz w:val="20"/>
          <w:szCs w:val="20"/>
          <w:color w:val="auto"/>
        </w:rPr>
      </w:pPr>
      <w:r>
        <w:rPr>
          <w:rFonts w:ascii="Times New Roman" w:cs="Times New Roman" w:eastAsia="Times New Roman" w:hAnsi="Times New Roman"/>
          <w:sz w:val="21"/>
          <w:szCs w:val="21"/>
          <w:color w:val="231F20"/>
        </w:rPr>
        <w:t>8858)</w:t>
      </w:r>
    </w:p>
    <w:p>
      <w:pPr>
        <w:sectPr>
          <w:pgSz w:w="12240" w:h="15840" w:orient="portrait"/>
          <w:cols w:equalWidth="0" w:num="1">
            <w:col w:w="10780"/>
          </w:cols>
          <w:pgMar w:left="720" w:top="930" w:right="740" w:bottom="176" w:gutter="0" w:footer="0" w:header="0"/>
          <w:type w:val="continuous"/>
        </w:sectPr>
      </w:pPr>
    </w:p>
    <w:p>
      <w:pPr>
        <w:spacing w:after="0" w:line="212" w:lineRule="exact"/>
        <w:rPr>
          <w:sz w:val="20"/>
          <w:szCs w:val="20"/>
          <w:color w:val="auto"/>
        </w:rPr>
      </w:pPr>
    </w:p>
    <w:p>
      <w:pPr>
        <w:ind w:left="1060" w:hanging="1052"/>
        <w:spacing w:after="0" w:line="279" w:lineRule="auto"/>
        <w:tabs>
          <w:tab w:leader="none" w:pos="1040" w:val="left"/>
        </w:tabs>
        <w:rPr>
          <w:sz w:val="20"/>
          <w:szCs w:val="20"/>
          <w:color w:val="auto"/>
        </w:rPr>
      </w:pPr>
      <w:r>
        <w:rPr>
          <w:rFonts w:ascii="Times New Roman" w:cs="Times New Roman" w:eastAsia="Times New Roman" w:hAnsi="Times New Roman"/>
          <w:sz w:val="21"/>
          <w:szCs w:val="21"/>
          <w:color w:val="231F20"/>
        </w:rPr>
        <w:t>10.11 (3)</w:t>
        <w:tab/>
        <w:t>Unitil Corporation Management Incentive Plan (amended and restated as of June 5, 2013).</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both"/>
        <w:ind w:right="300"/>
        <w:spacing w:after="0" w:line="259" w:lineRule="auto"/>
        <w:rPr>
          <w:sz w:val="20"/>
          <w:szCs w:val="20"/>
          <w:color w:val="auto"/>
        </w:rPr>
      </w:pPr>
      <w:r>
        <w:rPr>
          <w:rFonts w:ascii="Times New Roman" w:cs="Times New Roman" w:eastAsia="Times New Roman" w:hAnsi="Times New Roman"/>
          <w:sz w:val="21"/>
          <w:szCs w:val="21"/>
          <w:color w:val="231F20"/>
        </w:rPr>
        <w:t>Exhibit 10.2 to Form 8- K dated June 5, 2013 (SEC File No. 1-8858)</w:t>
      </w:r>
    </w:p>
    <w:p>
      <w:pPr>
        <w:spacing w:after="0" w:line="200" w:lineRule="exact"/>
        <w:rPr>
          <w:sz w:val="20"/>
          <w:szCs w:val="20"/>
          <w:color w:val="auto"/>
        </w:rPr>
      </w:pPr>
    </w:p>
    <w:p>
      <w:pPr>
        <w:sectPr>
          <w:pgSz w:w="12240" w:h="15840" w:orient="portrait"/>
          <w:cols w:equalWidth="0" w:num="2">
            <w:col w:w="7420" w:space="420"/>
            <w:col w:w="2940"/>
          </w:cols>
          <w:pgMar w:left="720" w:top="930" w:right="740" w:bottom="176" w:gutter="0" w:footer="0" w:header="0"/>
          <w:type w:val="continuous"/>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231F20"/>
        </w:rPr>
        <w:t>100</w:t>
      </w:r>
    </w:p>
    <w:p>
      <w:pPr>
        <w:sectPr>
          <w:pgSz w:w="12240" w:h="15840" w:orient="portrait"/>
          <w:cols w:equalWidth="0" w:num="1">
            <w:col w:w="10780"/>
          </w:cols>
          <w:pgMar w:left="720" w:top="930" w:right="740" w:bottom="176" w:gutter="0" w:footer="0" w:header="0"/>
          <w:type w:val="continuous"/>
        </w:sectPr>
      </w:pPr>
    </w:p>
    <w:bookmarkStart w:id="120" w:name="page121"/>
    <w:bookmarkEnd w:id="120"/>
    <w:tbl>
      <w:tblPr>
        <w:tblLayout w:type="fixed"/>
        <w:tblInd w:w="0" w:type="dxa"/>
        <w:tblCellMar>
          <w:top w:w="0" w:type="dxa"/>
          <w:left w:w="0" w:type="dxa"/>
          <w:bottom w:w="0" w:type="dxa"/>
          <w:right w:w="0" w:type="dxa"/>
        </w:tblCellMar>
      </w:tblPr>
      <w:tr>
        <w:trPr>
          <w:trHeight w:val="194"/>
        </w:trPr>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94"/>
              </w:rPr>
              <w:t>Exhibit</w:t>
            </w:r>
          </w:p>
        </w:tc>
        <w:tc>
          <w:tcPr>
            <w:tcW w:w="2820" w:type="dxa"/>
            <w:vAlign w:val="bottom"/>
          </w:tcPr>
          <w:p>
            <w:pPr>
              <w:spacing w:after="0"/>
              <w:rPr>
                <w:sz w:val="16"/>
                <w:szCs w:val="16"/>
                <w:color w:val="auto"/>
              </w:rPr>
            </w:pPr>
          </w:p>
        </w:tc>
        <w:tc>
          <w:tcPr>
            <w:tcW w:w="36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Description of Exhibit</w:t>
            </w:r>
          </w:p>
        </w:tc>
        <w:tc>
          <w:tcPr>
            <w:tcW w:w="3480" w:type="dxa"/>
            <w:vAlign w:val="bottom"/>
            <w:gridSpan w:val="3"/>
            <w:vMerge w:val="restart"/>
          </w:tcPr>
          <w:p>
            <w:pPr>
              <w:ind w:left="1560"/>
              <w:spacing w:after="0"/>
              <w:rPr>
                <w:sz w:val="20"/>
                <w:szCs w:val="20"/>
                <w:color w:val="auto"/>
              </w:rPr>
            </w:pPr>
            <w:r>
              <w:rPr>
                <w:rFonts w:ascii="Times New Roman" w:cs="Times New Roman" w:eastAsia="Times New Roman" w:hAnsi="Times New Roman"/>
                <w:sz w:val="16"/>
                <w:szCs w:val="16"/>
                <w:b w:val="1"/>
                <w:bCs w:val="1"/>
                <w:color w:val="231F20"/>
              </w:rPr>
              <w:t>Reference (1)</w:t>
            </w:r>
          </w:p>
        </w:tc>
        <w:tc>
          <w:tcPr>
            <w:tcW w:w="0" w:type="dxa"/>
            <w:vAlign w:val="bottom"/>
          </w:tcPr>
          <w:p>
            <w:pPr>
              <w:spacing w:after="0"/>
              <w:rPr>
                <w:sz w:val="1"/>
                <w:szCs w:val="1"/>
                <w:color w:val="auto"/>
              </w:rPr>
            </w:pPr>
          </w:p>
        </w:tc>
      </w:tr>
      <w:tr>
        <w:trPr>
          <w:trHeight w:val="164"/>
        </w:trPr>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Borders>
              <w:top w:val="single" w:sz="8" w:color="231F20"/>
            </w:tcBorders>
          </w:tcPr>
          <w:p>
            <w:pPr>
              <w:jc w:val="right"/>
              <w:spacing w:after="0" w:line="164" w:lineRule="exact"/>
              <w:rPr>
                <w:sz w:val="20"/>
                <w:szCs w:val="20"/>
                <w:color w:val="auto"/>
              </w:rPr>
            </w:pPr>
            <w:r>
              <w:rPr>
                <w:rFonts w:ascii="Times New Roman" w:cs="Times New Roman" w:eastAsia="Times New Roman" w:hAnsi="Times New Roman"/>
                <w:sz w:val="16"/>
                <w:szCs w:val="16"/>
                <w:b w:val="1"/>
                <w:bCs w:val="1"/>
                <w:color w:val="231F20"/>
                <w:w w:val="84"/>
              </w:rPr>
              <w:t>Number</w:t>
            </w:r>
          </w:p>
        </w:tc>
        <w:tc>
          <w:tcPr>
            <w:tcW w:w="2820" w:type="dxa"/>
            <w:vAlign w:val="bottom"/>
          </w:tcPr>
          <w:p>
            <w:pPr>
              <w:spacing w:after="0"/>
              <w:rPr>
                <w:sz w:val="14"/>
                <w:szCs w:val="14"/>
                <w:color w:val="auto"/>
              </w:rPr>
            </w:pPr>
          </w:p>
        </w:tc>
        <w:tc>
          <w:tcPr>
            <w:tcW w:w="3660" w:type="dxa"/>
            <w:vAlign w:val="bottom"/>
            <w:gridSpan w:val="2"/>
            <w:vMerge w:val="continue"/>
          </w:tcPr>
          <w:p>
            <w:pPr>
              <w:spacing w:after="0"/>
              <w:rPr>
                <w:sz w:val="14"/>
                <w:szCs w:val="14"/>
                <w:color w:val="auto"/>
              </w:rPr>
            </w:pPr>
          </w:p>
        </w:tc>
        <w:tc>
          <w:tcPr>
            <w:tcW w:w="34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80" w:type="dxa"/>
            <w:vAlign w:val="bottom"/>
            <w:tcBorders>
              <w:right w:val="single" w:sz="8" w:color="231F20"/>
            </w:tcBorders>
            <w:gridSpan w:val="2"/>
            <w:shd w:val="clear" w:color="auto" w:fill="231F2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500" w:type="dxa"/>
            <w:vAlign w:val="bottom"/>
            <w:shd w:val="clear" w:color="auto" w:fill="231F2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20" w:type="dxa"/>
            <w:vAlign w:val="bottom"/>
            <w:shd w:val="clear" w:color="auto" w:fill="231F2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2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231F20"/>
                <w:w w:val="98"/>
              </w:rPr>
              <w:t>10.12 (3)</w:t>
            </w:r>
          </w:p>
        </w:tc>
        <w:tc>
          <w:tcPr>
            <w:tcW w:w="6480" w:type="dxa"/>
            <w:vAlign w:val="bottom"/>
            <w:gridSpan w:val="3"/>
          </w:tcPr>
          <w:p>
            <w:pPr>
              <w:ind w:left="240"/>
              <w:spacing w:after="0"/>
              <w:rPr>
                <w:sz w:val="20"/>
                <w:szCs w:val="20"/>
                <w:color w:val="auto"/>
              </w:rPr>
            </w:pPr>
            <w:r>
              <w:rPr>
                <w:rFonts w:ascii="Times New Roman" w:cs="Times New Roman" w:eastAsia="Times New Roman" w:hAnsi="Times New Roman"/>
                <w:sz w:val="21"/>
                <w:szCs w:val="21"/>
                <w:color w:val="231F20"/>
              </w:rPr>
              <w:t>Unitil Corporation Second Amended and Restated 2003 Stock Plan.</w:t>
            </w:r>
          </w:p>
        </w:tc>
        <w:tc>
          <w:tcPr>
            <w:tcW w:w="3480" w:type="dxa"/>
            <w:vAlign w:val="bottom"/>
            <w:gridSpan w:val="3"/>
          </w:tcPr>
          <w:p>
            <w:pPr>
              <w:ind w:left="540"/>
              <w:spacing w:after="0"/>
              <w:rPr>
                <w:sz w:val="20"/>
                <w:szCs w:val="20"/>
                <w:color w:val="auto"/>
              </w:rPr>
            </w:pPr>
            <w:r>
              <w:rPr>
                <w:rFonts w:ascii="Times New Roman" w:cs="Times New Roman" w:eastAsia="Times New Roman" w:hAnsi="Times New Roman"/>
                <w:sz w:val="21"/>
                <w:szCs w:val="21"/>
                <w:color w:val="231F20"/>
                <w:w w:val="98"/>
              </w:rPr>
              <w:t>Appendix 1 to the Proxy Statement</w:t>
            </w:r>
          </w:p>
        </w:tc>
        <w:tc>
          <w:tcPr>
            <w:tcW w:w="0" w:type="dxa"/>
            <w:vAlign w:val="bottom"/>
          </w:tcPr>
          <w:p>
            <w:pPr>
              <w:spacing w:after="0"/>
              <w:rPr>
                <w:sz w:val="1"/>
                <w:szCs w:val="1"/>
                <w:color w:val="auto"/>
              </w:rPr>
            </w:pPr>
          </w:p>
        </w:tc>
      </w:tr>
      <w:tr>
        <w:trPr>
          <w:trHeight w:val="242"/>
        </w:trPr>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3480" w:type="dxa"/>
            <w:vAlign w:val="bottom"/>
            <w:gridSpan w:val="3"/>
          </w:tcPr>
          <w:p>
            <w:pPr>
              <w:ind w:left="540"/>
              <w:spacing w:after="0"/>
              <w:rPr>
                <w:sz w:val="20"/>
                <w:szCs w:val="20"/>
                <w:color w:val="auto"/>
              </w:rPr>
            </w:pPr>
            <w:r>
              <w:rPr>
                <w:rFonts w:ascii="Times New Roman" w:cs="Times New Roman" w:eastAsia="Times New Roman" w:hAnsi="Times New Roman"/>
                <w:sz w:val="21"/>
                <w:szCs w:val="21"/>
                <w:color w:val="231F20"/>
              </w:rPr>
              <w:t>filed on Schedule 14A dated</w:t>
            </w:r>
          </w:p>
        </w:tc>
        <w:tc>
          <w:tcPr>
            <w:tcW w:w="0" w:type="dxa"/>
            <w:vAlign w:val="bottom"/>
          </w:tcPr>
          <w:p>
            <w:pPr>
              <w:spacing w:after="0"/>
              <w:rPr>
                <w:sz w:val="1"/>
                <w:szCs w:val="1"/>
                <w:color w:val="auto"/>
              </w:rPr>
            </w:pPr>
          </w:p>
        </w:tc>
      </w:tr>
      <w:tr>
        <w:trPr>
          <w:trHeight w:val="242"/>
        </w:trPr>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3480" w:type="dxa"/>
            <w:vAlign w:val="bottom"/>
            <w:gridSpan w:val="3"/>
          </w:tcPr>
          <w:p>
            <w:pPr>
              <w:ind w:left="540"/>
              <w:spacing w:after="0"/>
              <w:rPr>
                <w:sz w:val="20"/>
                <w:szCs w:val="20"/>
                <w:color w:val="auto"/>
              </w:rPr>
            </w:pPr>
            <w:r>
              <w:rPr>
                <w:rFonts w:ascii="Times New Roman" w:cs="Times New Roman" w:eastAsia="Times New Roman" w:hAnsi="Times New Roman"/>
                <w:sz w:val="21"/>
                <w:szCs w:val="21"/>
                <w:color w:val="231F20"/>
              </w:rPr>
              <w:t>March 13, 2012 (SEC File No. 1-</w:t>
            </w:r>
          </w:p>
        </w:tc>
        <w:tc>
          <w:tcPr>
            <w:tcW w:w="0" w:type="dxa"/>
            <w:vAlign w:val="bottom"/>
          </w:tcPr>
          <w:p>
            <w:pPr>
              <w:spacing w:after="0"/>
              <w:rPr>
                <w:sz w:val="1"/>
                <w:szCs w:val="1"/>
                <w:color w:val="auto"/>
              </w:rPr>
            </w:pPr>
          </w:p>
        </w:tc>
      </w:tr>
      <w:tr>
        <w:trPr>
          <w:trHeight w:val="281"/>
        </w:trPr>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60" w:type="dxa"/>
            <w:vAlign w:val="bottom"/>
          </w:tcPr>
          <w:p>
            <w:pPr>
              <w:ind w:left="540"/>
              <w:spacing w:after="0"/>
              <w:rPr>
                <w:sz w:val="20"/>
                <w:szCs w:val="20"/>
                <w:color w:val="auto"/>
              </w:rPr>
            </w:pPr>
            <w:r>
              <w:rPr>
                <w:rFonts w:ascii="Times New Roman" w:cs="Times New Roman" w:eastAsia="Times New Roman" w:hAnsi="Times New Roman"/>
                <w:sz w:val="21"/>
                <w:szCs w:val="21"/>
                <w:color w:val="231F20"/>
              </w:rPr>
              <w:t>8858)</w:t>
            </w: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231F20"/>
                <w:w w:val="98"/>
              </w:rPr>
              <w:t>10.13 (3)</w:t>
            </w:r>
          </w:p>
        </w:tc>
        <w:tc>
          <w:tcPr>
            <w:tcW w:w="6480" w:type="dxa"/>
            <w:vAlign w:val="bottom"/>
            <w:gridSpan w:val="3"/>
          </w:tcPr>
          <w:p>
            <w:pPr>
              <w:ind w:left="240"/>
              <w:spacing w:after="0"/>
              <w:rPr>
                <w:sz w:val="20"/>
                <w:szCs w:val="20"/>
                <w:color w:val="auto"/>
              </w:rPr>
            </w:pPr>
            <w:r>
              <w:rPr>
                <w:rFonts w:ascii="Times New Roman" w:cs="Times New Roman" w:eastAsia="Times New Roman" w:hAnsi="Times New Roman"/>
                <w:sz w:val="21"/>
                <w:szCs w:val="21"/>
                <w:color w:val="231F20"/>
              </w:rPr>
              <w:t>Unitil Corporation Third Amended and Restated 2003 Stock Plan.</w:t>
            </w:r>
          </w:p>
        </w:tc>
        <w:tc>
          <w:tcPr>
            <w:tcW w:w="3480" w:type="dxa"/>
            <w:vAlign w:val="bottom"/>
            <w:gridSpan w:val="3"/>
          </w:tcPr>
          <w:p>
            <w:pPr>
              <w:ind w:left="540"/>
              <w:spacing w:after="0"/>
              <w:rPr>
                <w:sz w:val="20"/>
                <w:szCs w:val="20"/>
                <w:color w:val="auto"/>
              </w:rPr>
            </w:pPr>
            <w:r>
              <w:rPr>
                <w:rFonts w:ascii="Times New Roman" w:cs="Times New Roman" w:eastAsia="Times New Roman" w:hAnsi="Times New Roman"/>
                <w:sz w:val="21"/>
                <w:szCs w:val="21"/>
                <w:color w:val="231F20"/>
              </w:rPr>
              <w:t>Exhibit 10.1 to Form 10-Q for</w:t>
            </w:r>
          </w:p>
        </w:tc>
        <w:tc>
          <w:tcPr>
            <w:tcW w:w="0" w:type="dxa"/>
            <w:vAlign w:val="bottom"/>
          </w:tcPr>
          <w:p>
            <w:pPr>
              <w:spacing w:after="0"/>
              <w:rPr>
                <w:sz w:val="1"/>
                <w:szCs w:val="1"/>
                <w:color w:val="auto"/>
              </w:rPr>
            </w:pPr>
          </w:p>
        </w:tc>
      </w:tr>
      <w:tr>
        <w:trPr>
          <w:trHeight w:val="242"/>
        </w:trPr>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3480" w:type="dxa"/>
            <w:vAlign w:val="bottom"/>
            <w:gridSpan w:val="3"/>
          </w:tcPr>
          <w:p>
            <w:pPr>
              <w:ind w:left="540"/>
              <w:spacing w:after="0"/>
              <w:rPr>
                <w:sz w:val="20"/>
                <w:szCs w:val="20"/>
                <w:color w:val="auto"/>
              </w:rPr>
            </w:pPr>
            <w:r>
              <w:rPr>
                <w:rFonts w:ascii="Times New Roman" w:cs="Times New Roman" w:eastAsia="Times New Roman" w:hAnsi="Times New Roman"/>
                <w:sz w:val="21"/>
                <w:szCs w:val="21"/>
                <w:color w:val="231F20"/>
              </w:rPr>
              <w:t>March 31, 2024 (SEC File No. 1-</w:t>
            </w:r>
          </w:p>
        </w:tc>
        <w:tc>
          <w:tcPr>
            <w:tcW w:w="0" w:type="dxa"/>
            <w:vAlign w:val="bottom"/>
          </w:tcPr>
          <w:p>
            <w:pPr>
              <w:spacing w:after="0"/>
              <w:rPr>
                <w:sz w:val="1"/>
                <w:szCs w:val="1"/>
                <w:color w:val="auto"/>
              </w:rPr>
            </w:pPr>
          </w:p>
        </w:tc>
      </w:tr>
      <w:tr>
        <w:trPr>
          <w:trHeight w:val="281"/>
        </w:trPr>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60" w:type="dxa"/>
            <w:vAlign w:val="bottom"/>
          </w:tcPr>
          <w:p>
            <w:pPr>
              <w:ind w:left="540"/>
              <w:spacing w:after="0"/>
              <w:rPr>
                <w:sz w:val="20"/>
                <w:szCs w:val="20"/>
                <w:color w:val="auto"/>
              </w:rPr>
            </w:pPr>
            <w:r>
              <w:rPr>
                <w:rFonts w:ascii="Times New Roman" w:cs="Times New Roman" w:eastAsia="Times New Roman" w:hAnsi="Times New Roman"/>
                <w:sz w:val="21"/>
                <w:szCs w:val="21"/>
                <w:color w:val="231F20"/>
              </w:rPr>
              <w:t>8858)</w:t>
            </w: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ectPr>
          <w:pgSz w:w="12240" w:h="15840" w:orient="portrait"/>
          <w:cols w:equalWidth="0" w:num="1">
            <w:col w:w="10780"/>
          </w:cols>
          <w:pgMar w:left="720" w:top="930" w:right="740" w:bottom="176" w:gutter="0" w:footer="0" w:header="0"/>
        </w:sectPr>
      </w:pPr>
    </w:p>
    <w:p>
      <w:pPr>
        <w:ind w:left="1060" w:hanging="1052"/>
        <w:spacing w:after="0" w:line="279" w:lineRule="auto"/>
        <w:tabs>
          <w:tab w:leader="none" w:pos="1040" w:val="left"/>
        </w:tabs>
        <w:rPr>
          <w:sz w:val="20"/>
          <w:szCs w:val="20"/>
          <w:color w:val="auto"/>
        </w:rPr>
      </w:pPr>
      <w:r>
        <w:rPr>
          <w:rFonts w:ascii="Times New Roman" w:cs="Times New Roman" w:eastAsia="Times New Roman" w:hAnsi="Times New Roman"/>
          <w:sz w:val="21"/>
          <w:szCs w:val="21"/>
          <w:color w:val="231F20"/>
        </w:rPr>
        <w:t>10.14 (3)</w:t>
        <w:tab/>
        <w:t>Form of Restricted Stock Unit Agreement under the Unitil Corporation Second Amended and Restated 2003 Stock Plan.</w:t>
      </w:r>
    </w:p>
    <w:p>
      <w:pPr>
        <w:spacing w:after="0" w:line="20" w:lineRule="exact"/>
        <w:rPr>
          <w:sz w:val="20"/>
          <w:szCs w:val="20"/>
          <w:color w:val="auto"/>
        </w:rPr>
      </w:pPr>
      <w:r>
        <w:rPr>
          <w:sz w:val="20"/>
          <w:szCs w:val="20"/>
          <w:color w:val="auto"/>
        </w:rPr>
        <w:br w:type="column"/>
      </w:r>
    </w:p>
    <w:p>
      <w:pPr>
        <w:ind w:right="200"/>
        <w:spacing w:after="0" w:line="278" w:lineRule="auto"/>
        <w:rPr>
          <w:sz w:val="20"/>
          <w:szCs w:val="20"/>
          <w:color w:val="auto"/>
        </w:rPr>
      </w:pPr>
      <w:r>
        <w:rPr>
          <w:rFonts w:ascii="Times New Roman" w:cs="Times New Roman" w:eastAsia="Times New Roman" w:hAnsi="Times New Roman"/>
          <w:sz w:val="20"/>
          <w:szCs w:val="20"/>
          <w:color w:val="231F20"/>
        </w:rPr>
        <w:t>Exhibit 4.7 to Form S-8 Registration Statement No. 333-184849 dated November 9, 2012</w:t>
      </w:r>
    </w:p>
    <w:p>
      <w:pPr>
        <w:spacing w:after="0" w:line="155" w:lineRule="exact"/>
        <w:rPr>
          <w:sz w:val="20"/>
          <w:szCs w:val="20"/>
          <w:color w:val="auto"/>
        </w:rPr>
      </w:pPr>
    </w:p>
    <w:p>
      <w:pPr>
        <w:sectPr>
          <w:pgSz w:w="12240" w:h="15840" w:orient="portrait"/>
          <w:cols w:equalWidth="0" w:num="2">
            <w:col w:w="7700" w:space="140"/>
            <w:col w:w="2940"/>
          </w:cols>
          <w:pgMar w:left="720" w:top="930" w:right="740" w:bottom="176" w:gutter="0" w:footer="0" w:header="0"/>
          <w:type w:val="continuous"/>
        </w:sectPr>
      </w:pPr>
    </w:p>
    <w:p>
      <w:pPr>
        <w:ind w:left="1060" w:hanging="1052"/>
        <w:spacing w:after="0" w:line="279" w:lineRule="auto"/>
        <w:tabs>
          <w:tab w:leader="none" w:pos="1040" w:val="left"/>
        </w:tabs>
        <w:rPr>
          <w:sz w:val="20"/>
          <w:szCs w:val="20"/>
          <w:color w:val="auto"/>
        </w:rPr>
      </w:pPr>
      <w:r>
        <w:rPr>
          <w:rFonts w:ascii="Times New Roman" w:cs="Times New Roman" w:eastAsia="Times New Roman" w:hAnsi="Times New Roman"/>
          <w:sz w:val="21"/>
          <w:szCs w:val="21"/>
          <w:color w:val="231F20"/>
        </w:rPr>
        <w:t>10.15 (3)</w:t>
        <w:tab/>
        <w:t>Form of Restricted Stock Agreement under the Unitil Corporation Second Amended and Restated 2003 Stock Plan.</w:t>
      </w:r>
    </w:p>
    <w:p>
      <w:pPr>
        <w:spacing w:after="0" w:line="20" w:lineRule="exact"/>
        <w:rPr>
          <w:sz w:val="20"/>
          <w:szCs w:val="20"/>
          <w:color w:val="auto"/>
        </w:rPr>
      </w:pPr>
      <w:r>
        <w:rPr>
          <w:sz w:val="20"/>
          <w:szCs w:val="20"/>
          <w:color w:val="auto"/>
        </w:rPr>
        <w:br w:type="column"/>
      </w:r>
    </w:p>
    <w:p>
      <w:pPr>
        <w:ind w:right="200"/>
        <w:spacing w:after="0" w:line="278" w:lineRule="auto"/>
        <w:rPr>
          <w:sz w:val="20"/>
          <w:szCs w:val="20"/>
          <w:color w:val="auto"/>
        </w:rPr>
      </w:pPr>
      <w:r>
        <w:rPr>
          <w:rFonts w:ascii="Times New Roman" w:cs="Times New Roman" w:eastAsia="Times New Roman" w:hAnsi="Times New Roman"/>
          <w:sz w:val="20"/>
          <w:szCs w:val="20"/>
          <w:color w:val="231F20"/>
        </w:rPr>
        <w:t>Exhibit 4.8 to Form S-8 Registration Statement No. 333-184849 dated November 9, 2012</w:t>
      </w:r>
    </w:p>
    <w:p>
      <w:pPr>
        <w:spacing w:after="0" w:line="155" w:lineRule="exact"/>
        <w:rPr>
          <w:sz w:val="20"/>
          <w:szCs w:val="20"/>
          <w:color w:val="auto"/>
        </w:rPr>
      </w:pPr>
    </w:p>
    <w:p>
      <w:pPr>
        <w:sectPr>
          <w:pgSz w:w="12240" w:h="15840" w:orient="portrait"/>
          <w:cols w:equalWidth="0" w:num="2">
            <w:col w:w="7280" w:space="560"/>
            <w:col w:w="2940"/>
          </w:cols>
          <w:pgMar w:left="720" w:top="930" w:right="740" w:bottom="176"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920" w:type="dxa"/>
            <w:vAlign w:val="bottom"/>
          </w:tcPr>
          <w:p>
            <w:pPr>
              <w:jc w:val="right"/>
              <w:ind w:right="35"/>
              <w:spacing w:after="0"/>
              <w:rPr>
                <w:sz w:val="20"/>
                <w:szCs w:val="20"/>
                <w:color w:val="auto"/>
              </w:rPr>
            </w:pPr>
            <w:r>
              <w:rPr>
                <w:rFonts w:ascii="Times New Roman" w:cs="Times New Roman" w:eastAsia="Times New Roman" w:hAnsi="Times New Roman"/>
                <w:sz w:val="21"/>
                <w:szCs w:val="21"/>
                <w:color w:val="231F20"/>
                <w:w w:val="98"/>
              </w:rPr>
              <w:t>10.16 (3)</w:t>
            </w:r>
          </w:p>
        </w:tc>
        <w:tc>
          <w:tcPr>
            <w:tcW w:w="6860" w:type="dxa"/>
            <w:vAlign w:val="bottom"/>
          </w:tcPr>
          <w:p>
            <w:pPr>
              <w:ind w:left="140"/>
              <w:spacing w:after="0"/>
              <w:rPr>
                <w:sz w:val="20"/>
                <w:szCs w:val="20"/>
                <w:color w:val="auto"/>
              </w:rPr>
            </w:pPr>
            <w:r>
              <w:rPr>
                <w:rFonts w:ascii="Times New Roman" w:cs="Times New Roman" w:eastAsia="Times New Roman" w:hAnsi="Times New Roman"/>
                <w:sz w:val="21"/>
                <w:szCs w:val="21"/>
                <w:color w:val="231F20"/>
              </w:rPr>
              <w:t>Unitil Corporation Tax Deferred Savings and Investment Plan, as amended and</w:t>
            </w:r>
          </w:p>
        </w:tc>
        <w:tc>
          <w:tcPr>
            <w:tcW w:w="2920" w:type="dxa"/>
            <w:vAlign w:val="bottom"/>
          </w:tcPr>
          <w:p>
            <w:pPr>
              <w:ind w:left="60"/>
              <w:spacing w:after="0"/>
              <w:rPr>
                <w:sz w:val="20"/>
                <w:szCs w:val="20"/>
                <w:color w:val="auto"/>
              </w:rPr>
            </w:pPr>
            <w:r>
              <w:rPr>
                <w:rFonts w:ascii="Times New Roman" w:cs="Times New Roman" w:eastAsia="Times New Roman" w:hAnsi="Times New Roman"/>
                <w:sz w:val="21"/>
                <w:szCs w:val="21"/>
                <w:color w:val="231F20"/>
              </w:rPr>
              <w:t>Exhibit 10.15 to Form 10-K for</w:t>
            </w:r>
          </w:p>
        </w:tc>
      </w:tr>
      <w:tr>
        <w:trPr>
          <w:trHeight w:val="281"/>
        </w:trPr>
        <w:tc>
          <w:tcPr>
            <w:tcW w:w="920" w:type="dxa"/>
            <w:vAlign w:val="bottom"/>
          </w:tcPr>
          <w:p>
            <w:pPr>
              <w:spacing w:after="0"/>
              <w:rPr>
                <w:sz w:val="24"/>
                <w:szCs w:val="24"/>
                <w:color w:val="auto"/>
              </w:rPr>
            </w:pPr>
          </w:p>
        </w:tc>
        <w:tc>
          <w:tcPr>
            <w:tcW w:w="6860" w:type="dxa"/>
            <w:vAlign w:val="bottom"/>
          </w:tcPr>
          <w:p>
            <w:pPr>
              <w:ind w:left="140"/>
              <w:spacing w:after="0"/>
              <w:rPr>
                <w:sz w:val="20"/>
                <w:szCs w:val="20"/>
                <w:color w:val="auto"/>
              </w:rPr>
            </w:pPr>
            <w:r>
              <w:rPr>
                <w:rFonts w:ascii="Times New Roman" w:cs="Times New Roman" w:eastAsia="Times New Roman" w:hAnsi="Times New Roman"/>
                <w:sz w:val="21"/>
                <w:szCs w:val="21"/>
                <w:color w:val="231F20"/>
              </w:rPr>
              <w:t>restated effective as of January 1, 2021.</w:t>
            </w:r>
          </w:p>
        </w:tc>
        <w:tc>
          <w:tcPr>
            <w:tcW w:w="2920" w:type="dxa"/>
            <w:vAlign w:val="bottom"/>
          </w:tcPr>
          <w:p>
            <w:pPr>
              <w:ind w:left="60"/>
              <w:spacing w:after="0"/>
              <w:rPr>
                <w:sz w:val="20"/>
                <w:szCs w:val="20"/>
                <w:color w:val="auto"/>
              </w:rPr>
            </w:pPr>
            <w:r>
              <w:rPr>
                <w:rFonts w:ascii="Times New Roman" w:cs="Times New Roman" w:eastAsia="Times New Roman" w:hAnsi="Times New Roman"/>
                <w:sz w:val="21"/>
                <w:szCs w:val="21"/>
                <w:color w:val="231F20"/>
              </w:rPr>
              <w:t>2021 (SEC File No. 1-8858)</w:t>
            </w:r>
          </w:p>
        </w:tc>
      </w:tr>
      <w:tr>
        <w:trPr>
          <w:trHeight w:val="432"/>
        </w:trPr>
        <w:tc>
          <w:tcPr>
            <w:tcW w:w="920" w:type="dxa"/>
            <w:vAlign w:val="bottom"/>
          </w:tcPr>
          <w:p>
            <w:pPr>
              <w:jc w:val="right"/>
              <w:ind w:right="35"/>
              <w:spacing w:after="0"/>
              <w:rPr>
                <w:sz w:val="20"/>
                <w:szCs w:val="20"/>
                <w:color w:val="auto"/>
              </w:rPr>
            </w:pPr>
            <w:r>
              <w:rPr>
                <w:rFonts w:ascii="Times New Roman" w:cs="Times New Roman" w:eastAsia="Times New Roman" w:hAnsi="Times New Roman"/>
                <w:sz w:val="21"/>
                <w:szCs w:val="21"/>
                <w:color w:val="231F20"/>
                <w:w w:val="98"/>
              </w:rPr>
              <w:t>10.17 (3)</w:t>
            </w:r>
          </w:p>
        </w:tc>
        <w:tc>
          <w:tcPr>
            <w:tcW w:w="6860" w:type="dxa"/>
            <w:vAlign w:val="bottom"/>
          </w:tcPr>
          <w:p>
            <w:pPr>
              <w:ind w:left="140"/>
              <w:spacing w:after="0"/>
              <w:rPr>
                <w:sz w:val="20"/>
                <w:szCs w:val="20"/>
                <w:color w:val="auto"/>
              </w:rPr>
            </w:pPr>
            <w:r>
              <w:rPr>
                <w:rFonts w:ascii="Times New Roman" w:cs="Times New Roman" w:eastAsia="Times New Roman" w:hAnsi="Times New Roman"/>
                <w:sz w:val="21"/>
                <w:szCs w:val="21"/>
                <w:color w:val="231F20"/>
              </w:rPr>
              <w:t>Unitil Corporation Tax Deferred Savings and Investment Plan Trust</w:t>
            </w:r>
          </w:p>
        </w:tc>
        <w:tc>
          <w:tcPr>
            <w:tcW w:w="2920" w:type="dxa"/>
            <w:vAlign w:val="bottom"/>
          </w:tcPr>
          <w:p>
            <w:pPr>
              <w:ind w:left="60"/>
              <w:spacing w:after="0"/>
              <w:rPr>
                <w:sz w:val="20"/>
                <w:szCs w:val="20"/>
                <w:color w:val="auto"/>
              </w:rPr>
            </w:pPr>
            <w:r>
              <w:rPr>
                <w:rFonts w:ascii="Times New Roman" w:cs="Times New Roman" w:eastAsia="Times New Roman" w:hAnsi="Times New Roman"/>
                <w:sz w:val="21"/>
                <w:szCs w:val="21"/>
                <w:color w:val="231F20"/>
              </w:rPr>
              <w:t>Exhibit 4.2 to Form S-8</w:t>
            </w:r>
          </w:p>
        </w:tc>
      </w:tr>
      <w:tr>
        <w:trPr>
          <w:trHeight w:val="242"/>
        </w:trPr>
        <w:tc>
          <w:tcPr>
            <w:tcW w:w="920" w:type="dxa"/>
            <w:vAlign w:val="bottom"/>
          </w:tcPr>
          <w:p>
            <w:pPr>
              <w:spacing w:after="0"/>
              <w:rPr>
                <w:sz w:val="21"/>
                <w:szCs w:val="21"/>
                <w:color w:val="auto"/>
              </w:rPr>
            </w:pPr>
          </w:p>
        </w:tc>
        <w:tc>
          <w:tcPr>
            <w:tcW w:w="6860" w:type="dxa"/>
            <w:vAlign w:val="bottom"/>
          </w:tcPr>
          <w:p>
            <w:pPr>
              <w:ind w:left="140"/>
              <w:spacing w:after="0"/>
              <w:rPr>
                <w:sz w:val="20"/>
                <w:szCs w:val="20"/>
                <w:color w:val="auto"/>
              </w:rPr>
            </w:pPr>
            <w:r>
              <w:rPr>
                <w:rFonts w:ascii="Times New Roman" w:cs="Times New Roman" w:eastAsia="Times New Roman" w:hAnsi="Times New Roman"/>
                <w:sz w:val="21"/>
                <w:szCs w:val="21"/>
                <w:color w:val="231F20"/>
              </w:rPr>
              <w:t>Agreement.</w:t>
            </w:r>
          </w:p>
        </w:tc>
        <w:tc>
          <w:tcPr>
            <w:tcW w:w="2920" w:type="dxa"/>
            <w:vAlign w:val="bottom"/>
          </w:tcPr>
          <w:p>
            <w:pPr>
              <w:ind w:left="60"/>
              <w:spacing w:after="0"/>
              <w:rPr>
                <w:sz w:val="20"/>
                <w:szCs w:val="20"/>
                <w:color w:val="auto"/>
              </w:rPr>
            </w:pPr>
            <w:r>
              <w:rPr>
                <w:rFonts w:ascii="Times New Roman" w:cs="Times New Roman" w:eastAsia="Times New Roman" w:hAnsi="Times New Roman"/>
                <w:sz w:val="21"/>
                <w:szCs w:val="21"/>
                <w:color w:val="231F20"/>
              </w:rPr>
              <w:t>Registration Statement No. 333-</w:t>
            </w:r>
          </w:p>
        </w:tc>
      </w:tr>
      <w:tr>
        <w:trPr>
          <w:trHeight w:val="281"/>
        </w:trPr>
        <w:tc>
          <w:tcPr>
            <w:tcW w:w="9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920" w:type="dxa"/>
            <w:vAlign w:val="bottom"/>
          </w:tcPr>
          <w:p>
            <w:pPr>
              <w:ind w:left="60"/>
              <w:spacing w:after="0"/>
              <w:rPr>
                <w:sz w:val="20"/>
                <w:szCs w:val="20"/>
                <w:color w:val="auto"/>
              </w:rPr>
            </w:pPr>
            <w:r>
              <w:rPr>
                <w:rFonts w:ascii="Times New Roman" w:cs="Times New Roman" w:eastAsia="Times New Roman" w:hAnsi="Times New Roman"/>
                <w:sz w:val="21"/>
                <w:szCs w:val="21"/>
                <w:color w:val="231F20"/>
              </w:rPr>
              <w:t>234391 dated October 31, 2019</w:t>
            </w:r>
          </w:p>
        </w:tc>
      </w:tr>
      <w:tr>
        <w:trPr>
          <w:trHeight w:val="432"/>
        </w:trPr>
        <w:tc>
          <w:tcPr>
            <w:tcW w:w="920" w:type="dxa"/>
            <w:vAlign w:val="bottom"/>
          </w:tcPr>
          <w:p>
            <w:pPr>
              <w:jc w:val="right"/>
              <w:ind w:right="35"/>
              <w:spacing w:after="0"/>
              <w:rPr>
                <w:sz w:val="20"/>
                <w:szCs w:val="20"/>
                <w:color w:val="auto"/>
              </w:rPr>
            </w:pPr>
            <w:r>
              <w:rPr>
                <w:rFonts w:ascii="Times New Roman" w:cs="Times New Roman" w:eastAsia="Times New Roman" w:hAnsi="Times New Roman"/>
                <w:sz w:val="21"/>
                <w:szCs w:val="21"/>
                <w:color w:val="231F20"/>
                <w:w w:val="98"/>
              </w:rPr>
              <w:t>10.18 (3)</w:t>
            </w:r>
          </w:p>
        </w:tc>
        <w:tc>
          <w:tcPr>
            <w:tcW w:w="6860" w:type="dxa"/>
            <w:vAlign w:val="bottom"/>
          </w:tcPr>
          <w:p>
            <w:pPr>
              <w:ind w:left="140"/>
              <w:spacing w:after="0"/>
              <w:rPr>
                <w:sz w:val="20"/>
                <w:szCs w:val="20"/>
                <w:color w:val="auto"/>
              </w:rPr>
            </w:pPr>
            <w:r>
              <w:rPr>
                <w:rFonts w:ascii="Times New Roman" w:cs="Times New Roman" w:eastAsia="Times New Roman" w:hAnsi="Times New Roman"/>
                <w:sz w:val="21"/>
                <w:szCs w:val="21"/>
                <w:color w:val="231F20"/>
              </w:rPr>
              <w:t>Unitil Corporation Incentive Plan (amended and restated as of January 26,</w:t>
            </w:r>
          </w:p>
        </w:tc>
        <w:tc>
          <w:tcPr>
            <w:tcW w:w="2920" w:type="dxa"/>
            <w:vAlign w:val="bottom"/>
          </w:tcPr>
          <w:p>
            <w:pPr>
              <w:ind w:left="60"/>
              <w:spacing w:after="0"/>
              <w:rPr>
                <w:sz w:val="20"/>
                <w:szCs w:val="20"/>
                <w:color w:val="auto"/>
              </w:rPr>
            </w:pPr>
            <w:r>
              <w:rPr>
                <w:rFonts w:ascii="Times New Roman" w:cs="Times New Roman" w:eastAsia="Times New Roman" w:hAnsi="Times New Roman"/>
                <w:sz w:val="21"/>
                <w:szCs w:val="21"/>
                <w:color w:val="231F20"/>
              </w:rPr>
              <w:t>Exhibit 10.1 to Form 10-Q for</w:t>
            </w:r>
          </w:p>
        </w:tc>
      </w:tr>
      <w:tr>
        <w:trPr>
          <w:trHeight w:val="241"/>
        </w:trPr>
        <w:tc>
          <w:tcPr>
            <w:tcW w:w="920" w:type="dxa"/>
            <w:vAlign w:val="bottom"/>
          </w:tcPr>
          <w:p>
            <w:pPr>
              <w:spacing w:after="0"/>
              <w:rPr>
                <w:sz w:val="21"/>
                <w:szCs w:val="21"/>
                <w:color w:val="auto"/>
              </w:rPr>
            </w:pPr>
          </w:p>
        </w:tc>
        <w:tc>
          <w:tcPr>
            <w:tcW w:w="6860" w:type="dxa"/>
            <w:vAlign w:val="bottom"/>
          </w:tcPr>
          <w:p>
            <w:pPr>
              <w:ind w:left="140"/>
              <w:spacing w:after="0"/>
              <w:rPr>
                <w:sz w:val="20"/>
                <w:szCs w:val="20"/>
                <w:color w:val="auto"/>
              </w:rPr>
            </w:pPr>
            <w:r>
              <w:rPr>
                <w:rFonts w:ascii="Times New Roman" w:cs="Times New Roman" w:eastAsia="Times New Roman" w:hAnsi="Times New Roman"/>
                <w:sz w:val="21"/>
                <w:szCs w:val="21"/>
                <w:color w:val="231F20"/>
              </w:rPr>
              <w:t>2015).</w:t>
            </w:r>
          </w:p>
        </w:tc>
        <w:tc>
          <w:tcPr>
            <w:tcW w:w="2920" w:type="dxa"/>
            <w:vAlign w:val="bottom"/>
          </w:tcPr>
          <w:p>
            <w:pPr>
              <w:ind w:left="60"/>
              <w:spacing w:after="0"/>
              <w:rPr>
                <w:sz w:val="20"/>
                <w:szCs w:val="20"/>
                <w:color w:val="auto"/>
              </w:rPr>
            </w:pPr>
            <w:r>
              <w:rPr>
                <w:rFonts w:ascii="Times New Roman" w:cs="Times New Roman" w:eastAsia="Times New Roman" w:hAnsi="Times New Roman"/>
                <w:sz w:val="21"/>
                <w:szCs w:val="21"/>
                <w:color w:val="231F20"/>
              </w:rPr>
              <w:t>March 31, 2015 (SEC File No. 1-</w:t>
            </w:r>
          </w:p>
        </w:tc>
      </w:tr>
      <w:tr>
        <w:trPr>
          <w:trHeight w:val="281"/>
        </w:trPr>
        <w:tc>
          <w:tcPr>
            <w:tcW w:w="9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920" w:type="dxa"/>
            <w:vAlign w:val="bottom"/>
          </w:tcPr>
          <w:p>
            <w:pPr>
              <w:ind w:left="60"/>
              <w:spacing w:after="0"/>
              <w:rPr>
                <w:sz w:val="20"/>
                <w:szCs w:val="20"/>
                <w:color w:val="auto"/>
              </w:rPr>
            </w:pPr>
            <w:r>
              <w:rPr>
                <w:rFonts w:ascii="Times New Roman" w:cs="Times New Roman" w:eastAsia="Times New Roman" w:hAnsi="Times New Roman"/>
                <w:sz w:val="21"/>
                <w:szCs w:val="21"/>
                <w:color w:val="231F20"/>
              </w:rPr>
              <w:t>8858)</w:t>
            </w:r>
          </w:p>
        </w:tc>
      </w:tr>
      <w:tr>
        <w:trPr>
          <w:trHeight w:val="432"/>
        </w:trPr>
        <w:tc>
          <w:tcPr>
            <w:tcW w:w="920" w:type="dxa"/>
            <w:vAlign w:val="bottom"/>
          </w:tcPr>
          <w:p>
            <w:pPr>
              <w:jc w:val="right"/>
              <w:ind w:right="35"/>
              <w:spacing w:after="0"/>
              <w:rPr>
                <w:sz w:val="20"/>
                <w:szCs w:val="20"/>
                <w:color w:val="auto"/>
              </w:rPr>
            </w:pPr>
            <w:r>
              <w:rPr>
                <w:rFonts w:ascii="Times New Roman" w:cs="Times New Roman" w:eastAsia="Times New Roman" w:hAnsi="Times New Roman"/>
                <w:sz w:val="21"/>
                <w:szCs w:val="21"/>
                <w:color w:val="231F20"/>
                <w:w w:val="98"/>
              </w:rPr>
              <w:t>10.19 (3)</w:t>
            </w:r>
          </w:p>
        </w:tc>
        <w:tc>
          <w:tcPr>
            <w:tcW w:w="6860" w:type="dxa"/>
            <w:vAlign w:val="bottom"/>
          </w:tcPr>
          <w:p>
            <w:pPr>
              <w:ind w:left="140"/>
              <w:spacing w:after="0"/>
              <w:rPr>
                <w:sz w:val="20"/>
                <w:szCs w:val="20"/>
                <w:color w:val="auto"/>
              </w:rPr>
            </w:pPr>
            <w:r>
              <w:rPr>
                <w:rFonts w:ascii="Times New Roman" w:cs="Times New Roman" w:eastAsia="Times New Roman" w:hAnsi="Times New Roman"/>
                <w:sz w:val="21"/>
                <w:szCs w:val="21"/>
                <w:color w:val="231F20"/>
              </w:rPr>
              <w:t>Employment Agreement between Unitil Corporation and Thomas P. Meissner,</w:t>
            </w:r>
          </w:p>
        </w:tc>
        <w:tc>
          <w:tcPr>
            <w:tcW w:w="2920" w:type="dxa"/>
            <w:vAlign w:val="bottom"/>
          </w:tcPr>
          <w:p>
            <w:pPr>
              <w:ind w:left="60"/>
              <w:spacing w:after="0"/>
              <w:rPr>
                <w:sz w:val="20"/>
                <w:szCs w:val="20"/>
                <w:color w:val="auto"/>
              </w:rPr>
            </w:pPr>
            <w:r>
              <w:rPr>
                <w:rFonts w:ascii="Times New Roman" w:cs="Times New Roman" w:eastAsia="Times New Roman" w:hAnsi="Times New Roman"/>
                <w:sz w:val="21"/>
                <w:szCs w:val="21"/>
                <w:color w:val="231F20"/>
                <w:w w:val="98"/>
              </w:rPr>
              <w:t>Exhibit 10.1 to Form 8-K for May</w:t>
            </w:r>
          </w:p>
        </w:tc>
      </w:tr>
      <w:tr>
        <w:trPr>
          <w:trHeight w:val="281"/>
        </w:trPr>
        <w:tc>
          <w:tcPr>
            <w:tcW w:w="920" w:type="dxa"/>
            <w:vAlign w:val="bottom"/>
          </w:tcPr>
          <w:p>
            <w:pPr>
              <w:spacing w:after="0"/>
              <w:rPr>
                <w:sz w:val="24"/>
                <w:szCs w:val="24"/>
                <w:color w:val="auto"/>
              </w:rPr>
            </w:pPr>
          </w:p>
        </w:tc>
        <w:tc>
          <w:tcPr>
            <w:tcW w:w="6860" w:type="dxa"/>
            <w:vAlign w:val="bottom"/>
          </w:tcPr>
          <w:p>
            <w:pPr>
              <w:ind w:left="140"/>
              <w:spacing w:after="0"/>
              <w:rPr>
                <w:sz w:val="20"/>
                <w:szCs w:val="20"/>
                <w:color w:val="auto"/>
              </w:rPr>
            </w:pPr>
            <w:r>
              <w:rPr>
                <w:rFonts w:ascii="Times New Roman" w:cs="Times New Roman" w:eastAsia="Times New Roman" w:hAnsi="Times New Roman"/>
                <w:sz w:val="21"/>
                <w:szCs w:val="21"/>
                <w:color w:val="231F20"/>
              </w:rPr>
              <w:t>Jr.</w:t>
            </w:r>
          </w:p>
        </w:tc>
        <w:tc>
          <w:tcPr>
            <w:tcW w:w="2920" w:type="dxa"/>
            <w:vAlign w:val="bottom"/>
          </w:tcPr>
          <w:p>
            <w:pPr>
              <w:ind w:left="60"/>
              <w:spacing w:after="0"/>
              <w:rPr>
                <w:sz w:val="20"/>
                <w:szCs w:val="20"/>
                <w:color w:val="auto"/>
              </w:rPr>
            </w:pPr>
            <w:r>
              <w:rPr>
                <w:rFonts w:ascii="Times New Roman" w:cs="Times New Roman" w:eastAsia="Times New Roman" w:hAnsi="Times New Roman"/>
                <w:sz w:val="21"/>
                <w:szCs w:val="21"/>
                <w:color w:val="231F20"/>
              </w:rPr>
              <w:t>1, 2024 (SEC File No. 1-8858)</w:t>
            </w:r>
          </w:p>
        </w:tc>
      </w:tr>
      <w:tr>
        <w:trPr>
          <w:trHeight w:val="432"/>
        </w:trPr>
        <w:tc>
          <w:tcPr>
            <w:tcW w:w="920" w:type="dxa"/>
            <w:vAlign w:val="bottom"/>
          </w:tcPr>
          <w:p>
            <w:pPr>
              <w:jc w:val="right"/>
              <w:ind w:right="35"/>
              <w:spacing w:after="0"/>
              <w:rPr>
                <w:sz w:val="20"/>
                <w:szCs w:val="20"/>
                <w:color w:val="auto"/>
              </w:rPr>
            </w:pPr>
            <w:r>
              <w:rPr>
                <w:rFonts w:ascii="Times New Roman" w:cs="Times New Roman" w:eastAsia="Times New Roman" w:hAnsi="Times New Roman"/>
                <w:sz w:val="21"/>
                <w:szCs w:val="21"/>
                <w:color w:val="231F20"/>
                <w:w w:val="98"/>
              </w:rPr>
              <w:t>10.20 (3)</w:t>
            </w:r>
          </w:p>
        </w:tc>
        <w:tc>
          <w:tcPr>
            <w:tcW w:w="6860" w:type="dxa"/>
            <w:vAlign w:val="bottom"/>
          </w:tcPr>
          <w:p>
            <w:pPr>
              <w:ind w:left="140"/>
              <w:spacing w:after="0"/>
              <w:rPr>
                <w:sz w:val="20"/>
                <w:szCs w:val="20"/>
                <w:color w:val="auto"/>
              </w:rPr>
            </w:pPr>
            <w:r>
              <w:rPr>
                <w:rFonts w:ascii="Times New Roman" w:cs="Times New Roman" w:eastAsia="Times New Roman" w:hAnsi="Times New Roman"/>
                <w:sz w:val="21"/>
                <w:szCs w:val="21"/>
                <w:color w:val="231F20"/>
              </w:rPr>
              <w:t>Unitil Corporation - Compensation of Directors effective as of January 1, 2025</w:t>
            </w:r>
          </w:p>
        </w:tc>
        <w:tc>
          <w:tcPr>
            <w:tcW w:w="2920" w:type="dxa"/>
            <w:vAlign w:val="bottom"/>
          </w:tcPr>
          <w:p>
            <w:pPr>
              <w:ind w:left="60"/>
              <w:spacing w:after="0"/>
              <w:rPr>
                <w:sz w:val="20"/>
                <w:szCs w:val="20"/>
                <w:color w:val="auto"/>
              </w:rPr>
            </w:pPr>
            <w:r>
              <w:rPr>
                <w:rFonts w:ascii="Times New Roman" w:cs="Times New Roman" w:eastAsia="Times New Roman" w:hAnsi="Times New Roman"/>
                <w:sz w:val="21"/>
                <w:szCs w:val="21"/>
                <w:color w:val="231F20"/>
              </w:rPr>
              <w:t>Exhibit 10.23 to Form 10-K for</w:t>
            </w:r>
          </w:p>
        </w:tc>
      </w:tr>
      <w:tr>
        <w:trPr>
          <w:trHeight w:val="281"/>
        </w:trPr>
        <w:tc>
          <w:tcPr>
            <w:tcW w:w="9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920" w:type="dxa"/>
            <w:vAlign w:val="bottom"/>
          </w:tcPr>
          <w:p>
            <w:pPr>
              <w:ind w:left="60"/>
              <w:spacing w:after="0"/>
              <w:rPr>
                <w:sz w:val="20"/>
                <w:szCs w:val="20"/>
                <w:color w:val="auto"/>
              </w:rPr>
            </w:pPr>
            <w:r>
              <w:rPr>
                <w:rFonts w:ascii="Times New Roman" w:cs="Times New Roman" w:eastAsia="Times New Roman" w:hAnsi="Times New Roman"/>
                <w:sz w:val="21"/>
                <w:szCs w:val="21"/>
                <w:color w:val="231F20"/>
              </w:rPr>
              <w:t>2024 (SEC File No. 1-8858)</w:t>
            </w:r>
          </w:p>
        </w:tc>
      </w:tr>
    </w:tbl>
    <w:p>
      <w:pPr>
        <w:spacing w:after="0" w:line="190" w:lineRule="exact"/>
        <w:rPr>
          <w:sz w:val="20"/>
          <w:szCs w:val="20"/>
          <w:color w:val="auto"/>
        </w:rPr>
      </w:pPr>
    </w:p>
    <w:p>
      <w:pPr>
        <w:sectPr>
          <w:pgSz w:w="12240" w:h="15840" w:orient="portrait"/>
          <w:cols w:equalWidth="0" w:num="1">
            <w:col w:w="10780"/>
          </w:cols>
          <w:pgMar w:left="720" w:top="930" w:right="740" w:bottom="176" w:gutter="0" w:footer="0" w:header="0"/>
          <w:type w:val="continuous"/>
        </w:sectPr>
      </w:pPr>
    </w:p>
    <w:p>
      <w:pPr>
        <w:ind w:left="1060" w:hanging="1052"/>
        <w:spacing w:after="0" w:line="253" w:lineRule="auto"/>
        <w:tabs>
          <w:tab w:leader="none" w:pos="1040" w:val="left"/>
        </w:tabs>
        <w:rPr>
          <w:sz w:val="20"/>
          <w:szCs w:val="20"/>
          <w:color w:val="auto"/>
        </w:rPr>
      </w:pPr>
      <w:r>
        <w:rPr>
          <w:rFonts w:ascii="Times New Roman" w:cs="Times New Roman" w:eastAsia="Times New Roman" w:hAnsi="Times New Roman"/>
          <w:sz w:val="21"/>
          <w:szCs w:val="21"/>
          <w:color w:val="231F20"/>
        </w:rPr>
        <w:t>10.21</w:t>
      </w:r>
      <w:r>
        <w:rPr>
          <w:sz w:val="20"/>
          <w:szCs w:val="20"/>
          <w:color w:val="auto"/>
        </w:rPr>
        <w:tab/>
      </w:r>
      <w:r>
        <w:rPr>
          <w:rFonts w:ascii="Times New Roman" w:cs="Times New Roman" w:eastAsia="Times New Roman" w:hAnsi="Times New Roman"/>
          <w:sz w:val="21"/>
          <w:szCs w:val="21"/>
          <w:color w:val="231F20"/>
        </w:rPr>
        <w:t>Underwriting Agreement dated August 4, 2021 among Unitil Corporation, on the one hand, and RBC Capital Markets, LLC and BofA Securities, Inc., on the other hand, for themselves and as representatives of the several underwriters named therein.</w:t>
      </w:r>
    </w:p>
    <w:p>
      <w:pPr>
        <w:spacing w:after="0" w:line="20" w:lineRule="exact"/>
        <w:rPr>
          <w:sz w:val="20"/>
          <w:szCs w:val="20"/>
          <w:color w:val="auto"/>
        </w:rPr>
      </w:pPr>
      <w:r>
        <w:rPr>
          <w:sz w:val="20"/>
          <w:szCs w:val="20"/>
          <w:color w:val="auto"/>
        </w:rPr>
        <w:br w:type="column"/>
      </w:r>
    </w:p>
    <w:p>
      <w:pPr>
        <w:ind w:right="140"/>
        <w:spacing w:after="0" w:line="305" w:lineRule="auto"/>
        <w:rPr>
          <w:sz w:val="20"/>
          <w:szCs w:val="20"/>
          <w:color w:val="auto"/>
        </w:rPr>
      </w:pPr>
      <w:r>
        <w:rPr>
          <w:rFonts w:ascii="Times New Roman" w:cs="Times New Roman" w:eastAsia="Times New Roman" w:hAnsi="Times New Roman"/>
          <w:sz w:val="20"/>
          <w:szCs w:val="20"/>
          <w:color w:val="231F20"/>
        </w:rPr>
        <w:t>Exhibit 1.1 to Form 8-K dated August 3, 2021 (File No. 1-8858)</w:t>
      </w:r>
    </w:p>
    <w:p>
      <w:pPr>
        <w:spacing w:after="0" w:line="611" w:lineRule="exact"/>
        <w:rPr>
          <w:sz w:val="20"/>
          <w:szCs w:val="20"/>
          <w:color w:val="auto"/>
        </w:rPr>
      </w:pPr>
    </w:p>
    <w:p>
      <w:pPr>
        <w:sectPr>
          <w:pgSz w:w="12240" w:h="15840" w:orient="portrait"/>
          <w:cols w:equalWidth="0" w:num="2">
            <w:col w:w="7720" w:space="120"/>
            <w:col w:w="2940"/>
          </w:cols>
          <w:pgMar w:left="720" w:top="930" w:right="740" w:bottom="176"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920" w:type="dxa"/>
            <w:vAlign w:val="bottom"/>
          </w:tcPr>
          <w:p>
            <w:pPr>
              <w:jc w:val="right"/>
              <w:ind w:right="35"/>
              <w:spacing w:after="0"/>
              <w:rPr>
                <w:sz w:val="20"/>
                <w:szCs w:val="20"/>
                <w:color w:val="auto"/>
              </w:rPr>
            </w:pPr>
            <w:r>
              <w:rPr>
                <w:rFonts w:ascii="Times New Roman" w:cs="Times New Roman" w:eastAsia="Times New Roman" w:hAnsi="Times New Roman"/>
                <w:sz w:val="21"/>
                <w:szCs w:val="21"/>
                <w:color w:val="231F20"/>
                <w:w w:val="98"/>
              </w:rPr>
              <w:t>10.22 (3)</w:t>
            </w:r>
          </w:p>
        </w:tc>
        <w:tc>
          <w:tcPr>
            <w:tcW w:w="6060" w:type="dxa"/>
            <w:vAlign w:val="bottom"/>
          </w:tcPr>
          <w:p>
            <w:pPr>
              <w:ind w:left="140"/>
              <w:spacing w:after="0"/>
              <w:rPr>
                <w:sz w:val="20"/>
                <w:szCs w:val="20"/>
                <w:color w:val="auto"/>
              </w:rPr>
            </w:pPr>
            <w:r>
              <w:rPr>
                <w:rFonts w:ascii="Times New Roman" w:cs="Times New Roman" w:eastAsia="Times New Roman" w:hAnsi="Times New Roman"/>
                <w:sz w:val="21"/>
                <w:szCs w:val="21"/>
                <w:color w:val="231F20"/>
              </w:rPr>
              <w:t>Form of Restricted Stock Agreement (Time Vesting)</w:t>
            </w:r>
          </w:p>
        </w:tc>
        <w:tc>
          <w:tcPr>
            <w:tcW w:w="3760" w:type="dxa"/>
            <w:vAlign w:val="bottom"/>
          </w:tcPr>
          <w:p>
            <w:pPr>
              <w:ind w:left="860"/>
              <w:spacing w:after="0"/>
              <w:rPr>
                <w:sz w:val="20"/>
                <w:szCs w:val="20"/>
                <w:color w:val="auto"/>
              </w:rPr>
            </w:pPr>
            <w:r>
              <w:rPr>
                <w:rFonts w:ascii="Times New Roman" w:cs="Times New Roman" w:eastAsia="Times New Roman" w:hAnsi="Times New Roman"/>
                <w:sz w:val="21"/>
                <w:szCs w:val="21"/>
                <w:color w:val="231F20"/>
              </w:rPr>
              <w:t>Exhibit 10.1 to Form 8-K dated</w:t>
            </w:r>
          </w:p>
        </w:tc>
      </w:tr>
      <w:tr>
        <w:trPr>
          <w:trHeight w:val="241"/>
        </w:trPr>
        <w:tc>
          <w:tcPr>
            <w:tcW w:w="9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3760" w:type="dxa"/>
            <w:vAlign w:val="bottom"/>
          </w:tcPr>
          <w:p>
            <w:pPr>
              <w:ind w:left="860"/>
              <w:spacing w:after="0"/>
              <w:rPr>
                <w:sz w:val="20"/>
                <w:szCs w:val="20"/>
                <w:color w:val="auto"/>
              </w:rPr>
            </w:pPr>
            <w:r>
              <w:rPr>
                <w:rFonts w:ascii="Times New Roman" w:cs="Times New Roman" w:eastAsia="Times New Roman" w:hAnsi="Times New Roman"/>
                <w:sz w:val="21"/>
                <w:szCs w:val="21"/>
                <w:color w:val="231F20"/>
                <w:w w:val="98"/>
              </w:rPr>
              <w:t>January 24, 2023 (SEC File No. 1-</w:t>
            </w:r>
          </w:p>
        </w:tc>
      </w:tr>
      <w:tr>
        <w:trPr>
          <w:trHeight w:val="281"/>
        </w:trPr>
        <w:tc>
          <w:tcPr>
            <w:tcW w:w="9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3760" w:type="dxa"/>
            <w:vAlign w:val="bottom"/>
          </w:tcPr>
          <w:p>
            <w:pPr>
              <w:ind w:left="860"/>
              <w:spacing w:after="0"/>
              <w:rPr>
                <w:sz w:val="20"/>
                <w:szCs w:val="20"/>
                <w:color w:val="auto"/>
              </w:rPr>
            </w:pPr>
            <w:r>
              <w:rPr>
                <w:rFonts w:ascii="Times New Roman" w:cs="Times New Roman" w:eastAsia="Times New Roman" w:hAnsi="Times New Roman"/>
                <w:sz w:val="21"/>
                <w:szCs w:val="21"/>
                <w:color w:val="231F20"/>
              </w:rPr>
              <w:t>8858)</w:t>
            </w:r>
          </w:p>
        </w:tc>
      </w:tr>
      <w:tr>
        <w:trPr>
          <w:trHeight w:val="432"/>
        </w:trPr>
        <w:tc>
          <w:tcPr>
            <w:tcW w:w="920" w:type="dxa"/>
            <w:vAlign w:val="bottom"/>
          </w:tcPr>
          <w:p>
            <w:pPr>
              <w:jc w:val="right"/>
              <w:ind w:right="35"/>
              <w:spacing w:after="0"/>
              <w:rPr>
                <w:sz w:val="20"/>
                <w:szCs w:val="20"/>
                <w:color w:val="auto"/>
              </w:rPr>
            </w:pPr>
            <w:r>
              <w:rPr>
                <w:rFonts w:ascii="Times New Roman" w:cs="Times New Roman" w:eastAsia="Times New Roman" w:hAnsi="Times New Roman"/>
                <w:sz w:val="21"/>
                <w:szCs w:val="21"/>
                <w:color w:val="231F20"/>
                <w:w w:val="98"/>
              </w:rPr>
              <w:t>10.23 (3)</w:t>
            </w:r>
          </w:p>
        </w:tc>
        <w:tc>
          <w:tcPr>
            <w:tcW w:w="6060" w:type="dxa"/>
            <w:vAlign w:val="bottom"/>
          </w:tcPr>
          <w:p>
            <w:pPr>
              <w:ind w:left="140"/>
              <w:spacing w:after="0"/>
              <w:rPr>
                <w:sz w:val="20"/>
                <w:szCs w:val="20"/>
                <w:color w:val="auto"/>
              </w:rPr>
            </w:pPr>
            <w:r>
              <w:rPr>
                <w:rFonts w:ascii="Times New Roman" w:cs="Times New Roman" w:eastAsia="Times New Roman" w:hAnsi="Times New Roman"/>
                <w:sz w:val="21"/>
                <w:szCs w:val="21"/>
                <w:color w:val="231F20"/>
              </w:rPr>
              <w:t>Form of Restricted Stock Agreement (Performance Vesting)</w:t>
            </w:r>
          </w:p>
        </w:tc>
        <w:tc>
          <w:tcPr>
            <w:tcW w:w="3760" w:type="dxa"/>
            <w:vAlign w:val="bottom"/>
          </w:tcPr>
          <w:p>
            <w:pPr>
              <w:ind w:left="860"/>
              <w:spacing w:after="0"/>
              <w:rPr>
                <w:sz w:val="20"/>
                <w:szCs w:val="20"/>
                <w:color w:val="auto"/>
              </w:rPr>
            </w:pPr>
            <w:r>
              <w:rPr>
                <w:rFonts w:ascii="Times New Roman" w:cs="Times New Roman" w:eastAsia="Times New Roman" w:hAnsi="Times New Roman"/>
                <w:sz w:val="21"/>
                <w:szCs w:val="21"/>
                <w:color w:val="231F20"/>
              </w:rPr>
              <w:t>Exhibit 10.2 to Form 8-K dated</w:t>
            </w:r>
          </w:p>
        </w:tc>
      </w:tr>
      <w:tr>
        <w:trPr>
          <w:trHeight w:val="241"/>
        </w:trPr>
        <w:tc>
          <w:tcPr>
            <w:tcW w:w="9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3760" w:type="dxa"/>
            <w:vAlign w:val="bottom"/>
          </w:tcPr>
          <w:p>
            <w:pPr>
              <w:ind w:left="860"/>
              <w:spacing w:after="0"/>
              <w:rPr>
                <w:sz w:val="20"/>
                <w:szCs w:val="20"/>
                <w:color w:val="auto"/>
              </w:rPr>
            </w:pPr>
            <w:r>
              <w:rPr>
                <w:rFonts w:ascii="Times New Roman" w:cs="Times New Roman" w:eastAsia="Times New Roman" w:hAnsi="Times New Roman"/>
                <w:sz w:val="21"/>
                <w:szCs w:val="21"/>
                <w:color w:val="231F20"/>
                <w:w w:val="98"/>
              </w:rPr>
              <w:t>January 24, 2023 (SEC File No. 1-</w:t>
            </w:r>
          </w:p>
        </w:tc>
      </w:tr>
      <w:tr>
        <w:trPr>
          <w:trHeight w:val="281"/>
        </w:trPr>
        <w:tc>
          <w:tcPr>
            <w:tcW w:w="9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3760" w:type="dxa"/>
            <w:vAlign w:val="bottom"/>
          </w:tcPr>
          <w:p>
            <w:pPr>
              <w:ind w:left="860"/>
              <w:spacing w:after="0"/>
              <w:rPr>
                <w:sz w:val="20"/>
                <w:szCs w:val="20"/>
                <w:color w:val="auto"/>
              </w:rPr>
            </w:pPr>
            <w:r>
              <w:rPr>
                <w:rFonts w:ascii="Times New Roman" w:cs="Times New Roman" w:eastAsia="Times New Roman" w:hAnsi="Times New Roman"/>
                <w:sz w:val="21"/>
                <w:szCs w:val="21"/>
                <w:color w:val="231F20"/>
              </w:rPr>
              <w:t>8858)</w:t>
            </w:r>
          </w:p>
        </w:tc>
      </w:tr>
    </w:tbl>
    <w:p>
      <w:pPr>
        <w:spacing w:after="0" w:line="190" w:lineRule="exact"/>
        <w:rPr>
          <w:sz w:val="20"/>
          <w:szCs w:val="20"/>
          <w:color w:val="auto"/>
        </w:rPr>
      </w:pPr>
    </w:p>
    <w:p>
      <w:pPr>
        <w:sectPr>
          <w:pgSz w:w="12240" w:h="15840" w:orient="portrait"/>
          <w:cols w:equalWidth="0" w:num="1">
            <w:col w:w="10780"/>
          </w:cols>
          <w:pgMar w:left="720" w:top="930" w:right="740" w:bottom="176" w:gutter="0" w:footer="0" w:header="0"/>
          <w:type w:val="continuous"/>
        </w:sectPr>
      </w:pPr>
    </w:p>
    <w:p>
      <w:pPr>
        <w:ind w:left="1060" w:hanging="1052"/>
        <w:spacing w:after="0" w:line="259" w:lineRule="auto"/>
        <w:tabs>
          <w:tab w:leader="none" w:pos="1040" w:val="left"/>
        </w:tabs>
        <w:rPr>
          <w:sz w:val="20"/>
          <w:szCs w:val="20"/>
          <w:color w:val="auto"/>
        </w:rPr>
      </w:pPr>
      <w:r>
        <w:rPr>
          <w:rFonts w:ascii="Times New Roman" w:cs="Times New Roman" w:eastAsia="Times New Roman" w:hAnsi="Times New Roman"/>
          <w:sz w:val="21"/>
          <w:szCs w:val="21"/>
          <w:color w:val="231F20"/>
        </w:rPr>
        <w:t>10.24 (5)</w:t>
        <w:tab/>
        <w:t>Transition Services Agreement dated January 31, 2025 between Bangor Natural Gas Company and Hearthstone Holdings, Inc. (d/b/a Hope Utilities, Inc.), acknowledged by Unitil Corporation</w:t>
      </w:r>
    </w:p>
    <w:p>
      <w:pPr>
        <w:spacing w:after="0" w:line="173" w:lineRule="exact"/>
        <w:rPr>
          <w:sz w:val="20"/>
          <w:szCs w:val="20"/>
          <w:color w:val="auto"/>
        </w:rPr>
      </w:pPr>
    </w:p>
    <w:p>
      <w:pPr>
        <w:ind w:left="1060" w:right="180" w:hanging="1052"/>
        <w:spacing w:after="0" w:line="279" w:lineRule="auto"/>
        <w:tabs>
          <w:tab w:leader="none" w:pos="1040" w:val="left"/>
        </w:tabs>
        <w:rPr>
          <w:sz w:val="20"/>
          <w:szCs w:val="20"/>
          <w:color w:val="auto"/>
        </w:rPr>
      </w:pPr>
      <w:r>
        <w:rPr>
          <w:rFonts w:ascii="Times New Roman" w:cs="Times New Roman" w:eastAsia="Times New Roman" w:hAnsi="Times New Roman"/>
          <w:sz w:val="21"/>
          <w:szCs w:val="21"/>
          <w:color w:val="231F20"/>
        </w:rPr>
        <w:t>10.25</w:t>
      </w:r>
      <w:r>
        <w:rPr>
          <w:sz w:val="20"/>
          <w:szCs w:val="20"/>
          <w:color w:val="auto"/>
        </w:rPr>
        <w:tab/>
      </w:r>
      <w:r>
        <w:rPr>
          <w:rFonts w:ascii="Times New Roman" w:cs="Times New Roman" w:eastAsia="Times New Roman" w:hAnsi="Times New Roman"/>
          <w:sz w:val="21"/>
          <w:szCs w:val="21"/>
          <w:color w:val="231F20"/>
        </w:rPr>
        <w:t>Guaranty between Unitil Corporation and Avangrid Networks, Inc., dated March 31. 2025</w:t>
      </w:r>
    </w:p>
    <w:p>
      <w:pPr>
        <w:spacing w:after="0" w:line="20" w:lineRule="exact"/>
        <w:rPr>
          <w:sz w:val="20"/>
          <w:szCs w:val="20"/>
          <w:color w:val="auto"/>
        </w:rPr>
      </w:pPr>
      <w:r>
        <w:rPr>
          <w:sz w:val="20"/>
          <w:szCs w:val="20"/>
          <w:color w:val="auto"/>
        </w:rPr>
        <w:br w:type="column"/>
      </w:r>
    </w:p>
    <w:p>
      <w:pPr>
        <w:ind w:right="40"/>
        <w:spacing w:after="0" w:line="259" w:lineRule="auto"/>
        <w:rPr>
          <w:sz w:val="20"/>
          <w:szCs w:val="20"/>
          <w:color w:val="auto"/>
        </w:rPr>
      </w:pPr>
      <w:r>
        <w:rPr>
          <w:rFonts w:ascii="Times New Roman" w:cs="Times New Roman" w:eastAsia="Times New Roman" w:hAnsi="Times New Roman"/>
          <w:sz w:val="21"/>
          <w:szCs w:val="21"/>
          <w:color w:val="231F20"/>
        </w:rPr>
        <w:t>Exhibit 10.2 to Form 8- K dated January 29, 2025 (SEC File No. 1-8858)</w:t>
      </w:r>
    </w:p>
    <w:p>
      <w:pPr>
        <w:spacing w:after="0" w:line="17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1"/>
          <w:szCs w:val="21"/>
          <w:color w:val="231F20"/>
        </w:rPr>
        <w:t>Exhibit 10.3 to Form 10-Q for March 31, 2025 (SEC File No. 1-8858)</w:t>
      </w:r>
    </w:p>
    <w:p>
      <w:pPr>
        <w:spacing w:after="0" w:line="200" w:lineRule="exact"/>
        <w:rPr>
          <w:sz w:val="20"/>
          <w:szCs w:val="20"/>
          <w:color w:val="auto"/>
        </w:rPr>
      </w:pPr>
    </w:p>
    <w:p>
      <w:pPr>
        <w:sectPr>
          <w:pgSz w:w="12240" w:h="15840" w:orient="portrait"/>
          <w:cols w:equalWidth="0" w:num="2">
            <w:col w:w="7440" w:space="400"/>
            <w:col w:w="2940"/>
          </w:cols>
          <w:pgMar w:left="720" w:top="930" w:right="740" w:bottom="176" w:gutter="0" w:footer="0" w:header="0"/>
          <w:type w:val="continuous"/>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231F20"/>
        </w:rPr>
        <w:t>101</w:t>
      </w:r>
    </w:p>
    <w:p>
      <w:pPr>
        <w:sectPr>
          <w:pgSz w:w="12240" w:h="15840" w:orient="portrait"/>
          <w:cols w:equalWidth="0" w:num="1">
            <w:col w:w="10780"/>
          </w:cols>
          <w:pgMar w:left="720" w:top="930" w:right="740" w:bottom="176" w:gutter="0" w:footer="0" w:header="0"/>
          <w:type w:val="continuous"/>
        </w:sectPr>
      </w:pPr>
    </w:p>
    <w:bookmarkStart w:id="121" w:name="page122"/>
    <w:bookmarkEnd w:id="121"/>
    <w:p>
      <w:pPr>
        <w:ind w:left="280"/>
        <w:spacing w:after="0"/>
        <w:rPr>
          <w:sz w:val="20"/>
          <w:szCs w:val="20"/>
          <w:color w:val="auto"/>
        </w:rPr>
      </w:pPr>
      <w:r>
        <w:rPr>
          <w:rFonts w:ascii="Times New Roman" w:cs="Times New Roman" w:eastAsia="Times New Roman" w:hAnsi="Times New Roman"/>
          <w:sz w:val="16"/>
          <w:szCs w:val="16"/>
          <w:b w:val="1"/>
          <w:bCs w:val="1"/>
          <w:u w:val="single" w:color="auto"/>
          <w:color w:val="231F20"/>
        </w:rPr>
        <w:t>Exhibit</w:t>
      </w:r>
    </w:p>
    <w:p>
      <w:pPr>
        <w:spacing w:after="0" w:line="26" w:lineRule="exact"/>
        <w:rPr>
          <w:sz w:val="20"/>
          <w:szCs w:val="20"/>
          <w:color w:val="auto"/>
        </w:rPr>
      </w:pPr>
    </w:p>
    <w:p>
      <w:pPr>
        <w:ind w:left="240"/>
        <w:spacing w:after="0"/>
        <w:tabs>
          <w:tab w:leader="none" w:pos="3620" w:val="left"/>
          <w:tab w:leader="none" w:pos="8840" w:val="left"/>
        </w:tabs>
        <w:rPr>
          <w:sz w:val="20"/>
          <w:szCs w:val="20"/>
          <w:color w:val="auto"/>
        </w:rPr>
      </w:pPr>
      <w:r>
        <w:rPr>
          <w:rFonts w:ascii="Times New Roman" w:cs="Times New Roman" w:eastAsia="Times New Roman" w:hAnsi="Times New Roman"/>
          <w:sz w:val="16"/>
          <w:szCs w:val="16"/>
          <w:b w:val="1"/>
          <w:bCs w:val="1"/>
          <w:u w:val="single" w:color="auto"/>
          <w:color w:val="231F20"/>
        </w:rPr>
        <w:t>Number</w:t>
      </w:r>
      <w:r>
        <w:rPr>
          <w:sz w:val="20"/>
          <w:szCs w:val="20"/>
          <w:color w:val="auto"/>
        </w:rPr>
        <w:tab/>
      </w:r>
      <w:r>
        <w:rPr>
          <w:rFonts w:ascii="Times New Roman" w:cs="Times New Roman" w:eastAsia="Times New Roman" w:hAnsi="Times New Roman"/>
          <w:sz w:val="16"/>
          <w:szCs w:val="16"/>
          <w:b w:val="1"/>
          <w:bCs w:val="1"/>
          <w:u w:val="single" w:color="auto"/>
          <w:color w:val="231F20"/>
        </w:rPr>
        <w:t>Description of Exhibit</w:t>
      </w:r>
      <w:r>
        <w:rPr>
          <w:sz w:val="20"/>
          <w:szCs w:val="20"/>
          <w:color w:val="auto"/>
        </w:rPr>
        <w:tab/>
      </w:r>
      <w:r>
        <w:rPr>
          <w:rFonts w:ascii="Times New Roman" w:cs="Times New Roman" w:eastAsia="Times New Roman" w:hAnsi="Times New Roman"/>
          <w:sz w:val="16"/>
          <w:szCs w:val="16"/>
          <w:b w:val="1"/>
          <w:bCs w:val="1"/>
          <w:u w:val="single" w:color="auto"/>
          <w:color w:val="231F20"/>
        </w:rPr>
        <w:t>Reference (1)</w:t>
      </w:r>
    </w:p>
    <w:p>
      <w:pPr>
        <w:sectPr>
          <w:pgSz w:w="12240" w:h="15840" w:orient="portrait"/>
          <w:cols w:equalWidth="0" w:num="1">
            <w:col w:w="10760"/>
          </w:cols>
          <w:pgMar w:left="720" w:top="930" w:right="760" w:bottom="176" w:gutter="0" w:footer="0" w:header="0"/>
        </w:sectPr>
      </w:pPr>
    </w:p>
    <w:p>
      <w:pPr>
        <w:spacing w:after="0" w:line="200" w:lineRule="exact"/>
        <w:rPr>
          <w:sz w:val="20"/>
          <w:szCs w:val="20"/>
          <w:color w:val="auto"/>
        </w:rPr>
      </w:pPr>
    </w:p>
    <w:p>
      <w:pPr>
        <w:spacing w:after="0" w:line="232" w:lineRule="exact"/>
        <w:rPr>
          <w:sz w:val="20"/>
          <w:szCs w:val="20"/>
          <w:color w:val="auto"/>
        </w:rPr>
      </w:pPr>
    </w:p>
    <w:p>
      <w:pPr>
        <w:ind w:left="1060" w:hanging="1052"/>
        <w:spacing w:after="0" w:line="279" w:lineRule="auto"/>
        <w:tabs>
          <w:tab w:leader="none" w:pos="1040" w:val="left"/>
        </w:tabs>
        <w:rPr>
          <w:sz w:val="20"/>
          <w:szCs w:val="20"/>
          <w:color w:val="auto"/>
        </w:rPr>
      </w:pPr>
      <w:r>
        <w:rPr>
          <w:rFonts w:ascii="Times New Roman" w:cs="Times New Roman" w:eastAsia="Times New Roman" w:hAnsi="Times New Roman"/>
          <w:sz w:val="21"/>
          <w:szCs w:val="21"/>
          <w:color w:val="231F20"/>
        </w:rPr>
        <w:t>10.26 (6)</w:t>
        <w:tab/>
        <w:t>Debt Commitment Letter between Unitil Corporation and The Bank of Nova Scotia, dated March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1"/>
          <w:szCs w:val="21"/>
          <w:color w:val="231F20"/>
        </w:rPr>
        <w:t>Exhibit 10.4 to Form 10-Q for March 31, 2015 (SEC File No. 1-8858)</w:t>
      </w:r>
    </w:p>
    <w:p>
      <w:pPr>
        <w:spacing w:after="0" w:line="173" w:lineRule="exact"/>
        <w:rPr>
          <w:sz w:val="20"/>
          <w:szCs w:val="20"/>
          <w:color w:val="auto"/>
        </w:rPr>
      </w:pPr>
    </w:p>
    <w:p>
      <w:pPr>
        <w:sectPr>
          <w:pgSz w:w="12240" w:h="15840" w:orient="portrait"/>
          <w:cols w:equalWidth="0" w:num="2">
            <w:col w:w="7500" w:space="340"/>
            <w:col w:w="2920"/>
          </w:cols>
          <w:pgMar w:left="720" w:top="930" w:right="760" w:bottom="176" w:gutter="0" w:footer="0" w:header="0"/>
          <w:type w:val="continuous"/>
        </w:sectPr>
      </w:pPr>
    </w:p>
    <w:p>
      <w:pPr>
        <w:ind w:left="1060" w:hanging="1052"/>
        <w:spacing w:after="0" w:line="253" w:lineRule="auto"/>
        <w:tabs>
          <w:tab w:leader="none" w:pos="1040" w:val="left"/>
        </w:tabs>
        <w:rPr>
          <w:sz w:val="20"/>
          <w:szCs w:val="20"/>
          <w:color w:val="auto"/>
        </w:rPr>
      </w:pPr>
      <w:r>
        <w:rPr>
          <w:rFonts w:ascii="Times New Roman" w:cs="Times New Roman" w:eastAsia="Times New Roman" w:hAnsi="Times New Roman"/>
          <w:sz w:val="21"/>
          <w:szCs w:val="21"/>
          <w:color w:val="231F20"/>
        </w:rPr>
        <w:t>10.27</w:t>
      </w:r>
      <w:r>
        <w:rPr>
          <w:sz w:val="20"/>
          <w:szCs w:val="20"/>
          <w:color w:val="auto"/>
        </w:rPr>
        <w:tab/>
      </w:r>
      <w:r>
        <w:rPr>
          <w:rFonts w:ascii="Times New Roman" w:cs="Times New Roman" w:eastAsia="Times New Roman" w:hAnsi="Times New Roman"/>
          <w:sz w:val="21"/>
          <w:szCs w:val="21"/>
          <w:color w:val="231F20"/>
        </w:rPr>
        <w:t>Distribution Agreement, dated June 3, 2025, by and among Unitil Corporation, Janney Montgomery Scott LLC and Scotia Capital (USA) Inc. (each as agent and/or forward seller) and Janney Montgomery Scott LLC and The Bank of Nova Scotia (each as forward purchaser).</w:t>
      </w:r>
    </w:p>
    <w:p>
      <w:pPr>
        <w:spacing w:after="0" w:line="178" w:lineRule="exact"/>
        <w:rPr>
          <w:sz w:val="20"/>
          <w:szCs w:val="20"/>
          <w:color w:val="auto"/>
        </w:rPr>
      </w:pPr>
    </w:p>
    <w:p>
      <w:pPr>
        <w:ind w:left="1060" w:right="120" w:hanging="1052"/>
        <w:spacing w:after="0" w:line="259" w:lineRule="auto"/>
        <w:tabs>
          <w:tab w:leader="none" w:pos="1040" w:val="left"/>
        </w:tabs>
        <w:rPr>
          <w:sz w:val="20"/>
          <w:szCs w:val="20"/>
          <w:color w:val="auto"/>
        </w:rPr>
      </w:pPr>
      <w:r>
        <w:rPr>
          <w:rFonts w:ascii="Times New Roman" w:cs="Times New Roman" w:eastAsia="Times New Roman" w:hAnsi="Times New Roman"/>
          <w:sz w:val="21"/>
          <w:szCs w:val="21"/>
          <w:color w:val="231F20"/>
        </w:rPr>
        <w:t>10.28</w:t>
      </w:r>
      <w:r>
        <w:rPr>
          <w:sz w:val="20"/>
          <w:szCs w:val="20"/>
          <w:color w:val="auto"/>
        </w:rPr>
        <w:tab/>
      </w:r>
      <w:r>
        <w:rPr>
          <w:rFonts w:ascii="Times New Roman" w:cs="Times New Roman" w:eastAsia="Times New Roman" w:hAnsi="Times New Roman"/>
          <w:sz w:val="21"/>
          <w:szCs w:val="21"/>
          <w:color w:val="231F20"/>
        </w:rPr>
        <w:t>Underwriting Agreement, August 14, 2025, by and among Unitil Corporation and Wells Fargo Securities, LLC, Scotia Capital (USA) Inc. and Janney Montgomery Scott LLC.</w:t>
      </w:r>
    </w:p>
    <w:p>
      <w:pPr>
        <w:spacing w:after="0" w:line="20" w:lineRule="exact"/>
        <w:rPr>
          <w:sz w:val="20"/>
          <w:szCs w:val="20"/>
          <w:color w:val="auto"/>
        </w:rPr>
      </w:pPr>
      <w:r>
        <w:rPr>
          <w:sz w:val="20"/>
          <w:szCs w:val="20"/>
          <w:color w:val="auto"/>
        </w:rPr>
        <w:br w:type="column"/>
      </w:r>
    </w:p>
    <w:p>
      <w:pPr>
        <w:ind w:right="60"/>
        <w:spacing w:after="0" w:line="305" w:lineRule="auto"/>
        <w:rPr>
          <w:sz w:val="20"/>
          <w:szCs w:val="20"/>
          <w:color w:val="auto"/>
        </w:rPr>
      </w:pPr>
      <w:r>
        <w:rPr>
          <w:rFonts w:ascii="Times New Roman" w:cs="Times New Roman" w:eastAsia="Times New Roman" w:hAnsi="Times New Roman"/>
          <w:sz w:val="20"/>
          <w:szCs w:val="20"/>
          <w:color w:val="231F20"/>
        </w:rPr>
        <w:t>Exhibit 10.1 to Form 8-K for June 3, 2025 (SEC File No. 1-8858)</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1"/>
          <w:szCs w:val="21"/>
          <w:color w:val="231F20"/>
        </w:rPr>
        <w:t>Exhibit 1.1 to Form 8-K for August 14, 2025 (SEC File No. 1-8858)</w:t>
      </w:r>
    </w:p>
    <w:p>
      <w:pPr>
        <w:spacing w:after="0" w:line="173" w:lineRule="exact"/>
        <w:rPr>
          <w:sz w:val="20"/>
          <w:szCs w:val="20"/>
          <w:color w:val="auto"/>
        </w:rPr>
      </w:pPr>
    </w:p>
    <w:p>
      <w:pPr>
        <w:sectPr>
          <w:pgSz w:w="12240" w:h="15840" w:orient="portrait"/>
          <w:cols w:equalWidth="0" w:num="2">
            <w:col w:w="7700" w:space="140"/>
            <w:col w:w="2920"/>
          </w:cols>
          <w:pgMar w:left="720" w:top="930" w:right="760" w:bottom="176" w:gutter="0" w:footer="0" w:header="0"/>
          <w:type w:val="continuous"/>
        </w:sectPr>
      </w:pPr>
    </w:p>
    <w:p>
      <w:pPr>
        <w:ind w:left="1060" w:hanging="1052"/>
        <w:spacing w:after="0" w:line="259" w:lineRule="auto"/>
        <w:tabs>
          <w:tab w:leader="none" w:pos="1040" w:val="left"/>
        </w:tabs>
        <w:rPr>
          <w:sz w:val="20"/>
          <w:szCs w:val="20"/>
          <w:color w:val="auto"/>
        </w:rPr>
      </w:pPr>
      <w:r>
        <w:rPr>
          <w:rFonts w:ascii="Times New Roman" w:cs="Times New Roman" w:eastAsia="Times New Roman" w:hAnsi="Times New Roman"/>
          <w:sz w:val="21"/>
          <w:szCs w:val="21"/>
          <w:color w:val="231F20"/>
        </w:rPr>
        <w:t>10.29 (5)</w:t>
        <w:tab/>
        <w:t>Transition Services Agreement dated October 31, 2025 between Maine Natural Gas Company and Avangrid Service Company, as consented to and acknowledged by Unitil Corporation</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Times New Roman" w:cs="Times New Roman" w:eastAsia="Times New Roman" w:hAnsi="Times New Roman"/>
          <w:sz w:val="21"/>
          <w:szCs w:val="21"/>
          <w:color w:val="231F20"/>
        </w:rPr>
        <w:t>Exhibit 10.2 to Form 8-K for October 31, 2025 (SEC File No. 1-8858)</w:t>
      </w:r>
    </w:p>
    <w:p>
      <w:pPr>
        <w:spacing w:after="0" w:line="173" w:lineRule="exact"/>
        <w:rPr>
          <w:sz w:val="20"/>
          <w:szCs w:val="20"/>
          <w:color w:val="auto"/>
        </w:rPr>
      </w:pPr>
    </w:p>
    <w:p>
      <w:pPr>
        <w:sectPr>
          <w:pgSz w:w="12240" w:h="15840" w:orient="portrait"/>
          <w:cols w:equalWidth="0" w:num="2">
            <w:col w:w="7720" w:space="120"/>
            <w:col w:w="2920"/>
          </w:cols>
          <w:pgMar w:left="720" w:top="930" w:right="760" w:bottom="176"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880" w:type="dxa"/>
            <w:vAlign w:val="bottom"/>
          </w:tcPr>
          <w:p>
            <w:pPr>
              <w:spacing w:after="0"/>
              <w:rPr>
                <w:sz w:val="20"/>
                <w:szCs w:val="20"/>
                <w:color w:val="auto"/>
              </w:rPr>
            </w:pPr>
            <w:r>
              <w:rPr>
                <w:rFonts w:ascii="Times New Roman" w:cs="Times New Roman" w:eastAsia="Times New Roman" w:hAnsi="Times New Roman"/>
                <w:sz w:val="21"/>
                <w:szCs w:val="21"/>
                <w:color w:val="231F20"/>
              </w:rPr>
              <w:t>19.1</w:t>
            </w:r>
          </w:p>
        </w:tc>
        <w:tc>
          <w:tcPr>
            <w:tcW w:w="6880" w:type="dxa"/>
            <w:vAlign w:val="bottom"/>
          </w:tcPr>
          <w:p>
            <w:pPr>
              <w:ind w:left="180"/>
              <w:spacing w:after="0"/>
              <w:rPr>
                <w:sz w:val="20"/>
                <w:szCs w:val="20"/>
                <w:color w:val="auto"/>
              </w:rPr>
            </w:pPr>
            <w:r>
              <w:rPr>
                <w:rFonts w:ascii="Times New Roman" w:cs="Times New Roman" w:eastAsia="Times New Roman" w:hAnsi="Times New Roman"/>
                <w:sz w:val="21"/>
                <w:szCs w:val="21"/>
                <w:color w:val="231F20"/>
              </w:rPr>
              <w:t>Unitil Corporation Corporate Governance Guidelines and Policies of the Board</w:t>
            </w:r>
          </w:p>
        </w:tc>
        <w:tc>
          <w:tcPr>
            <w:tcW w:w="2620" w:type="dxa"/>
            <w:vAlign w:val="bottom"/>
          </w:tcPr>
          <w:p>
            <w:pPr>
              <w:ind w:left="80"/>
              <w:spacing w:after="0"/>
              <w:rPr>
                <w:sz w:val="20"/>
                <w:szCs w:val="20"/>
                <w:color w:val="auto"/>
              </w:rPr>
            </w:pPr>
            <w:r>
              <w:rPr>
                <w:rFonts w:ascii="Times New Roman" w:cs="Times New Roman" w:eastAsia="Times New Roman" w:hAnsi="Times New Roman"/>
                <w:sz w:val="21"/>
                <w:szCs w:val="21"/>
                <w:color w:val="231F20"/>
                <w:w w:val="99"/>
              </w:rPr>
              <w:t>Exhibit 19.1 to Form 10-K for</w:t>
            </w:r>
          </w:p>
        </w:tc>
      </w:tr>
      <w:tr>
        <w:trPr>
          <w:trHeight w:val="281"/>
        </w:trPr>
        <w:tc>
          <w:tcPr>
            <w:tcW w:w="880" w:type="dxa"/>
            <w:vAlign w:val="bottom"/>
          </w:tcPr>
          <w:p>
            <w:pPr>
              <w:spacing w:after="0"/>
              <w:rPr>
                <w:sz w:val="24"/>
                <w:szCs w:val="24"/>
                <w:color w:val="auto"/>
              </w:rPr>
            </w:pPr>
          </w:p>
        </w:tc>
        <w:tc>
          <w:tcPr>
            <w:tcW w:w="6880" w:type="dxa"/>
            <w:vAlign w:val="bottom"/>
          </w:tcPr>
          <w:p>
            <w:pPr>
              <w:ind w:left="180"/>
              <w:spacing w:after="0"/>
              <w:rPr>
                <w:sz w:val="20"/>
                <w:szCs w:val="20"/>
                <w:color w:val="auto"/>
              </w:rPr>
            </w:pPr>
            <w:r>
              <w:rPr>
                <w:rFonts w:ascii="Times New Roman" w:cs="Times New Roman" w:eastAsia="Times New Roman" w:hAnsi="Times New Roman"/>
                <w:sz w:val="21"/>
                <w:szCs w:val="21"/>
                <w:color w:val="231F20"/>
              </w:rPr>
              <w:t>of Directors (includes the Registrant’s insider trading policies and procedures)</w:t>
            </w:r>
          </w:p>
        </w:tc>
        <w:tc>
          <w:tcPr>
            <w:tcW w:w="2620" w:type="dxa"/>
            <w:vAlign w:val="bottom"/>
          </w:tcPr>
          <w:p>
            <w:pPr>
              <w:ind w:left="80"/>
              <w:spacing w:after="0"/>
              <w:rPr>
                <w:sz w:val="20"/>
                <w:szCs w:val="20"/>
                <w:color w:val="auto"/>
              </w:rPr>
            </w:pPr>
            <w:r>
              <w:rPr>
                <w:rFonts w:ascii="Times New Roman" w:cs="Times New Roman" w:eastAsia="Times New Roman" w:hAnsi="Times New Roman"/>
                <w:sz w:val="21"/>
                <w:szCs w:val="21"/>
                <w:color w:val="231F20"/>
              </w:rPr>
              <w:t>2023 (SEC File No. 1-8858)</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231F20"/>
              </w:rPr>
              <w:t>19.2</w:t>
            </w:r>
          </w:p>
        </w:tc>
        <w:tc>
          <w:tcPr>
            <w:tcW w:w="6880" w:type="dxa"/>
            <w:vAlign w:val="bottom"/>
          </w:tcPr>
          <w:p>
            <w:pPr>
              <w:ind w:left="180"/>
              <w:spacing w:after="0"/>
              <w:rPr>
                <w:sz w:val="20"/>
                <w:szCs w:val="20"/>
                <w:color w:val="auto"/>
              </w:rPr>
            </w:pPr>
            <w:r>
              <w:rPr>
                <w:rFonts w:ascii="Times New Roman" w:cs="Times New Roman" w:eastAsia="Times New Roman" w:hAnsi="Times New Roman"/>
                <w:sz w:val="21"/>
                <w:szCs w:val="21"/>
                <w:color w:val="231F20"/>
              </w:rPr>
              <w:t>Unitil Corporation Insider Trading Policy</w:t>
            </w:r>
          </w:p>
        </w:tc>
        <w:tc>
          <w:tcPr>
            <w:tcW w:w="2620" w:type="dxa"/>
            <w:vAlign w:val="bottom"/>
          </w:tcPr>
          <w:p>
            <w:pPr>
              <w:ind w:left="80"/>
              <w:spacing w:after="0"/>
              <w:rPr>
                <w:sz w:val="20"/>
                <w:szCs w:val="20"/>
                <w:color w:val="auto"/>
              </w:rPr>
            </w:pPr>
            <w:r>
              <w:rPr>
                <w:rFonts w:ascii="Times New Roman" w:cs="Times New Roman" w:eastAsia="Times New Roman" w:hAnsi="Times New Roman"/>
                <w:sz w:val="21"/>
                <w:szCs w:val="21"/>
                <w:color w:val="231F20"/>
                <w:w w:val="99"/>
              </w:rPr>
              <w:t>Exhibit 19.2 to Form 10-K for</w:t>
            </w:r>
          </w:p>
        </w:tc>
      </w:tr>
      <w:tr>
        <w:trPr>
          <w:trHeight w:val="281"/>
        </w:trPr>
        <w:tc>
          <w:tcPr>
            <w:tcW w:w="8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620" w:type="dxa"/>
            <w:vAlign w:val="bottom"/>
          </w:tcPr>
          <w:p>
            <w:pPr>
              <w:ind w:left="80"/>
              <w:spacing w:after="0"/>
              <w:rPr>
                <w:sz w:val="20"/>
                <w:szCs w:val="20"/>
                <w:color w:val="auto"/>
              </w:rPr>
            </w:pPr>
            <w:r>
              <w:rPr>
                <w:rFonts w:ascii="Times New Roman" w:cs="Times New Roman" w:eastAsia="Times New Roman" w:hAnsi="Times New Roman"/>
                <w:sz w:val="21"/>
                <w:szCs w:val="21"/>
                <w:color w:val="231F20"/>
              </w:rPr>
              <w:t>2024 (SEC File No. 1-8858)</w:t>
            </w:r>
          </w:p>
        </w:tc>
      </w:tr>
      <w:tr>
        <w:trPr>
          <w:trHeight w:val="460"/>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231F20"/>
              </w:rPr>
              <w:t>21.1</w:t>
            </w:r>
          </w:p>
        </w:tc>
        <w:tc>
          <w:tcPr>
            <w:tcW w:w="6880" w:type="dxa"/>
            <w:vAlign w:val="bottom"/>
          </w:tcPr>
          <w:p>
            <w:pPr>
              <w:ind w:left="180"/>
              <w:spacing w:after="0"/>
              <w:rPr>
                <w:sz w:val="20"/>
                <w:szCs w:val="20"/>
                <w:color w:val="auto"/>
              </w:rPr>
            </w:pPr>
            <w:r>
              <w:rPr>
                <w:rFonts w:ascii="Times New Roman" w:cs="Times New Roman" w:eastAsia="Times New Roman" w:hAnsi="Times New Roman"/>
                <w:sz w:val="21"/>
                <w:szCs w:val="21"/>
                <w:color w:val="231F20"/>
              </w:rPr>
              <w:t>Statement Re: Subsidiaries of Registrant.</w:t>
            </w:r>
          </w:p>
        </w:tc>
        <w:tc>
          <w:tcPr>
            <w:tcW w:w="2620" w:type="dxa"/>
            <w:vAlign w:val="bottom"/>
          </w:tcPr>
          <w:p>
            <w:pPr>
              <w:ind w:left="80"/>
              <w:spacing w:after="0"/>
              <w:rPr>
                <w:sz w:val="20"/>
                <w:szCs w:val="20"/>
                <w:color w:val="auto"/>
              </w:rPr>
            </w:pPr>
            <w:r>
              <w:rPr>
                <w:rFonts w:ascii="Times New Roman" w:cs="Times New Roman" w:eastAsia="Times New Roman" w:hAnsi="Times New Roman"/>
                <w:sz w:val="21"/>
                <w:szCs w:val="21"/>
                <w:color w:val="231F20"/>
              </w:rPr>
              <w:t>Filed herewith</w:t>
            </w:r>
          </w:p>
        </w:tc>
      </w:tr>
      <w:tr>
        <w:trPr>
          <w:trHeight w:val="471"/>
        </w:trPr>
        <w:tc>
          <w:tcPr>
            <w:tcW w:w="880" w:type="dxa"/>
            <w:vAlign w:val="bottom"/>
          </w:tcPr>
          <w:p>
            <w:pPr>
              <w:spacing w:after="0"/>
              <w:rPr>
                <w:sz w:val="20"/>
                <w:szCs w:val="20"/>
                <w:color w:val="auto"/>
              </w:rPr>
            </w:pPr>
            <w:r>
              <w:rPr>
                <w:rFonts w:ascii="Times New Roman" w:cs="Times New Roman" w:eastAsia="Times New Roman" w:hAnsi="Times New Roman"/>
                <w:sz w:val="21"/>
                <w:szCs w:val="21"/>
                <w:color w:val="231F20"/>
              </w:rPr>
              <w:t>23.1</w:t>
            </w:r>
          </w:p>
        </w:tc>
        <w:tc>
          <w:tcPr>
            <w:tcW w:w="6880" w:type="dxa"/>
            <w:vAlign w:val="bottom"/>
          </w:tcPr>
          <w:p>
            <w:pPr>
              <w:ind w:left="180"/>
              <w:spacing w:after="0"/>
              <w:rPr>
                <w:sz w:val="20"/>
                <w:szCs w:val="20"/>
                <w:color w:val="auto"/>
              </w:rPr>
            </w:pPr>
            <w:r>
              <w:rPr>
                <w:rFonts w:ascii="Times New Roman" w:cs="Times New Roman" w:eastAsia="Times New Roman" w:hAnsi="Times New Roman"/>
                <w:sz w:val="21"/>
                <w:szCs w:val="21"/>
                <w:color w:val="231F20"/>
              </w:rPr>
              <w:t>Consent of Independent Registered Public Accounting Firm.</w:t>
            </w:r>
          </w:p>
        </w:tc>
        <w:tc>
          <w:tcPr>
            <w:tcW w:w="2620" w:type="dxa"/>
            <w:vAlign w:val="bottom"/>
          </w:tcPr>
          <w:p>
            <w:pPr>
              <w:ind w:left="80"/>
              <w:spacing w:after="0"/>
              <w:rPr>
                <w:sz w:val="20"/>
                <w:szCs w:val="20"/>
                <w:color w:val="auto"/>
              </w:rPr>
            </w:pPr>
            <w:r>
              <w:rPr>
                <w:rFonts w:ascii="Times New Roman" w:cs="Times New Roman" w:eastAsia="Times New Roman" w:hAnsi="Times New Roman"/>
                <w:sz w:val="21"/>
                <w:szCs w:val="21"/>
                <w:color w:val="231F20"/>
              </w:rPr>
              <w:t>Filed herewith</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21"/>
                <w:szCs w:val="21"/>
                <w:color w:val="231F20"/>
              </w:rPr>
              <w:t>31.1</w:t>
            </w:r>
          </w:p>
        </w:tc>
        <w:tc>
          <w:tcPr>
            <w:tcW w:w="6880" w:type="dxa"/>
            <w:vAlign w:val="bottom"/>
          </w:tcPr>
          <w:p>
            <w:pPr>
              <w:ind w:left="180"/>
              <w:spacing w:after="0"/>
              <w:rPr>
                <w:sz w:val="20"/>
                <w:szCs w:val="20"/>
                <w:color w:val="auto"/>
              </w:rPr>
            </w:pPr>
            <w:r>
              <w:rPr>
                <w:rFonts w:ascii="Times New Roman" w:cs="Times New Roman" w:eastAsia="Times New Roman" w:hAnsi="Times New Roman"/>
                <w:sz w:val="21"/>
                <w:szCs w:val="21"/>
                <w:color w:val="231F20"/>
              </w:rPr>
              <w:t>Certification of Chief Executive Officer Pursuant to Rule 13a-14 of the</w:t>
            </w:r>
          </w:p>
        </w:tc>
        <w:tc>
          <w:tcPr>
            <w:tcW w:w="2620" w:type="dxa"/>
            <w:vAlign w:val="bottom"/>
          </w:tcPr>
          <w:p>
            <w:pPr>
              <w:ind w:left="80"/>
              <w:spacing w:after="0"/>
              <w:rPr>
                <w:sz w:val="20"/>
                <w:szCs w:val="20"/>
                <w:color w:val="auto"/>
              </w:rPr>
            </w:pPr>
            <w:r>
              <w:rPr>
                <w:rFonts w:ascii="Times New Roman" w:cs="Times New Roman" w:eastAsia="Times New Roman" w:hAnsi="Times New Roman"/>
                <w:sz w:val="21"/>
                <w:szCs w:val="21"/>
                <w:color w:val="231F20"/>
              </w:rPr>
              <w:t>Filed herewith</w:t>
            </w:r>
          </w:p>
        </w:tc>
      </w:tr>
      <w:tr>
        <w:trPr>
          <w:trHeight w:val="241"/>
        </w:trPr>
        <w:tc>
          <w:tcPr>
            <w:tcW w:w="880" w:type="dxa"/>
            <w:vAlign w:val="bottom"/>
          </w:tcPr>
          <w:p>
            <w:pPr>
              <w:spacing w:after="0"/>
              <w:rPr>
                <w:sz w:val="21"/>
                <w:szCs w:val="21"/>
                <w:color w:val="auto"/>
              </w:rPr>
            </w:pPr>
          </w:p>
        </w:tc>
        <w:tc>
          <w:tcPr>
            <w:tcW w:w="6880" w:type="dxa"/>
            <w:vAlign w:val="bottom"/>
          </w:tcPr>
          <w:p>
            <w:pPr>
              <w:ind w:left="180"/>
              <w:spacing w:after="0"/>
              <w:rPr>
                <w:sz w:val="20"/>
                <w:szCs w:val="20"/>
                <w:color w:val="auto"/>
              </w:rPr>
            </w:pPr>
            <w:r>
              <w:rPr>
                <w:rFonts w:ascii="Times New Roman" w:cs="Times New Roman" w:eastAsia="Times New Roman" w:hAnsi="Times New Roman"/>
                <w:sz w:val="21"/>
                <w:szCs w:val="21"/>
                <w:color w:val="231F20"/>
              </w:rPr>
              <w:t>Exchange Act, as Adopted Pursuant to Section 302 of the Sarbanes-Oxley Act</w:t>
            </w:r>
          </w:p>
        </w:tc>
        <w:tc>
          <w:tcPr>
            <w:tcW w:w="2620" w:type="dxa"/>
            <w:vAlign w:val="bottom"/>
          </w:tcPr>
          <w:p>
            <w:pPr>
              <w:spacing w:after="0"/>
              <w:rPr>
                <w:sz w:val="21"/>
                <w:szCs w:val="21"/>
                <w:color w:val="auto"/>
              </w:rPr>
            </w:pPr>
          </w:p>
        </w:tc>
      </w:tr>
      <w:tr>
        <w:trPr>
          <w:trHeight w:val="281"/>
        </w:trPr>
        <w:tc>
          <w:tcPr>
            <w:tcW w:w="880" w:type="dxa"/>
            <w:vAlign w:val="bottom"/>
          </w:tcPr>
          <w:p>
            <w:pPr>
              <w:spacing w:after="0"/>
              <w:rPr>
                <w:sz w:val="24"/>
                <w:szCs w:val="24"/>
                <w:color w:val="auto"/>
              </w:rPr>
            </w:pPr>
          </w:p>
        </w:tc>
        <w:tc>
          <w:tcPr>
            <w:tcW w:w="6880" w:type="dxa"/>
            <w:vAlign w:val="bottom"/>
          </w:tcPr>
          <w:p>
            <w:pPr>
              <w:ind w:left="180"/>
              <w:spacing w:after="0"/>
              <w:rPr>
                <w:sz w:val="20"/>
                <w:szCs w:val="20"/>
                <w:color w:val="auto"/>
              </w:rPr>
            </w:pPr>
            <w:r>
              <w:rPr>
                <w:rFonts w:ascii="Times New Roman" w:cs="Times New Roman" w:eastAsia="Times New Roman" w:hAnsi="Times New Roman"/>
                <w:sz w:val="21"/>
                <w:szCs w:val="21"/>
                <w:color w:val="231F20"/>
              </w:rPr>
              <w:t>of 2002.</w:t>
            </w:r>
          </w:p>
        </w:tc>
        <w:tc>
          <w:tcPr>
            <w:tcW w:w="262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21"/>
                <w:szCs w:val="21"/>
                <w:color w:val="231F20"/>
              </w:rPr>
              <w:t>31.2</w:t>
            </w:r>
          </w:p>
        </w:tc>
        <w:tc>
          <w:tcPr>
            <w:tcW w:w="6880" w:type="dxa"/>
            <w:vAlign w:val="bottom"/>
          </w:tcPr>
          <w:p>
            <w:pPr>
              <w:ind w:left="180"/>
              <w:spacing w:after="0"/>
              <w:rPr>
                <w:sz w:val="20"/>
                <w:szCs w:val="20"/>
                <w:color w:val="auto"/>
              </w:rPr>
            </w:pPr>
            <w:r>
              <w:rPr>
                <w:rFonts w:ascii="Times New Roman" w:cs="Times New Roman" w:eastAsia="Times New Roman" w:hAnsi="Times New Roman"/>
                <w:sz w:val="21"/>
                <w:szCs w:val="21"/>
                <w:color w:val="231F20"/>
              </w:rPr>
              <w:t>Certification of Chief Financial Officer Pursuant to Rule 13a-14 of the</w:t>
            </w:r>
          </w:p>
        </w:tc>
        <w:tc>
          <w:tcPr>
            <w:tcW w:w="2620" w:type="dxa"/>
            <w:vAlign w:val="bottom"/>
          </w:tcPr>
          <w:p>
            <w:pPr>
              <w:ind w:left="80"/>
              <w:spacing w:after="0"/>
              <w:rPr>
                <w:sz w:val="20"/>
                <w:szCs w:val="20"/>
                <w:color w:val="auto"/>
              </w:rPr>
            </w:pPr>
            <w:r>
              <w:rPr>
                <w:rFonts w:ascii="Times New Roman" w:cs="Times New Roman" w:eastAsia="Times New Roman" w:hAnsi="Times New Roman"/>
                <w:sz w:val="21"/>
                <w:szCs w:val="21"/>
                <w:color w:val="231F20"/>
              </w:rPr>
              <w:t>Filed herewith</w:t>
            </w:r>
          </w:p>
        </w:tc>
      </w:tr>
      <w:tr>
        <w:trPr>
          <w:trHeight w:val="242"/>
        </w:trPr>
        <w:tc>
          <w:tcPr>
            <w:tcW w:w="880" w:type="dxa"/>
            <w:vAlign w:val="bottom"/>
          </w:tcPr>
          <w:p>
            <w:pPr>
              <w:spacing w:after="0"/>
              <w:rPr>
                <w:sz w:val="21"/>
                <w:szCs w:val="21"/>
                <w:color w:val="auto"/>
              </w:rPr>
            </w:pPr>
          </w:p>
        </w:tc>
        <w:tc>
          <w:tcPr>
            <w:tcW w:w="6880" w:type="dxa"/>
            <w:vAlign w:val="bottom"/>
          </w:tcPr>
          <w:p>
            <w:pPr>
              <w:ind w:left="180"/>
              <w:spacing w:after="0"/>
              <w:rPr>
                <w:sz w:val="20"/>
                <w:szCs w:val="20"/>
                <w:color w:val="auto"/>
              </w:rPr>
            </w:pPr>
            <w:r>
              <w:rPr>
                <w:rFonts w:ascii="Times New Roman" w:cs="Times New Roman" w:eastAsia="Times New Roman" w:hAnsi="Times New Roman"/>
                <w:sz w:val="21"/>
                <w:szCs w:val="21"/>
                <w:color w:val="231F20"/>
              </w:rPr>
              <w:t>Exchange Act, as Adopted Pursuant to Section 302 of the Sarbanes-Oxley Act</w:t>
            </w:r>
          </w:p>
        </w:tc>
        <w:tc>
          <w:tcPr>
            <w:tcW w:w="2620" w:type="dxa"/>
            <w:vAlign w:val="bottom"/>
          </w:tcPr>
          <w:p>
            <w:pPr>
              <w:spacing w:after="0"/>
              <w:rPr>
                <w:sz w:val="21"/>
                <w:szCs w:val="21"/>
                <w:color w:val="auto"/>
              </w:rPr>
            </w:pPr>
          </w:p>
        </w:tc>
      </w:tr>
      <w:tr>
        <w:trPr>
          <w:trHeight w:val="281"/>
        </w:trPr>
        <w:tc>
          <w:tcPr>
            <w:tcW w:w="880" w:type="dxa"/>
            <w:vAlign w:val="bottom"/>
          </w:tcPr>
          <w:p>
            <w:pPr>
              <w:spacing w:after="0"/>
              <w:rPr>
                <w:sz w:val="24"/>
                <w:szCs w:val="24"/>
                <w:color w:val="auto"/>
              </w:rPr>
            </w:pPr>
          </w:p>
        </w:tc>
        <w:tc>
          <w:tcPr>
            <w:tcW w:w="6880" w:type="dxa"/>
            <w:vAlign w:val="bottom"/>
          </w:tcPr>
          <w:p>
            <w:pPr>
              <w:ind w:left="180"/>
              <w:spacing w:after="0"/>
              <w:rPr>
                <w:sz w:val="20"/>
                <w:szCs w:val="20"/>
                <w:color w:val="auto"/>
              </w:rPr>
            </w:pPr>
            <w:r>
              <w:rPr>
                <w:rFonts w:ascii="Times New Roman" w:cs="Times New Roman" w:eastAsia="Times New Roman" w:hAnsi="Times New Roman"/>
                <w:sz w:val="21"/>
                <w:szCs w:val="21"/>
                <w:color w:val="231F20"/>
              </w:rPr>
              <w:t>of 2002.</w:t>
            </w:r>
          </w:p>
        </w:tc>
        <w:tc>
          <w:tcPr>
            <w:tcW w:w="262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21"/>
                <w:szCs w:val="21"/>
                <w:color w:val="231F20"/>
              </w:rPr>
              <w:t>31.3</w:t>
            </w:r>
          </w:p>
        </w:tc>
        <w:tc>
          <w:tcPr>
            <w:tcW w:w="6880" w:type="dxa"/>
            <w:vAlign w:val="bottom"/>
          </w:tcPr>
          <w:p>
            <w:pPr>
              <w:ind w:left="180"/>
              <w:spacing w:after="0"/>
              <w:rPr>
                <w:sz w:val="20"/>
                <w:szCs w:val="20"/>
                <w:color w:val="auto"/>
              </w:rPr>
            </w:pPr>
            <w:r>
              <w:rPr>
                <w:rFonts w:ascii="Times New Roman" w:cs="Times New Roman" w:eastAsia="Times New Roman" w:hAnsi="Times New Roman"/>
                <w:sz w:val="21"/>
                <w:szCs w:val="21"/>
                <w:color w:val="231F20"/>
              </w:rPr>
              <w:t>Certification of Chief Accounting Officer Pursuant to Rule 13a-14 of the</w:t>
            </w:r>
          </w:p>
        </w:tc>
        <w:tc>
          <w:tcPr>
            <w:tcW w:w="2620" w:type="dxa"/>
            <w:vAlign w:val="bottom"/>
          </w:tcPr>
          <w:p>
            <w:pPr>
              <w:ind w:left="80"/>
              <w:spacing w:after="0"/>
              <w:rPr>
                <w:sz w:val="20"/>
                <w:szCs w:val="20"/>
                <w:color w:val="auto"/>
              </w:rPr>
            </w:pPr>
            <w:r>
              <w:rPr>
                <w:rFonts w:ascii="Times New Roman" w:cs="Times New Roman" w:eastAsia="Times New Roman" w:hAnsi="Times New Roman"/>
                <w:sz w:val="21"/>
                <w:szCs w:val="21"/>
                <w:color w:val="231F20"/>
              </w:rPr>
              <w:t>Filed herewith</w:t>
            </w:r>
          </w:p>
        </w:tc>
      </w:tr>
      <w:tr>
        <w:trPr>
          <w:trHeight w:val="242"/>
        </w:trPr>
        <w:tc>
          <w:tcPr>
            <w:tcW w:w="880" w:type="dxa"/>
            <w:vAlign w:val="bottom"/>
          </w:tcPr>
          <w:p>
            <w:pPr>
              <w:spacing w:after="0"/>
              <w:rPr>
                <w:sz w:val="21"/>
                <w:szCs w:val="21"/>
                <w:color w:val="auto"/>
              </w:rPr>
            </w:pPr>
          </w:p>
        </w:tc>
        <w:tc>
          <w:tcPr>
            <w:tcW w:w="6880" w:type="dxa"/>
            <w:vAlign w:val="bottom"/>
          </w:tcPr>
          <w:p>
            <w:pPr>
              <w:ind w:left="180"/>
              <w:spacing w:after="0"/>
              <w:rPr>
                <w:sz w:val="20"/>
                <w:szCs w:val="20"/>
                <w:color w:val="auto"/>
              </w:rPr>
            </w:pPr>
            <w:r>
              <w:rPr>
                <w:rFonts w:ascii="Times New Roman" w:cs="Times New Roman" w:eastAsia="Times New Roman" w:hAnsi="Times New Roman"/>
                <w:sz w:val="21"/>
                <w:szCs w:val="21"/>
                <w:color w:val="231F20"/>
              </w:rPr>
              <w:t>Exchange Act, as Adopted Pursuant to Section 302 of the Sarbanes-Oxley Act</w:t>
            </w:r>
          </w:p>
        </w:tc>
        <w:tc>
          <w:tcPr>
            <w:tcW w:w="2620" w:type="dxa"/>
            <w:vAlign w:val="bottom"/>
          </w:tcPr>
          <w:p>
            <w:pPr>
              <w:spacing w:after="0"/>
              <w:rPr>
                <w:sz w:val="21"/>
                <w:szCs w:val="21"/>
                <w:color w:val="auto"/>
              </w:rPr>
            </w:pPr>
          </w:p>
        </w:tc>
      </w:tr>
      <w:tr>
        <w:trPr>
          <w:trHeight w:val="281"/>
        </w:trPr>
        <w:tc>
          <w:tcPr>
            <w:tcW w:w="880" w:type="dxa"/>
            <w:vAlign w:val="bottom"/>
          </w:tcPr>
          <w:p>
            <w:pPr>
              <w:spacing w:after="0"/>
              <w:rPr>
                <w:sz w:val="24"/>
                <w:szCs w:val="24"/>
                <w:color w:val="auto"/>
              </w:rPr>
            </w:pPr>
          </w:p>
        </w:tc>
        <w:tc>
          <w:tcPr>
            <w:tcW w:w="6880" w:type="dxa"/>
            <w:vAlign w:val="bottom"/>
          </w:tcPr>
          <w:p>
            <w:pPr>
              <w:ind w:left="180"/>
              <w:spacing w:after="0"/>
              <w:rPr>
                <w:sz w:val="20"/>
                <w:szCs w:val="20"/>
                <w:color w:val="auto"/>
              </w:rPr>
            </w:pPr>
            <w:r>
              <w:rPr>
                <w:rFonts w:ascii="Times New Roman" w:cs="Times New Roman" w:eastAsia="Times New Roman" w:hAnsi="Times New Roman"/>
                <w:sz w:val="21"/>
                <w:szCs w:val="21"/>
                <w:color w:val="231F20"/>
              </w:rPr>
              <w:t>of 2002.</w:t>
            </w:r>
          </w:p>
        </w:tc>
        <w:tc>
          <w:tcPr>
            <w:tcW w:w="262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21"/>
                <w:szCs w:val="21"/>
                <w:color w:val="231F20"/>
              </w:rPr>
              <w:t>32.1</w:t>
            </w:r>
          </w:p>
        </w:tc>
        <w:tc>
          <w:tcPr>
            <w:tcW w:w="6880" w:type="dxa"/>
            <w:vAlign w:val="bottom"/>
          </w:tcPr>
          <w:p>
            <w:pPr>
              <w:ind w:left="180"/>
              <w:spacing w:after="0"/>
              <w:rPr>
                <w:sz w:val="20"/>
                <w:szCs w:val="20"/>
                <w:color w:val="auto"/>
              </w:rPr>
            </w:pPr>
            <w:r>
              <w:rPr>
                <w:rFonts w:ascii="Times New Roman" w:cs="Times New Roman" w:eastAsia="Times New Roman" w:hAnsi="Times New Roman"/>
                <w:sz w:val="21"/>
                <w:szCs w:val="21"/>
                <w:color w:val="231F20"/>
              </w:rPr>
              <w:t>Certifications of Chief Executive Officer, Chief Financial Officer and Chief</w:t>
            </w:r>
          </w:p>
        </w:tc>
        <w:tc>
          <w:tcPr>
            <w:tcW w:w="2620" w:type="dxa"/>
            <w:vAlign w:val="bottom"/>
          </w:tcPr>
          <w:p>
            <w:pPr>
              <w:ind w:left="80"/>
              <w:spacing w:after="0"/>
              <w:rPr>
                <w:sz w:val="20"/>
                <w:szCs w:val="20"/>
                <w:color w:val="auto"/>
              </w:rPr>
            </w:pPr>
            <w:r>
              <w:rPr>
                <w:rFonts w:ascii="Times New Roman" w:cs="Times New Roman" w:eastAsia="Times New Roman" w:hAnsi="Times New Roman"/>
                <w:sz w:val="21"/>
                <w:szCs w:val="21"/>
                <w:color w:val="231F20"/>
              </w:rPr>
              <w:t>Filed herewith</w:t>
            </w:r>
          </w:p>
        </w:tc>
      </w:tr>
      <w:tr>
        <w:trPr>
          <w:trHeight w:val="241"/>
        </w:trPr>
        <w:tc>
          <w:tcPr>
            <w:tcW w:w="880" w:type="dxa"/>
            <w:vAlign w:val="bottom"/>
          </w:tcPr>
          <w:p>
            <w:pPr>
              <w:spacing w:after="0"/>
              <w:rPr>
                <w:sz w:val="21"/>
                <w:szCs w:val="21"/>
                <w:color w:val="auto"/>
              </w:rPr>
            </w:pPr>
          </w:p>
        </w:tc>
        <w:tc>
          <w:tcPr>
            <w:tcW w:w="6880" w:type="dxa"/>
            <w:vAlign w:val="bottom"/>
          </w:tcPr>
          <w:p>
            <w:pPr>
              <w:ind w:left="180"/>
              <w:spacing w:after="0"/>
              <w:rPr>
                <w:sz w:val="20"/>
                <w:szCs w:val="20"/>
                <w:color w:val="auto"/>
              </w:rPr>
            </w:pPr>
            <w:r>
              <w:rPr>
                <w:rFonts w:ascii="Times New Roman" w:cs="Times New Roman" w:eastAsia="Times New Roman" w:hAnsi="Times New Roman"/>
                <w:sz w:val="21"/>
                <w:szCs w:val="21"/>
                <w:color w:val="231F20"/>
              </w:rPr>
              <w:t>Accounting Officer Pursuant to 18 U.S.C. Section 1350, as Adopted Pursuant</w:t>
            </w:r>
          </w:p>
        </w:tc>
        <w:tc>
          <w:tcPr>
            <w:tcW w:w="2620" w:type="dxa"/>
            <w:vAlign w:val="bottom"/>
          </w:tcPr>
          <w:p>
            <w:pPr>
              <w:spacing w:after="0"/>
              <w:rPr>
                <w:sz w:val="21"/>
                <w:szCs w:val="21"/>
                <w:color w:val="auto"/>
              </w:rPr>
            </w:pPr>
          </w:p>
        </w:tc>
      </w:tr>
      <w:tr>
        <w:trPr>
          <w:trHeight w:val="281"/>
        </w:trPr>
        <w:tc>
          <w:tcPr>
            <w:tcW w:w="880" w:type="dxa"/>
            <w:vAlign w:val="bottom"/>
          </w:tcPr>
          <w:p>
            <w:pPr>
              <w:spacing w:after="0"/>
              <w:rPr>
                <w:sz w:val="24"/>
                <w:szCs w:val="24"/>
                <w:color w:val="auto"/>
              </w:rPr>
            </w:pPr>
          </w:p>
        </w:tc>
        <w:tc>
          <w:tcPr>
            <w:tcW w:w="6880" w:type="dxa"/>
            <w:vAlign w:val="bottom"/>
          </w:tcPr>
          <w:p>
            <w:pPr>
              <w:ind w:left="180"/>
              <w:spacing w:after="0"/>
              <w:rPr>
                <w:sz w:val="20"/>
                <w:szCs w:val="20"/>
                <w:color w:val="auto"/>
              </w:rPr>
            </w:pPr>
            <w:r>
              <w:rPr>
                <w:rFonts w:ascii="Times New Roman" w:cs="Times New Roman" w:eastAsia="Times New Roman" w:hAnsi="Times New Roman"/>
                <w:sz w:val="21"/>
                <w:szCs w:val="21"/>
                <w:color w:val="231F20"/>
              </w:rPr>
              <w:t>to Section 906 of the Sarbanes-Oxley Act of 2002.</w:t>
            </w:r>
          </w:p>
        </w:tc>
        <w:tc>
          <w:tcPr>
            <w:tcW w:w="262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21"/>
                <w:szCs w:val="21"/>
                <w:color w:val="231F20"/>
              </w:rPr>
              <w:t>97.1</w:t>
            </w:r>
          </w:p>
        </w:tc>
        <w:tc>
          <w:tcPr>
            <w:tcW w:w="6880" w:type="dxa"/>
            <w:vAlign w:val="bottom"/>
          </w:tcPr>
          <w:p>
            <w:pPr>
              <w:ind w:left="180"/>
              <w:spacing w:after="0"/>
              <w:rPr>
                <w:sz w:val="20"/>
                <w:szCs w:val="20"/>
                <w:color w:val="auto"/>
              </w:rPr>
            </w:pPr>
            <w:r>
              <w:rPr>
                <w:rFonts w:ascii="Times New Roman" w:cs="Times New Roman" w:eastAsia="Times New Roman" w:hAnsi="Times New Roman"/>
                <w:sz w:val="21"/>
                <w:szCs w:val="21"/>
                <w:color w:val="231F20"/>
              </w:rPr>
              <w:t>Executive Compensation Recovery Policy</w:t>
            </w:r>
          </w:p>
        </w:tc>
        <w:tc>
          <w:tcPr>
            <w:tcW w:w="2620" w:type="dxa"/>
            <w:vAlign w:val="bottom"/>
          </w:tcPr>
          <w:p>
            <w:pPr>
              <w:ind w:left="80"/>
              <w:spacing w:after="0"/>
              <w:rPr>
                <w:sz w:val="20"/>
                <w:szCs w:val="20"/>
                <w:color w:val="auto"/>
              </w:rPr>
            </w:pPr>
            <w:r>
              <w:rPr>
                <w:rFonts w:ascii="Times New Roman" w:cs="Times New Roman" w:eastAsia="Times New Roman" w:hAnsi="Times New Roman"/>
                <w:sz w:val="21"/>
                <w:szCs w:val="21"/>
                <w:color w:val="231F20"/>
                <w:w w:val="99"/>
              </w:rPr>
              <w:t>Exhibit 97.1 to Form 10-K for</w:t>
            </w:r>
          </w:p>
        </w:tc>
      </w:tr>
      <w:tr>
        <w:trPr>
          <w:trHeight w:val="281"/>
        </w:trPr>
        <w:tc>
          <w:tcPr>
            <w:tcW w:w="8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620" w:type="dxa"/>
            <w:vAlign w:val="bottom"/>
          </w:tcPr>
          <w:p>
            <w:pPr>
              <w:ind w:left="80"/>
              <w:spacing w:after="0"/>
              <w:rPr>
                <w:sz w:val="20"/>
                <w:szCs w:val="20"/>
                <w:color w:val="auto"/>
              </w:rPr>
            </w:pPr>
            <w:r>
              <w:rPr>
                <w:rFonts w:ascii="Times New Roman" w:cs="Times New Roman" w:eastAsia="Times New Roman" w:hAnsi="Times New Roman"/>
                <w:sz w:val="21"/>
                <w:szCs w:val="21"/>
                <w:color w:val="231F20"/>
              </w:rPr>
              <w:t>2023 (SEC File No. 1-8858)</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21"/>
                <w:szCs w:val="21"/>
                <w:color w:val="231F20"/>
              </w:rPr>
              <w:t>99.1</w:t>
            </w:r>
          </w:p>
        </w:tc>
        <w:tc>
          <w:tcPr>
            <w:tcW w:w="6880" w:type="dxa"/>
            <w:vAlign w:val="bottom"/>
          </w:tcPr>
          <w:p>
            <w:pPr>
              <w:ind w:left="180"/>
              <w:spacing w:after="0"/>
              <w:rPr>
                <w:sz w:val="20"/>
                <w:szCs w:val="20"/>
                <w:color w:val="auto"/>
              </w:rPr>
            </w:pPr>
            <w:r>
              <w:rPr>
                <w:rFonts w:ascii="Times New Roman" w:cs="Times New Roman" w:eastAsia="Times New Roman" w:hAnsi="Times New Roman"/>
                <w:sz w:val="21"/>
                <w:szCs w:val="21"/>
                <w:color w:val="231F20"/>
              </w:rPr>
              <w:t>Unitil Corporation Press Release Dated February 9, 2026 Announcing</w:t>
            </w:r>
          </w:p>
        </w:tc>
        <w:tc>
          <w:tcPr>
            <w:tcW w:w="2620" w:type="dxa"/>
            <w:vAlign w:val="bottom"/>
          </w:tcPr>
          <w:p>
            <w:pPr>
              <w:ind w:left="80"/>
              <w:spacing w:after="0"/>
              <w:rPr>
                <w:sz w:val="20"/>
                <w:szCs w:val="20"/>
                <w:color w:val="auto"/>
              </w:rPr>
            </w:pPr>
            <w:r>
              <w:rPr>
                <w:rFonts w:ascii="Times New Roman" w:cs="Times New Roman" w:eastAsia="Times New Roman" w:hAnsi="Times New Roman"/>
                <w:sz w:val="21"/>
                <w:szCs w:val="21"/>
                <w:color w:val="231F20"/>
              </w:rPr>
              <w:t>Furnished herewith</w:t>
            </w:r>
          </w:p>
        </w:tc>
      </w:tr>
      <w:tr>
        <w:trPr>
          <w:trHeight w:val="281"/>
        </w:trPr>
        <w:tc>
          <w:tcPr>
            <w:tcW w:w="880" w:type="dxa"/>
            <w:vAlign w:val="bottom"/>
          </w:tcPr>
          <w:p>
            <w:pPr>
              <w:spacing w:after="0"/>
              <w:rPr>
                <w:sz w:val="24"/>
                <w:szCs w:val="24"/>
                <w:color w:val="auto"/>
              </w:rPr>
            </w:pPr>
          </w:p>
        </w:tc>
        <w:tc>
          <w:tcPr>
            <w:tcW w:w="6880" w:type="dxa"/>
            <w:vAlign w:val="bottom"/>
          </w:tcPr>
          <w:p>
            <w:pPr>
              <w:ind w:left="180"/>
              <w:spacing w:after="0"/>
              <w:rPr>
                <w:sz w:val="20"/>
                <w:szCs w:val="20"/>
                <w:color w:val="auto"/>
              </w:rPr>
            </w:pPr>
            <w:r>
              <w:rPr>
                <w:rFonts w:ascii="Times New Roman" w:cs="Times New Roman" w:eastAsia="Times New Roman" w:hAnsi="Times New Roman"/>
                <w:sz w:val="21"/>
                <w:szCs w:val="21"/>
                <w:color w:val="231F20"/>
              </w:rPr>
              <w:t>Earnings For the Year Ended December 31, 2025.</w:t>
            </w:r>
          </w:p>
        </w:tc>
        <w:tc>
          <w:tcPr>
            <w:tcW w:w="262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21"/>
                <w:szCs w:val="21"/>
                <w:color w:val="231F20"/>
              </w:rPr>
              <w:t>101.INS</w:t>
            </w:r>
          </w:p>
        </w:tc>
        <w:tc>
          <w:tcPr>
            <w:tcW w:w="6880" w:type="dxa"/>
            <w:vAlign w:val="bottom"/>
          </w:tcPr>
          <w:p>
            <w:pPr>
              <w:ind w:left="180"/>
              <w:spacing w:after="0"/>
              <w:rPr>
                <w:sz w:val="20"/>
                <w:szCs w:val="20"/>
                <w:color w:val="auto"/>
              </w:rPr>
            </w:pPr>
            <w:r>
              <w:rPr>
                <w:rFonts w:ascii="Times New Roman" w:cs="Times New Roman" w:eastAsia="Times New Roman" w:hAnsi="Times New Roman"/>
                <w:sz w:val="21"/>
                <w:szCs w:val="21"/>
                <w:color w:val="231F20"/>
              </w:rPr>
              <w:t>Inline XBRL Instance Document – The instance document does not appear in</w:t>
            </w:r>
          </w:p>
        </w:tc>
        <w:tc>
          <w:tcPr>
            <w:tcW w:w="2620" w:type="dxa"/>
            <w:vAlign w:val="bottom"/>
          </w:tcPr>
          <w:p>
            <w:pPr>
              <w:ind w:left="80"/>
              <w:spacing w:after="0"/>
              <w:rPr>
                <w:sz w:val="20"/>
                <w:szCs w:val="20"/>
                <w:color w:val="auto"/>
              </w:rPr>
            </w:pPr>
            <w:r>
              <w:rPr>
                <w:rFonts w:ascii="Times New Roman" w:cs="Times New Roman" w:eastAsia="Times New Roman" w:hAnsi="Times New Roman"/>
                <w:sz w:val="21"/>
                <w:szCs w:val="21"/>
                <w:color w:val="231F20"/>
              </w:rPr>
              <w:t>Filed herewith</w:t>
            </w:r>
          </w:p>
        </w:tc>
      </w:tr>
      <w:tr>
        <w:trPr>
          <w:trHeight w:val="241"/>
        </w:trPr>
        <w:tc>
          <w:tcPr>
            <w:tcW w:w="880" w:type="dxa"/>
            <w:vAlign w:val="bottom"/>
          </w:tcPr>
          <w:p>
            <w:pPr>
              <w:spacing w:after="0"/>
              <w:rPr>
                <w:sz w:val="21"/>
                <w:szCs w:val="21"/>
                <w:color w:val="auto"/>
              </w:rPr>
            </w:pPr>
          </w:p>
        </w:tc>
        <w:tc>
          <w:tcPr>
            <w:tcW w:w="6880" w:type="dxa"/>
            <w:vAlign w:val="bottom"/>
          </w:tcPr>
          <w:p>
            <w:pPr>
              <w:ind w:left="180"/>
              <w:spacing w:after="0"/>
              <w:rPr>
                <w:sz w:val="20"/>
                <w:szCs w:val="20"/>
                <w:color w:val="auto"/>
              </w:rPr>
            </w:pPr>
            <w:r>
              <w:rPr>
                <w:rFonts w:ascii="Times New Roman" w:cs="Times New Roman" w:eastAsia="Times New Roman" w:hAnsi="Times New Roman"/>
                <w:sz w:val="21"/>
                <w:szCs w:val="21"/>
                <w:color w:val="231F20"/>
              </w:rPr>
              <w:t>the Interactive Data File because its XBRL tags are embedded within the</w:t>
            </w:r>
          </w:p>
        </w:tc>
        <w:tc>
          <w:tcPr>
            <w:tcW w:w="2620" w:type="dxa"/>
            <w:vAlign w:val="bottom"/>
          </w:tcPr>
          <w:p>
            <w:pPr>
              <w:spacing w:after="0"/>
              <w:rPr>
                <w:sz w:val="21"/>
                <w:szCs w:val="21"/>
                <w:color w:val="auto"/>
              </w:rPr>
            </w:pPr>
          </w:p>
        </w:tc>
      </w:tr>
      <w:tr>
        <w:trPr>
          <w:trHeight w:val="281"/>
        </w:trPr>
        <w:tc>
          <w:tcPr>
            <w:tcW w:w="880" w:type="dxa"/>
            <w:vAlign w:val="bottom"/>
          </w:tcPr>
          <w:p>
            <w:pPr>
              <w:spacing w:after="0"/>
              <w:rPr>
                <w:sz w:val="24"/>
                <w:szCs w:val="24"/>
                <w:color w:val="auto"/>
              </w:rPr>
            </w:pPr>
          </w:p>
        </w:tc>
        <w:tc>
          <w:tcPr>
            <w:tcW w:w="6880" w:type="dxa"/>
            <w:vAlign w:val="bottom"/>
          </w:tcPr>
          <w:p>
            <w:pPr>
              <w:ind w:left="180"/>
              <w:spacing w:after="0"/>
              <w:rPr>
                <w:sz w:val="20"/>
                <w:szCs w:val="20"/>
                <w:color w:val="auto"/>
              </w:rPr>
            </w:pPr>
            <w:r>
              <w:rPr>
                <w:rFonts w:ascii="Times New Roman" w:cs="Times New Roman" w:eastAsia="Times New Roman" w:hAnsi="Times New Roman"/>
                <w:sz w:val="21"/>
                <w:szCs w:val="21"/>
                <w:color w:val="231F20"/>
              </w:rPr>
              <w:t>Inline XBRL document.</w:t>
            </w:r>
          </w:p>
        </w:tc>
        <w:tc>
          <w:tcPr>
            <w:tcW w:w="2620" w:type="dxa"/>
            <w:vAlign w:val="bottom"/>
          </w:tcPr>
          <w:p>
            <w:pPr>
              <w:spacing w:after="0"/>
              <w:rPr>
                <w:sz w:val="24"/>
                <w:szCs w:val="24"/>
                <w:color w:val="auto"/>
              </w:rPr>
            </w:pPr>
          </w:p>
        </w:tc>
      </w:tr>
    </w:tbl>
    <w:p>
      <w:pPr>
        <w:spacing w:after="0" w:line="200" w:lineRule="exact"/>
        <w:rPr>
          <w:sz w:val="20"/>
          <w:szCs w:val="20"/>
          <w:color w:val="auto"/>
        </w:rPr>
      </w:pPr>
    </w:p>
    <w:p>
      <w:pPr>
        <w:sectPr>
          <w:pgSz w:w="12240" w:h="15840" w:orient="portrait"/>
          <w:cols w:equalWidth="0" w:num="1">
            <w:col w:w="10760"/>
          </w:cols>
          <w:pgMar w:left="720" w:top="930" w:right="760" w:bottom="176"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231F20"/>
        </w:rPr>
        <w:t>102</w:t>
      </w:r>
    </w:p>
    <w:p>
      <w:pPr>
        <w:sectPr>
          <w:pgSz w:w="12240" w:h="15840" w:orient="portrait"/>
          <w:cols w:equalWidth="0" w:num="1">
            <w:col w:w="10760"/>
          </w:cols>
          <w:pgMar w:left="720" w:top="930" w:right="760" w:bottom="176"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194"/>
        </w:trPr>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w w:val="94"/>
              </w:rPr>
              <w:t>Exhibit</w:t>
            </w:r>
          </w:p>
        </w:tc>
        <w:tc>
          <w:tcPr>
            <w:tcW w:w="2820" w:type="dxa"/>
            <w:vAlign w:val="bottom"/>
          </w:tcPr>
          <w:p>
            <w:pPr>
              <w:spacing w:after="0"/>
              <w:rPr>
                <w:sz w:val="16"/>
                <w:szCs w:val="16"/>
                <w:color w:val="auto"/>
              </w:rPr>
            </w:pPr>
          </w:p>
        </w:tc>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Description of Exhibit</w:t>
            </w:r>
          </w:p>
        </w:tc>
        <w:tc>
          <w:tcPr>
            <w:tcW w:w="2160" w:type="dxa"/>
            <w:vAlign w:val="bottom"/>
            <w:gridSpan w:val="2"/>
            <w:vMerge w:val="restart"/>
          </w:tcPr>
          <w:p>
            <w:pPr>
              <w:ind w:left="1240"/>
              <w:spacing w:after="0"/>
              <w:rPr>
                <w:sz w:val="20"/>
                <w:szCs w:val="20"/>
                <w:color w:val="auto"/>
              </w:rPr>
            </w:pPr>
            <w:r>
              <w:rPr>
                <w:rFonts w:ascii="Times New Roman" w:cs="Times New Roman" w:eastAsia="Times New Roman" w:hAnsi="Times New Roman"/>
                <w:sz w:val="16"/>
                <w:szCs w:val="16"/>
                <w:b w:val="1"/>
                <w:bCs w:val="1"/>
                <w:color w:val="231F20"/>
                <w:w w:val="98"/>
              </w:rPr>
              <w:t>Reference (1)</w:t>
            </w:r>
          </w:p>
        </w:tc>
        <w:tc>
          <w:tcPr>
            <w:tcW w:w="0" w:type="dxa"/>
            <w:vAlign w:val="bottom"/>
          </w:tcPr>
          <w:p>
            <w:pPr>
              <w:spacing w:after="0"/>
              <w:rPr>
                <w:sz w:val="1"/>
                <w:szCs w:val="1"/>
                <w:color w:val="auto"/>
              </w:rPr>
            </w:pPr>
          </w:p>
        </w:tc>
      </w:tr>
      <w:tr>
        <w:trPr>
          <w:trHeight w:val="164"/>
        </w:trPr>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Borders>
              <w:top w:val="single" w:sz="8" w:color="231F20"/>
            </w:tcBorders>
          </w:tcPr>
          <w:p>
            <w:pPr>
              <w:jc w:val="right"/>
              <w:spacing w:after="0" w:line="164" w:lineRule="exact"/>
              <w:rPr>
                <w:sz w:val="20"/>
                <w:szCs w:val="20"/>
                <w:color w:val="auto"/>
              </w:rPr>
            </w:pPr>
            <w:r>
              <w:rPr>
                <w:rFonts w:ascii="Times New Roman" w:cs="Times New Roman" w:eastAsia="Times New Roman" w:hAnsi="Times New Roman"/>
                <w:sz w:val="16"/>
                <w:szCs w:val="16"/>
                <w:b w:val="1"/>
                <w:bCs w:val="1"/>
                <w:color w:val="231F20"/>
                <w:w w:val="84"/>
              </w:rPr>
              <w:t>Number</w:t>
            </w:r>
          </w:p>
        </w:tc>
        <w:tc>
          <w:tcPr>
            <w:tcW w:w="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980" w:type="dxa"/>
            <w:vAlign w:val="bottom"/>
            <w:gridSpan w:val="2"/>
            <w:vMerge w:val="continue"/>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80" w:type="dxa"/>
            <w:vAlign w:val="bottom"/>
            <w:gridSpan w:val="3"/>
            <w:shd w:val="clear" w:color="auto" w:fill="231F2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500" w:type="dxa"/>
            <w:vAlign w:val="bottom"/>
            <w:shd w:val="clear" w:color="auto" w:fill="231F2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shd w:val="clear" w:color="auto" w:fill="231F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21"/>
                <w:szCs w:val="21"/>
                <w:color w:val="231F20"/>
                <w:w w:val="97"/>
              </w:rPr>
              <w:t>101.SCH</w:t>
            </w:r>
          </w:p>
        </w:tc>
        <w:tc>
          <w:tcPr>
            <w:tcW w:w="6800" w:type="dxa"/>
            <w:vAlign w:val="bottom"/>
            <w:gridSpan w:val="3"/>
          </w:tcPr>
          <w:p>
            <w:pPr>
              <w:ind w:left="240"/>
              <w:spacing w:after="0"/>
              <w:rPr>
                <w:sz w:val="20"/>
                <w:szCs w:val="20"/>
                <w:color w:val="auto"/>
              </w:rPr>
            </w:pPr>
            <w:r>
              <w:rPr>
                <w:rFonts w:ascii="Times New Roman" w:cs="Times New Roman" w:eastAsia="Times New Roman" w:hAnsi="Times New Roman"/>
                <w:sz w:val="21"/>
                <w:szCs w:val="21"/>
                <w:color w:val="231F20"/>
              </w:rPr>
              <w:t>Inline XBRL Taxonomy Extension Schema With Embedded Linkbase</w:t>
            </w:r>
          </w:p>
        </w:tc>
        <w:tc>
          <w:tcPr>
            <w:tcW w:w="2160" w:type="dxa"/>
            <w:vAlign w:val="bottom"/>
            <w:gridSpan w:val="2"/>
          </w:tcPr>
          <w:p>
            <w:pPr>
              <w:ind w:left="220"/>
              <w:spacing w:after="0"/>
              <w:rPr>
                <w:sz w:val="20"/>
                <w:szCs w:val="20"/>
                <w:color w:val="auto"/>
              </w:rPr>
            </w:pPr>
            <w:r>
              <w:rPr>
                <w:rFonts w:ascii="Times New Roman" w:cs="Times New Roman" w:eastAsia="Times New Roman" w:hAnsi="Times New Roman"/>
                <w:sz w:val="21"/>
                <w:szCs w:val="21"/>
                <w:color w:val="231F20"/>
              </w:rPr>
              <w:t>Filed herewith</w:t>
            </w:r>
          </w:p>
        </w:tc>
        <w:tc>
          <w:tcPr>
            <w:tcW w:w="0" w:type="dxa"/>
            <w:vAlign w:val="bottom"/>
          </w:tcPr>
          <w:p>
            <w:pPr>
              <w:spacing w:after="0"/>
              <w:rPr>
                <w:sz w:val="1"/>
                <w:szCs w:val="1"/>
                <w:color w:val="auto"/>
              </w:rPr>
            </w:pPr>
          </w:p>
        </w:tc>
      </w:tr>
      <w:tr>
        <w:trPr>
          <w:trHeight w:val="281"/>
        </w:trPr>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0" w:type="dxa"/>
            <w:vAlign w:val="bottom"/>
            <w:gridSpan w:val="3"/>
          </w:tcPr>
          <w:p>
            <w:pPr>
              <w:ind w:left="240"/>
              <w:spacing w:after="0"/>
              <w:rPr>
                <w:sz w:val="20"/>
                <w:szCs w:val="20"/>
                <w:color w:val="auto"/>
              </w:rPr>
            </w:pPr>
            <w:r>
              <w:rPr>
                <w:rFonts w:ascii="Times New Roman" w:cs="Times New Roman" w:eastAsia="Times New Roman" w:hAnsi="Times New Roman"/>
                <w:sz w:val="21"/>
                <w:szCs w:val="21"/>
                <w:color w:val="231F20"/>
              </w:rPr>
              <w:t>Documents.</w:t>
            </w: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 w:type="dxa"/>
            <w:vAlign w:val="bottom"/>
            <w:gridSpan w:val="3"/>
          </w:tcPr>
          <w:p>
            <w:pPr>
              <w:jc w:val="right"/>
              <w:ind w:right="380"/>
              <w:spacing w:after="0"/>
              <w:rPr>
                <w:sz w:val="20"/>
                <w:szCs w:val="20"/>
                <w:color w:val="auto"/>
              </w:rPr>
            </w:pPr>
            <w:r>
              <w:rPr>
                <w:rFonts w:ascii="Times New Roman" w:cs="Times New Roman" w:eastAsia="Times New Roman" w:hAnsi="Times New Roman"/>
                <w:sz w:val="21"/>
                <w:szCs w:val="21"/>
                <w:color w:val="231F20"/>
                <w:w w:val="95"/>
              </w:rPr>
              <w:t>104</w:t>
            </w:r>
          </w:p>
        </w:tc>
        <w:tc>
          <w:tcPr>
            <w:tcW w:w="40" w:type="dxa"/>
            <w:vAlign w:val="bottom"/>
          </w:tcPr>
          <w:p>
            <w:pPr>
              <w:spacing w:after="0"/>
              <w:rPr>
                <w:sz w:val="24"/>
                <w:szCs w:val="24"/>
                <w:color w:val="auto"/>
              </w:rPr>
            </w:pPr>
          </w:p>
        </w:tc>
        <w:tc>
          <w:tcPr>
            <w:tcW w:w="6800" w:type="dxa"/>
            <w:vAlign w:val="bottom"/>
            <w:gridSpan w:val="3"/>
          </w:tcPr>
          <w:p>
            <w:pPr>
              <w:ind w:left="240"/>
              <w:spacing w:after="0"/>
              <w:rPr>
                <w:sz w:val="20"/>
                <w:szCs w:val="20"/>
                <w:color w:val="auto"/>
              </w:rPr>
            </w:pPr>
            <w:r>
              <w:rPr>
                <w:rFonts w:ascii="Times New Roman" w:cs="Times New Roman" w:eastAsia="Times New Roman" w:hAnsi="Times New Roman"/>
                <w:sz w:val="21"/>
                <w:szCs w:val="21"/>
                <w:color w:val="231F20"/>
              </w:rPr>
              <w:t>Cover Page Interactive Data File – The cover page interactive data file does</w:t>
            </w:r>
          </w:p>
        </w:tc>
        <w:tc>
          <w:tcPr>
            <w:tcW w:w="2160" w:type="dxa"/>
            <w:vAlign w:val="bottom"/>
            <w:gridSpan w:val="2"/>
          </w:tcPr>
          <w:p>
            <w:pPr>
              <w:ind w:left="220"/>
              <w:spacing w:after="0"/>
              <w:rPr>
                <w:sz w:val="20"/>
                <w:szCs w:val="20"/>
                <w:color w:val="auto"/>
              </w:rPr>
            </w:pPr>
            <w:r>
              <w:rPr>
                <w:rFonts w:ascii="Times New Roman" w:cs="Times New Roman" w:eastAsia="Times New Roman" w:hAnsi="Times New Roman"/>
                <w:sz w:val="21"/>
                <w:szCs w:val="21"/>
                <w:color w:val="231F20"/>
              </w:rPr>
              <w:t>Filed herewith</w:t>
            </w:r>
          </w:p>
        </w:tc>
        <w:tc>
          <w:tcPr>
            <w:tcW w:w="0" w:type="dxa"/>
            <w:vAlign w:val="bottom"/>
          </w:tcPr>
          <w:p>
            <w:pPr>
              <w:spacing w:after="0"/>
              <w:rPr>
                <w:sz w:val="1"/>
                <w:szCs w:val="1"/>
                <w:color w:val="auto"/>
              </w:rPr>
            </w:pPr>
          </w:p>
        </w:tc>
      </w:tr>
      <w:tr>
        <w:trPr>
          <w:trHeight w:val="242"/>
        </w:trPr>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0" w:type="dxa"/>
            <w:vAlign w:val="bottom"/>
            <w:gridSpan w:val="3"/>
          </w:tcPr>
          <w:p>
            <w:pPr>
              <w:ind w:left="240"/>
              <w:spacing w:after="0"/>
              <w:rPr>
                <w:sz w:val="20"/>
                <w:szCs w:val="20"/>
                <w:color w:val="auto"/>
              </w:rPr>
            </w:pPr>
            <w:r>
              <w:rPr>
                <w:rFonts w:ascii="Times New Roman" w:cs="Times New Roman" w:eastAsia="Times New Roman" w:hAnsi="Times New Roman"/>
                <w:sz w:val="21"/>
                <w:szCs w:val="21"/>
                <w:color w:val="231F20"/>
              </w:rPr>
              <w:t>not appear in the interactive data file because its XBRL tags are embedded</w:t>
            </w:r>
          </w:p>
        </w:tc>
        <w:tc>
          <w:tcPr>
            <w:tcW w:w="1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0" w:type="dxa"/>
            <w:vAlign w:val="bottom"/>
            <w:gridSpan w:val="3"/>
          </w:tcPr>
          <w:p>
            <w:pPr>
              <w:ind w:left="240"/>
              <w:spacing w:after="0"/>
              <w:rPr>
                <w:sz w:val="20"/>
                <w:szCs w:val="20"/>
                <w:color w:val="auto"/>
              </w:rPr>
            </w:pPr>
            <w:r>
              <w:rPr>
                <w:rFonts w:ascii="Times New Roman" w:cs="Times New Roman" w:eastAsia="Times New Roman" w:hAnsi="Times New Roman"/>
                <w:sz w:val="21"/>
                <w:szCs w:val="21"/>
                <w:color w:val="231F20"/>
              </w:rPr>
              <w:t>within the inline XBRL document.</w:t>
            </w: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92710</wp:posOffset>
                </wp:positionV>
                <wp:extent cx="640080"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3pt" to="50.4pt,7.3pt" o:allowincell="f" strokecolor="#231F20" strokeweight="0.75pt"/>
            </w:pict>
          </mc:Fallback>
        </mc:AlternateContent>
      </w:r>
    </w:p>
    <w:p>
      <w:pPr>
        <w:spacing w:after="0" w:line="176" w:lineRule="exact"/>
        <w:rPr>
          <w:sz w:val="20"/>
          <w:szCs w:val="20"/>
          <w:color w:val="auto"/>
        </w:rPr>
      </w:pPr>
    </w:p>
    <w:p>
      <w:pPr>
        <w:ind w:right="540"/>
        <w:spacing w:after="0" w:line="278" w:lineRule="auto"/>
        <w:tabs>
          <w:tab w:leader="none" w:pos="255"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exhibits referred to in this column by specific designations and dates have heretofore been filed with or furnished to the Securities and Exchange Commission under such designations and are hereby incorporated by reference.</w:t>
      </w:r>
    </w:p>
    <w:p>
      <w:pPr>
        <w:spacing w:after="0" w:line="175" w:lineRule="exact"/>
        <w:rPr>
          <w:rFonts w:ascii="Times New Roman" w:cs="Times New Roman" w:eastAsia="Times New Roman" w:hAnsi="Times New Roman"/>
          <w:sz w:val="18"/>
          <w:szCs w:val="18"/>
          <w:color w:val="231F20"/>
        </w:rPr>
      </w:pPr>
    </w:p>
    <w:p>
      <w:pPr>
        <w:ind w:right="440"/>
        <w:spacing w:after="0" w:line="278" w:lineRule="auto"/>
        <w:tabs>
          <w:tab w:leader="none" w:pos="255"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accordance with Item 601(b)(4)(iii)(A) of Regulation S-K, the instrument defining the debt of the Registrant and its subsidiary, described above, has been omitted but will be furnished to the Commission upon request.</w:t>
      </w:r>
    </w:p>
    <w:p>
      <w:pPr>
        <w:spacing w:after="0" w:line="141" w:lineRule="exact"/>
        <w:rPr>
          <w:rFonts w:ascii="Times New Roman" w:cs="Times New Roman" w:eastAsia="Times New Roman" w:hAnsi="Times New Roman"/>
          <w:sz w:val="18"/>
          <w:szCs w:val="18"/>
          <w:color w:val="231F20"/>
        </w:rPr>
      </w:pPr>
    </w:p>
    <w:p>
      <w:pPr>
        <w:ind w:left="260" w:hanging="260"/>
        <w:spacing w:after="0"/>
        <w:tabs>
          <w:tab w:leader="none" w:pos="2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These exhibits represent a management contract or compensatory plan.</w:t>
      </w:r>
    </w:p>
    <w:p>
      <w:pPr>
        <w:spacing w:after="0" w:line="206" w:lineRule="exact"/>
        <w:rPr>
          <w:rFonts w:ascii="Times New Roman" w:cs="Times New Roman" w:eastAsia="Times New Roman" w:hAnsi="Times New Roman"/>
          <w:sz w:val="18"/>
          <w:szCs w:val="18"/>
          <w:color w:val="231F20"/>
        </w:rPr>
      </w:pPr>
    </w:p>
    <w:p>
      <w:pPr>
        <w:spacing w:after="0" w:line="247" w:lineRule="auto"/>
        <w:tabs>
          <w:tab w:leader="none" w:pos="255"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This Note or Bond (each, an “Instrument”) is substantially identical in all material respects to other Instruments that are otherwise required to be filed as exhibits, except as to the registered payee of such Instrument, the identifying number of such Instrument, and the principal amount of such Instrument. In accordance with instruction no. 2 to Item 601 of Regulation S-K, the registrant has filed a copy of only one of such Instruments, with a schedule identifying the other Instruments omitted and setting forth the material details in which such Instruments differ from the Instrument that was filed. The registrant acknowledges that the Securities and Exchange Commission may at any time in its discretion require filing of copies of any Instruments so omitted.</w:t>
      </w:r>
    </w:p>
    <w:p>
      <w:pPr>
        <w:spacing w:after="0" w:line="170" w:lineRule="exact"/>
        <w:rPr>
          <w:rFonts w:ascii="Times New Roman" w:cs="Times New Roman" w:eastAsia="Times New Roman" w:hAnsi="Times New Roman"/>
          <w:sz w:val="18"/>
          <w:szCs w:val="18"/>
          <w:color w:val="231F20"/>
        </w:rPr>
      </w:pPr>
    </w:p>
    <w:p>
      <w:pPr>
        <w:ind w:right="40"/>
        <w:spacing w:after="0" w:line="252" w:lineRule="auto"/>
        <w:tabs>
          <w:tab w:leader="none" w:pos="255"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accordance with Item 601(a)(5) of Regulation S-K, this exhibit omits certain of its schedules and exhibits. This exhibit’s table of contents, or the cover page of its omitted schedules and exhibits, includes a brief description of the subject matter of all of its omitted schedules and exhibits. The Registrant acknowledges that it must provide a copy of any omitted schedules or exhibits to the Securities and Exchange Commission or its staff upon request.</w:t>
      </w:r>
    </w:p>
    <w:p>
      <w:pPr>
        <w:spacing w:after="0" w:line="165" w:lineRule="exact"/>
        <w:rPr>
          <w:rFonts w:ascii="Times New Roman" w:cs="Times New Roman" w:eastAsia="Times New Roman" w:hAnsi="Times New Roman"/>
          <w:sz w:val="18"/>
          <w:szCs w:val="18"/>
          <w:color w:val="231F20"/>
        </w:rPr>
      </w:pPr>
    </w:p>
    <w:p>
      <w:pPr>
        <w:ind w:right="20"/>
        <w:spacing w:after="0" w:line="259" w:lineRule="auto"/>
        <w:tabs>
          <w:tab w:leader="none" w:pos="255"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accordance with Item 601(a)(5) of Regulation S-K, this exhibit omits certain of its schedules and exhibits. These schedules and exhibits consist of Annex I to Exhibit B (Interest), which describes the interest rates applicable to the loan facility. The Registrant acknowledges that it must provide a copy of any omitted schedules or exhibits to the Securities and Exchange Commission or its staff upon request.</w:t>
      </w:r>
    </w:p>
    <w:p>
      <w:pPr>
        <w:spacing w:after="0" w:line="157" w:lineRule="exact"/>
        <w:rPr>
          <w:rFonts w:ascii="Times New Roman" w:cs="Times New Roman" w:eastAsia="Times New Roman" w:hAnsi="Times New Roman"/>
          <w:sz w:val="18"/>
          <w:szCs w:val="18"/>
          <w:color w:val="231F20"/>
        </w:rPr>
      </w:pPr>
    </w:p>
    <w:p>
      <w:pPr>
        <w:ind w:right="80"/>
        <w:spacing w:after="0" w:line="252" w:lineRule="auto"/>
        <w:tabs>
          <w:tab w:leader="none" w:pos="255"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Certain schedules and exhibits to the Purchase and Sale Agreement have been omitted pursuant to Item 601(a)(5) of Regulation S-K. These schedules and exhibits consist of (i) the Seller Disclosure Schedule (as such term is defined in the Purchase and Sale Agreement) and (ii) the Operating Agreement (as such term is defined in the Purchase and Sale Agreement). Unitil Corporation hereby undertakes to furnish supplementally copies of any of the omitted schedules and exhibits upon request by the Securities and Exchange Commission or its staff.</w:t>
      </w:r>
    </w:p>
    <w:p>
      <w:pPr>
        <w:spacing w:after="0" w:line="165" w:lineRule="exact"/>
        <w:rPr>
          <w:rFonts w:ascii="Times New Roman" w:cs="Times New Roman" w:eastAsia="Times New Roman" w:hAnsi="Times New Roman"/>
          <w:sz w:val="18"/>
          <w:szCs w:val="18"/>
          <w:color w:val="231F20"/>
        </w:rPr>
      </w:pPr>
    </w:p>
    <w:p>
      <w:pPr>
        <w:ind w:left="260" w:hanging="260"/>
        <w:spacing w:after="0"/>
        <w:tabs>
          <w:tab w:leader="none" w:pos="2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Certain information has been excluded from this exhibit pursuant to Item 601(b)(2)(ii) of Regulation S-K.</w:t>
      </w:r>
    </w:p>
    <w:p>
      <w:pPr>
        <w:spacing w:after="0" w:line="206" w:lineRule="exact"/>
        <w:rPr>
          <w:rFonts w:ascii="Times New Roman" w:cs="Times New Roman" w:eastAsia="Times New Roman" w:hAnsi="Times New Roman"/>
          <w:sz w:val="18"/>
          <w:szCs w:val="18"/>
          <w:color w:val="231F20"/>
        </w:rPr>
      </w:pPr>
    </w:p>
    <w:p>
      <w:pPr>
        <w:spacing w:after="0" w:line="249" w:lineRule="auto"/>
        <w:tabs>
          <w:tab w:leader="none" w:pos="255"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Certain schedules and exhibits to the Stock Purchase Agreement have been omitted pursuant to Item 601(a)(5) of Regulation S-K. These schedules and exhibits consist of (i) the Disclosure Schedules (as such term is defined in the Stock Purchase Agreement), (ii) the Transition Services Agreement (as such term is defined in the Stock Purchase Agreement), (iii) the Allocation Schedule (as such term is defined in the Stock Purchase Agreement), and (iv) the Target Working Capital (as such term is defined in the Stock Purchase Agreement). Unitil Corporation hereby undertakes to furnish supplementally copies of any of the omitted schedules and exhibits upon request by the Securities and Exchange Commission or its staff.</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(P) Paper exhibit.</w:t>
      </w:r>
    </w:p>
    <w:p>
      <w:pPr>
        <w:spacing w:after="0" w:line="1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
          <w:szCs w:val="2"/>
          <w:color w:val="231F20"/>
        </w:rPr>
        <w:t>(P)</w:t>
      </w:r>
    </w:p>
    <w:p>
      <w:pPr>
        <w:sectPr>
          <w:pgSz w:w="12240" w:h="15840" w:orient="portrait"/>
          <w:cols w:equalWidth="0" w:num="1">
            <w:col w:w="10780"/>
          </w:cols>
          <w:pgMar w:left="720" w:top="930" w:right="740" w:bottom="1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231F20"/>
        </w:rPr>
        <w:t>103</w:t>
      </w:r>
    </w:p>
    <w:p>
      <w:pPr>
        <w:sectPr>
          <w:pgSz w:w="12240" w:h="15840" w:orient="portrait"/>
          <w:cols w:equalWidth="0" w:num="1">
            <w:col w:w="10780"/>
          </w:cols>
          <w:pgMar w:left="720" w:top="930" w:right="740" w:bottom="176" w:gutter="0" w:footer="0" w:header="0"/>
          <w:type w:val="continuous"/>
        </w:sectPr>
      </w:pPr>
    </w:p>
    <w:bookmarkStart w:id="123" w:name="page124"/>
    <w:bookmarkEnd w:id="123"/>
    <w:p>
      <w:pPr>
        <w:jc w:val="center"/>
        <w:spacing w:after="0"/>
        <w:rPr>
          <w:sz w:val="20"/>
          <w:szCs w:val="20"/>
          <w:color w:val="auto"/>
        </w:rPr>
      </w:pPr>
      <w:r>
        <w:rPr>
          <w:rFonts w:ascii="Times New Roman" w:cs="Times New Roman" w:eastAsia="Times New Roman" w:hAnsi="Times New Roman"/>
          <w:sz w:val="21"/>
          <w:szCs w:val="21"/>
          <w:b w:val="1"/>
          <w:bCs w:val="1"/>
          <w:color w:val="231F20"/>
        </w:rPr>
        <w:t>SIGNATURES</w:t>
      </w:r>
    </w:p>
    <w:p>
      <w:pPr>
        <w:spacing w:after="0" w:line="244" w:lineRule="exact"/>
        <w:rPr>
          <w:sz w:val="20"/>
          <w:szCs w:val="20"/>
          <w:color w:val="auto"/>
        </w:rPr>
      </w:pPr>
    </w:p>
    <w:p>
      <w:pPr>
        <w:ind w:right="140" w:firstLine="612"/>
        <w:spacing w:after="0" w:line="279" w:lineRule="auto"/>
        <w:rPr>
          <w:sz w:val="20"/>
          <w:szCs w:val="20"/>
          <w:color w:val="auto"/>
        </w:rPr>
      </w:pPr>
      <w:r>
        <w:rPr>
          <w:rFonts w:ascii="Times New Roman" w:cs="Times New Roman" w:eastAsia="Times New Roman" w:hAnsi="Times New Roman"/>
          <w:sz w:val="21"/>
          <w:szCs w:val="21"/>
          <w:color w:val="231F20"/>
        </w:rPr>
        <w:t>Pursuant to the requirements of Section 13 or 15(d) of the Securities Exchange Act of 1934, as amended, the Registrant has duly caused this report to be signed on its behalf by the undersigned thereunto duly authorized.</w:t>
      </w:r>
    </w:p>
    <w:p>
      <w:pPr>
        <w:spacing w:after="0" w:line="199"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9"/>
          <w:szCs w:val="19"/>
          <w:color w:val="231F20"/>
        </w:rPr>
        <w:t>U</w:t>
      </w:r>
      <w:r>
        <w:rPr>
          <w:rFonts w:ascii="Times New Roman" w:cs="Times New Roman" w:eastAsia="Times New Roman" w:hAnsi="Times New Roman"/>
          <w:sz w:val="15"/>
          <w:szCs w:val="15"/>
          <w:color w:val="231F20"/>
        </w:rPr>
        <w:t>NITIL</w:t>
      </w:r>
      <w:r>
        <w:rPr>
          <w:rFonts w:ascii="Times New Roman" w:cs="Times New Roman" w:eastAsia="Times New Roman" w:hAnsi="Times New Roman"/>
          <w:sz w:val="19"/>
          <w:szCs w:val="19"/>
          <w:color w:val="231F20"/>
        </w:rPr>
        <w:t xml:space="preserve"> C</w:t>
      </w:r>
      <w:r>
        <w:rPr>
          <w:rFonts w:ascii="Times New Roman" w:cs="Times New Roman" w:eastAsia="Times New Roman" w:hAnsi="Times New Roman"/>
          <w:sz w:val="15"/>
          <w:szCs w:val="15"/>
          <w:color w:val="231F20"/>
        </w:rPr>
        <w:t>ORPORATION</w:t>
      </w:r>
    </w:p>
    <w:p>
      <w:pPr>
        <w:spacing w:after="0" w:line="242" w:lineRule="exact"/>
        <w:rPr>
          <w:sz w:val="20"/>
          <w:szCs w:val="20"/>
          <w:color w:val="auto"/>
        </w:rPr>
      </w:pPr>
    </w:p>
    <w:p>
      <w:pPr>
        <w:ind w:left="140"/>
        <w:spacing w:after="0"/>
        <w:tabs>
          <w:tab w:leader="none" w:pos="6200" w:val="left"/>
          <w:tab w:leader="none" w:pos="7380" w:val="left"/>
        </w:tabs>
        <w:rPr>
          <w:sz w:val="20"/>
          <w:szCs w:val="20"/>
          <w:color w:val="auto"/>
        </w:rPr>
      </w:pPr>
      <w:r>
        <w:rPr>
          <w:rFonts w:ascii="Times New Roman" w:cs="Times New Roman" w:eastAsia="Times New Roman" w:hAnsi="Times New Roman"/>
          <w:sz w:val="19"/>
          <w:szCs w:val="19"/>
          <w:color w:val="231F20"/>
        </w:rPr>
        <w:t>Date February 9, 2026</w:t>
      </w:r>
      <w:r>
        <w:rPr>
          <w:sz w:val="20"/>
          <w:szCs w:val="20"/>
          <w:color w:val="auto"/>
        </w:rPr>
        <w:tab/>
      </w:r>
      <w:r>
        <w:rPr>
          <w:rFonts w:ascii="Times New Roman" w:cs="Times New Roman" w:eastAsia="Times New Roman" w:hAnsi="Times New Roman"/>
          <w:sz w:val="19"/>
          <w:szCs w:val="19"/>
          <w:color w:val="231F20"/>
        </w:rPr>
        <w:t>By</w:t>
      </w:r>
      <w:r>
        <w:rPr>
          <w:sz w:val="20"/>
          <w:szCs w:val="20"/>
          <w:color w:val="auto"/>
        </w:rPr>
        <w:tab/>
      </w:r>
      <w:r>
        <w:rPr>
          <w:rFonts w:ascii="Times New Roman" w:cs="Times New Roman" w:eastAsia="Times New Roman" w:hAnsi="Times New Roman"/>
          <w:sz w:val="19"/>
          <w:szCs w:val="19"/>
          <w:color w:val="231F20"/>
        </w:rPr>
        <w:t>/</w:t>
      </w:r>
      <w:r>
        <w:rPr>
          <w:rFonts w:ascii="Times New Roman" w:cs="Times New Roman" w:eastAsia="Times New Roman" w:hAnsi="Times New Roman"/>
          <w:sz w:val="14"/>
          <w:szCs w:val="14"/>
          <w:color w:val="231F20"/>
        </w:rPr>
        <w:t>S</w:t>
      </w:r>
      <w:r>
        <w:rPr>
          <w:rFonts w:ascii="Times New Roman" w:cs="Times New Roman" w:eastAsia="Times New Roman" w:hAnsi="Times New Roman"/>
          <w:sz w:val="19"/>
          <w:szCs w:val="19"/>
          <w:color w:val="231F20"/>
        </w:rPr>
        <w:t>/ T</w:t>
      </w:r>
      <w:r>
        <w:rPr>
          <w:rFonts w:ascii="Times New Roman" w:cs="Times New Roman" w:eastAsia="Times New Roman" w:hAnsi="Times New Roman"/>
          <w:sz w:val="14"/>
          <w:szCs w:val="14"/>
          <w:color w:val="231F20"/>
        </w:rPr>
        <w:t>HOMAS</w:t>
      </w:r>
      <w:r>
        <w:rPr>
          <w:rFonts w:ascii="Times New Roman" w:cs="Times New Roman" w:eastAsia="Times New Roman" w:hAnsi="Times New Roman"/>
          <w:sz w:val="19"/>
          <w:szCs w:val="19"/>
          <w:color w:val="231F20"/>
        </w:rPr>
        <w:t xml:space="preserve"> P. M</w:t>
      </w:r>
      <w:r>
        <w:rPr>
          <w:rFonts w:ascii="Times New Roman" w:cs="Times New Roman" w:eastAsia="Times New Roman" w:hAnsi="Times New Roman"/>
          <w:sz w:val="14"/>
          <w:szCs w:val="14"/>
          <w:color w:val="231F20"/>
        </w:rPr>
        <w:t>EISSNER</w:t>
      </w:r>
      <w:r>
        <w:rPr>
          <w:rFonts w:ascii="Times New Roman" w:cs="Times New Roman" w:eastAsia="Times New Roman" w:hAnsi="Times New Roman"/>
          <w:sz w:val="19"/>
          <w:szCs w:val="19"/>
          <w:color w:val="231F20"/>
        </w:rPr>
        <w:t>, J</w:t>
      </w:r>
      <w:r>
        <w:rPr>
          <w:rFonts w:ascii="Times New Roman" w:cs="Times New Roman" w:eastAsia="Times New Roman" w:hAnsi="Times New Roman"/>
          <w:sz w:val="14"/>
          <w:szCs w:val="14"/>
          <w:color w:val="231F20"/>
        </w:rPr>
        <w:t>R</w:t>
      </w:r>
      <w:r>
        <w:rPr>
          <w:rFonts w:ascii="Times New Roman" w:cs="Times New Roman" w:eastAsia="Times New Roman" w:hAnsi="Times New Roman"/>
          <w:sz w:val="19"/>
          <w:szCs w:val="19"/>
          <w:color w:val="231F20"/>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4092575</wp:posOffset>
                </wp:positionH>
                <wp:positionV relativeFrom="paragraph">
                  <wp:posOffset>27940</wp:posOffset>
                </wp:positionV>
                <wp:extent cx="2719705"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1970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2.25pt,2.2pt" to="536.4pt,2.2pt" o:allowincell="f" strokecolor="#231F20" strokeweight="0.5pt"/>
            </w:pict>
          </mc:Fallback>
        </mc:AlternateContent>
      </w:r>
    </w:p>
    <w:p>
      <w:pPr>
        <w:spacing w:after="0" w:line="37"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6"/>
          <w:szCs w:val="16"/>
          <w:b w:val="1"/>
          <w:bCs w:val="1"/>
          <w:color w:val="231F20"/>
        </w:rPr>
        <w:t>Thomas P. Meissner, Jr.</w:t>
      </w:r>
    </w:p>
    <w:p>
      <w:pPr>
        <w:jc w:val="center"/>
        <w:ind w:left="6300"/>
        <w:spacing w:after="0"/>
        <w:rPr>
          <w:sz w:val="20"/>
          <w:szCs w:val="20"/>
          <w:color w:val="auto"/>
        </w:rPr>
      </w:pPr>
      <w:r>
        <w:rPr>
          <w:rFonts w:ascii="Times New Roman" w:cs="Times New Roman" w:eastAsia="Times New Roman" w:hAnsi="Times New Roman"/>
          <w:sz w:val="16"/>
          <w:szCs w:val="16"/>
          <w:b w:val="1"/>
          <w:bCs w:val="1"/>
          <w:color w:val="231F20"/>
        </w:rPr>
        <w:t>Chairman of the Board of Directors and</w:t>
      </w:r>
    </w:p>
    <w:p>
      <w:pPr>
        <w:jc w:val="center"/>
        <w:ind w:left="6300"/>
        <w:spacing w:after="0"/>
        <w:rPr>
          <w:sz w:val="20"/>
          <w:szCs w:val="20"/>
          <w:color w:val="auto"/>
        </w:rPr>
      </w:pPr>
      <w:r>
        <w:rPr>
          <w:rFonts w:ascii="Times New Roman" w:cs="Times New Roman" w:eastAsia="Times New Roman" w:hAnsi="Times New Roman"/>
          <w:sz w:val="16"/>
          <w:szCs w:val="16"/>
          <w:b w:val="1"/>
          <w:bCs w:val="1"/>
          <w:color w:val="231F20"/>
        </w:rPr>
        <w:t>Chief Executive Officer</w:t>
      </w:r>
    </w:p>
    <w:p>
      <w:pPr>
        <w:spacing w:after="0" w:line="232" w:lineRule="exact"/>
        <w:rPr>
          <w:sz w:val="20"/>
          <w:szCs w:val="20"/>
          <w:color w:val="auto"/>
        </w:rPr>
      </w:pPr>
    </w:p>
    <w:p>
      <w:pPr>
        <w:ind w:right="160" w:firstLine="612"/>
        <w:spacing w:after="0" w:line="279" w:lineRule="auto"/>
        <w:rPr>
          <w:sz w:val="20"/>
          <w:szCs w:val="20"/>
          <w:color w:val="auto"/>
        </w:rPr>
      </w:pPr>
      <w:r>
        <w:rPr>
          <w:rFonts w:ascii="Times New Roman" w:cs="Times New Roman" w:eastAsia="Times New Roman" w:hAnsi="Times New Roman"/>
          <w:sz w:val="21"/>
          <w:szCs w:val="21"/>
          <w:color w:val="231F20"/>
        </w:rPr>
        <w:t>Pursuant to the requirements of the Securities Exchange Act of 1934, as amended, this report has been signed below by the following persons on behalf of the Registrant and in the capacities and on the dates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00" w:type="dxa"/>
            <w:vAlign w:val="bottom"/>
            <w:tcBorders>
              <w:bottom w:val="single" w:sz="8" w:color="231F20"/>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2520" w:type="dxa"/>
            <w:vAlign w:val="bottom"/>
            <w:tcBorders>
              <w:bottom w:val="single" w:sz="8" w:color="231F20"/>
            </w:tcBorders>
          </w:tcPr>
          <w:p>
            <w:pPr>
              <w:jc w:val="center"/>
              <w:ind w:right="1177"/>
              <w:spacing w:after="0"/>
              <w:rPr>
                <w:sz w:val="20"/>
                <w:szCs w:val="20"/>
                <w:color w:val="auto"/>
              </w:rPr>
            </w:pPr>
            <w:r>
              <w:rPr>
                <w:rFonts w:ascii="Times New Roman" w:cs="Times New Roman" w:eastAsia="Times New Roman" w:hAnsi="Times New Roman"/>
                <w:sz w:val="16"/>
                <w:szCs w:val="16"/>
                <w:b w:val="1"/>
                <w:bCs w:val="1"/>
                <w:color w:val="231F20"/>
                <w:w w:val="98"/>
              </w:rPr>
              <w:t>Signature</w:t>
            </w:r>
          </w:p>
        </w:tc>
        <w:tc>
          <w:tcPr>
            <w:tcW w:w="220" w:type="dxa"/>
            <w:vAlign w:val="bottom"/>
          </w:tcPr>
          <w:p>
            <w:pPr>
              <w:spacing w:after="0"/>
              <w:rPr>
                <w:sz w:val="17"/>
                <w:szCs w:val="17"/>
                <w:color w:val="auto"/>
              </w:rPr>
            </w:pPr>
          </w:p>
        </w:tc>
        <w:tc>
          <w:tcPr>
            <w:tcW w:w="3660" w:type="dxa"/>
            <w:vAlign w:val="bottom"/>
            <w:tcBorders>
              <w:bottom w:val="single" w:sz="8" w:color="231F20"/>
            </w:tcBorders>
          </w:tcPr>
          <w:p>
            <w:pPr>
              <w:ind w:left="1520"/>
              <w:spacing w:after="0"/>
              <w:rPr>
                <w:sz w:val="20"/>
                <w:szCs w:val="20"/>
                <w:color w:val="auto"/>
              </w:rPr>
            </w:pPr>
            <w:r>
              <w:rPr>
                <w:rFonts w:ascii="Times New Roman" w:cs="Times New Roman" w:eastAsia="Times New Roman" w:hAnsi="Times New Roman"/>
                <w:sz w:val="16"/>
                <w:szCs w:val="16"/>
                <w:b w:val="1"/>
                <w:bCs w:val="1"/>
                <w:color w:val="231F20"/>
              </w:rPr>
              <w:t>Capacity</w:t>
            </w:r>
          </w:p>
        </w:tc>
        <w:tc>
          <w:tcPr>
            <w:tcW w:w="220" w:type="dxa"/>
            <w:vAlign w:val="bottom"/>
          </w:tcPr>
          <w:p>
            <w:pPr>
              <w:spacing w:after="0"/>
              <w:rPr>
                <w:sz w:val="17"/>
                <w:szCs w:val="17"/>
                <w:color w:val="auto"/>
              </w:rPr>
            </w:pPr>
          </w:p>
        </w:tc>
        <w:tc>
          <w:tcPr>
            <w:tcW w:w="2920" w:type="dxa"/>
            <w:vAlign w:val="bottom"/>
            <w:tcBorders>
              <w:bottom w:val="single" w:sz="8" w:color="231F20"/>
            </w:tcBorders>
          </w:tcPr>
          <w:p>
            <w:pPr>
              <w:ind w:left="1300"/>
              <w:spacing w:after="0"/>
              <w:rPr>
                <w:sz w:val="20"/>
                <w:szCs w:val="20"/>
                <w:color w:val="auto"/>
              </w:rPr>
            </w:pPr>
            <w:r>
              <w:rPr>
                <w:rFonts w:ascii="Times New Roman" w:cs="Times New Roman" w:eastAsia="Times New Roman" w:hAnsi="Times New Roman"/>
                <w:sz w:val="16"/>
                <w:szCs w:val="16"/>
                <w:b w:val="1"/>
                <w:bCs w:val="1"/>
                <w:color w:val="231F20"/>
              </w:rPr>
              <w:t>Date</w:t>
            </w:r>
          </w:p>
        </w:tc>
        <w:tc>
          <w:tcPr>
            <w:tcW w:w="0" w:type="dxa"/>
            <w:vAlign w:val="bottom"/>
          </w:tcPr>
          <w:p>
            <w:pPr>
              <w:spacing w:after="0"/>
              <w:rPr>
                <w:sz w:val="1"/>
                <w:szCs w:val="1"/>
                <w:color w:val="auto"/>
              </w:rPr>
            </w:pPr>
          </w:p>
        </w:tc>
      </w:tr>
      <w:tr>
        <w:trPr>
          <w:trHeight w:val="392"/>
        </w:trPr>
        <w:tc>
          <w:tcPr>
            <w:tcW w:w="1100" w:type="dxa"/>
            <w:vAlign w:val="bottom"/>
            <w:tcBorders>
              <w:bottom w:val="single" w:sz="8" w:color="231F20"/>
            </w:tcBorders>
          </w:tcPr>
          <w:p>
            <w:pPr>
              <w:ind w:left="820"/>
              <w:spacing w:after="0"/>
              <w:rPr>
                <w:sz w:val="20"/>
                <w:szCs w:val="20"/>
                <w:color w:val="auto"/>
              </w:rPr>
            </w:pPr>
            <w:r>
              <w:rPr>
                <w:rFonts w:ascii="Times New Roman" w:cs="Times New Roman" w:eastAsia="Times New Roman" w:hAnsi="Times New Roman"/>
                <w:sz w:val="15"/>
                <w:szCs w:val="15"/>
                <w:color w:val="231F20"/>
              </w:rPr>
              <w:t>/S/</w:t>
            </w:r>
          </w:p>
        </w:tc>
        <w:tc>
          <w:tcPr>
            <w:tcW w:w="2680" w:type="dxa"/>
            <w:vAlign w:val="bottom"/>
            <w:tcBorders>
              <w:bottom w:val="single" w:sz="8" w:color="231F20"/>
            </w:tcBorders>
            <w:gridSpan w:val="2"/>
          </w:tcPr>
          <w:p>
            <w:pPr>
              <w:jc w:val="center"/>
              <w:ind w:right="717"/>
              <w:spacing w:after="0"/>
              <w:rPr>
                <w:sz w:val="20"/>
                <w:szCs w:val="20"/>
                <w:color w:val="auto"/>
              </w:rPr>
            </w:pPr>
            <w:r>
              <w:rPr>
                <w:rFonts w:ascii="Times New Roman" w:cs="Times New Roman" w:eastAsia="Times New Roman" w:hAnsi="Times New Roman"/>
                <w:sz w:val="15"/>
                <w:szCs w:val="15"/>
                <w:color w:val="231F20"/>
                <w:w w:val="99"/>
              </w:rPr>
              <w:t>THOMAS P. MEISSNER, JR.</w:t>
            </w:r>
          </w:p>
        </w:tc>
        <w:tc>
          <w:tcPr>
            <w:tcW w:w="220" w:type="dxa"/>
            <w:vAlign w:val="bottom"/>
          </w:tcPr>
          <w:p>
            <w:pPr>
              <w:spacing w:after="0"/>
              <w:rPr>
                <w:sz w:val="24"/>
                <w:szCs w:val="24"/>
                <w:color w:val="auto"/>
              </w:rPr>
            </w:pPr>
          </w:p>
        </w:tc>
        <w:tc>
          <w:tcPr>
            <w:tcW w:w="3660" w:type="dxa"/>
            <w:vAlign w:val="bottom"/>
            <w:vMerge w:val="restart"/>
          </w:tcPr>
          <w:p>
            <w:pPr>
              <w:spacing w:after="0"/>
              <w:rPr>
                <w:sz w:val="20"/>
                <w:szCs w:val="20"/>
                <w:color w:val="auto"/>
              </w:rPr>
            </w:pPr>
            <w:r>
              <w:rPr>
                <w:rFonts w:ascii="Times New Roman" w:cs="Times New Roman" w:eastAsia="Times New Roman" w:hAnsi="Times New Roman"/>
                <w:sz w:val="21"/>
                <w:szCs w:val="21"/>
                <w:color w:val="231F20"/>
              </w:rPr>
              <w:t>Principal Executive Officer; Director</w:t>
            </w:r>
          </w:p>
        </w:tc>
        <w:tc>
          <w:tcPr>
            <w:tcW w:w="220" w:type="dxa"/>
            <w:vAlign w:val="bottom"/>
            <w:vMerge w:val="restart"/>
          </w:tcPr>
          <w:p>
            <w:pPr>
              <w:spacing w:after="0"/>
              <w:rPr>
                <w:sz w:val="24"/>
                <w:szCs w:val="24"/>
                <w:color w:val="auto"/>
              </w:rPr>
            </w:pPr>
          </w:p>
        </w:tc>
        <w:tc>
          <w:tcPr>
            <w:tcW w:w="2920" w:type="dxa"/>
            <w:vAlign w:val="bottom"/>
            <w:vMerge w:val="restart"/>
          </w:tcPr>
          <w:p>
            <w:pPr>
              <w:ind w:left="740"/>
              <w:spacing w:after="0"/>
              <w:rPr>
                <w:sz w:val="20"/>
                <w:szCs w:val="20"/>
                <w:color w:val="auto"/>
              </w:rPr>
            </w:pPr>
            <w:r>
              <w:rPr>
                <w:rFonts w:ascii="Times New Roman" w:cs="Times New Roman" w:eastAsia="Times New Roman" w:hAnsi="Times New Roman"/>
                <w:sz w:val="21"/>
                <w:szCs w:val="21"/>
                <w:color w:val="231F20"/>
              </w:rPr>
              <w:t>February 9, 2026</w:t>
            </w:r>
          </w:p>
        </w:tc>
        <w:tc>
          <w:tcPr>
            <w:tcW w:w="0" w:type="dxa"/>
            <w:vAlign w:val="bottom"/>
          </w:tcPr>
          <w:p>
            <w:pPr>
              <w:spacing w:after="0"/>
              <w:rPr>
                <w:sz w:val="1"/>
                <w:szCs w:val="1"/>
                <w:color w:val="auto"/>
              </w:rPr>
            </w:pPr>
          </w:p>
        </w:tc>
      </w:tr>
      <w:tr>
        <w:trPr>
          <w:trHeight w:val="68"/>
        </w:trPr>
        <w:tc>
          <w:tcPr>
            <w:tcW w:w="37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231F20"/>
              </w:rPr>
              <w:t>Thomas P. Meissner, Jr.</w:t>
            </w:r>
          </w:p>
        </w:tc>
        <w:tc>
          <w:tcPr>
            <w:tcW w:w="220" w:type="dxa"/>
            <w:vAlign w:val="bottom"/>
          </w:tcPr>
          <w:p>
            <w:pPr>
              <w:spacing w:after="0"/>
              <w:rPr>
                <w:sz w:val="5"/>
                <w:szCs w:val="5"/>
                <w:color w:val="auto"/>
              </w:rPr>
            </w:pPr>
          </w:p>
        </w:tc>
        <w:tc>
          <w:tcPr>
            <w:tcW w:w="366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7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0"/>
        </w:trPr>
        <w:tc>
          <w:tcPr>
            <w:tcW w:w="1260" w:type="dxa"/>
            <w:vAlign w:val="bottom"/>
            <w:tcBorders>
              <w:bottom w:val="single" w:sz="8" w:color="231F20"/>
            </w:tcBorders>
            <w:gridSpan w:val="2"/>
          </w:tcPr>
          <w:p>
            <w:pPr>
              <w:ind w:left="1020"/>
              <w:spacing w:after="0"/>
              <w:rPr>
                <w:sz w:val="20"/>
                <w:szCs w:val="20"/>
                <w:color w:val="auto"/>
              </w:rPr>
            </w:pPr>
            <w:r>
              <w:rPr>
                <w:rFonts w:ascii="Times New Roman" w:cs="Times New Roman" w:eastAsia="Times New Roman" w:hAnsi="Times New Roman"/>
                <w:sz w:val="15"/>
                <w:szCs w:val="15"/>
                <w:color w:val="231F20"/>
              </w:rPr>
              <w:t>/S/</w:t>
            </w:r>
          </w:p>
        </w:tc>
        <w:tc>
          <w:tcPr>
            <w:tcW w:w="2520" w:type="dxa"/>
            <w:vAlign w:val="bottom"/>
            <w:tcBorders>
              <w:bottom w:val="single" w:sz="8" w:color="231F20"/>
            </w:tcBorders>
          </w:tcPr>
          <w:p>
            <w:pPr>
              <w:jc w:val="center"/>
              <w:ind w:right="877"/>
              <w:spacing w:after="0"/>
              <w:rPr>
                <w:sz w:val="20"/>
                <w:szCs w:val="20"/>
                <w:color w:val="auto"/>
              </w:rPr>
            </w:pPr>
            <w:r>
              <w:rPr>
                <w:rFonts w:ascii="Times New Roman" w:cs="Times New Roman" w:eastAsia="Times New Roman" w:hAnsi="Times New Roman"/>
                <w:sz w:val="15"/>
                <w:szCs w:val="15"/>
                <w:color w:val="231F20"/>
              </w:rPr>
              <w:t>DANIEL J. HURSTAK</w:t>
            </w:r>
          </w:p>
        </w:tc>
        <w:tc>
          <w:tcPr>
            <w:tcW w:w="220" w:type="dxa"/>
            <w:vAlign w:val="bottom"/>
            <w:vMerge w:val="restart"/>
          </w:tcPr>
          <w:p>
            <w:pPr>
              <w:spacing w:after="0"/>
              <w:rPr>
                <w:sz w:val="24"/>
                <w:szCs w:val="24"/>
                <w:color w:val="auto"/>
              </w:rPr>
            </w:pPr>
          </w:p>
        </w:tc>
        <w:tc>
          <w:tcPr>
            <w:tcW w:w="3660" w:type="dxa"/>
            <w:vAlign w:val="bottom"/>
            <w:vMerge w:val="restart"/>
          </w:tcPr>
          <w:p>
            <w:pPr>
              <w:spacing w:after="0"/>
              <w:rPr>
                <w:sz w:val="20"/>
                <w:szCs w:val="20"/>
                <w:color w:val="auto"/>
              </w:rPr>
            </w:pPr>
            <w:r>
              <w:rPr>
                <w:rFonts w:ascii="Times New Roman" w:cs="Times New Roman" w:eastAsia="Times New Roman" w:hAnsi="Times New Roman"/>
                <w:sz w:val="21"/>
                <w:szCs w:val="21"/>
                <w:color w:val="231F20"/>
              </w:rPr>
              <w:t>Principal Financial Officer</w:t>
            </w:r>
          </w:p>
        </w:tc>
        <w:tc>
          <w:tcPr>
            <w:tcW w:w="220" w:type="dxa"/>
            <w:vAlign w:val="bottom"/>
            <w:vMerge w:val="restart"/>
          </w:tcPr>
          <w:p>
            <w:pPr>
              <w:spacing w:after="0"/>
              <w:rPr>
                <w:sz w:val="24"/>
                <w:szCs w:val="24"/>
                <w:color w:val="auto"/>
              </w:rPr>
            </w:pPr>
          </w:p>
        </w:tc>
        <w:tc>
          <w:tcPr>
            <w:tcW w:w="2920" w:type="dxa"/>
            <w:vAlign w:val="bottom"/>
            <w:vMerge w:val="restart"/>
          </w:tcPr>
          <w:p>
            <w:pPr>
              <w:ind w:left="760"/>
              <w:spacing w:after="0"/>
              <w:rPr>
                <w:sz w:val="20"/>
                <w:szCs w:val="20"/>
                <w:color w:val="auto"/>
              </w:rPr>
            </w:pPr>
            <w:r>
              <w:rPr>
                <w:rFonts w:ascii="Times New Roman" w:cs="Times New Roman" w:eastAsia="Times New Roman" w:hAnsi="Times New Roman"/>
                <w:sz w:val="21"/>
                <w:szCs w:val="21"/>
                <w:color w:val="231F20"/>
              </w:rPr>
              <w:t>February 9, 2026</w:t>
            </w:r>
          </w:p>
        </w:tc>
        <w:tc>
          <w:tcPr>
            <w:tcW w:w="0" w:type="dxa"/>
            <w:vAlign w:val="bottom"/>
          </w:tcPr>
          <w:p>
            <w:pPr>
              <w:spacing w:after="0"/>
              <w:rPr>
                <w:sz w:val="1"/>
                <w:szCs w:val="1"/>
                <w:color w:val="auto"/>
              </w:rPr>
            </w:pPr>
          </w:p>
        </w:tc>
      </w:tr>
      <w:tr>
        <w:trPr>
          <w:trHeight w:val="68"/>
        </w:trPr>
        <w:tc>
          <w:tcPr>
            <w:tcW w:w="1100" w:type="dxa"/>
            <w:vAlign w:val="bottom"/>
          </w:tcPr>
          <w:p>
            <w:pPr>
              <w:spacing w:after="0"/>
              <w:rPr>
                <w:sz w:val="5"/>
                <w:szCs w:val="5"/>
                <w:color w:val="auto"/>
              </w:rPr>
            </w:pPr>
          </w:p>
        </w:tc>
        <w:tc>
          <w:tcPr>
            <w:tcW w:w="2680" w:type="dxa"/>
            <w:vAlign w:val="bottom"/>
            <w:gridSpan w:val="2"/>
            <w:vMerge w:val="restart"/>
          </w:tcPr>
          <w:p>
            <w:pPr>
              <w:jc w:val="center"/>
              <w:ind w:right="1017"/>
              <w:spacing w:after="0"/>
              <w:rPr>
                <w:sz w:val="20"/>
                <w:szCs w:val="20"/>
                <w:color w:val="auto"/>
              </w:rPr>
            </w:pPr>
            <w:r>
              <w:rPr>
                <w:rFonts w:ascii="Times New Roman" w:cs="Times New Roman" w:eastAsia="Times New Roman" w:hAnsi="Times New Roman"/>
                <w:sz w:val="19"/>
                <w:szCs w:val="19"/>
                <w:b w:val="1"/>
                <w:bCs w:val="1"/>
                <w:color w:val="231F20"/>
              </w:rPr>
              <w:t>Daniel J. Hurstak</w:t>
            </w:r>
          </w:p>
        </w:tc>
        <w:tc>
          <w:tcPr>
            <w:tcW w:w="220" w:type="dxa"/>
            <w:vAlign w:val="bottom"/>
            <w:vMerge w:val="continue"/>
          </w:tcPr>
          <w:p>
            <w:pPr>
              <w:spacing w:after="0"/>
              <w:rPr>
                <w:sz w:val="5"/>
                <w:szCs w:val="5"/>
                <w:color w:val="auto"/>
              </w:rPr>
            </w:pPr>
          </w:p>
        </w:tc>
        <w:tc>
          <w:tcPr>
            <w:tcW w:w="366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1100" w:type="dxa"/>
            <w:vAlign w:val="bottom"/>
          </w:tcPr>
          <w:p>
            <w:pPr>
              <w:spacing w:after="0"/>
              <w:rPr>
                <w:sz w:val="16"/>
                <w:szCs w:val="16"/>
                <w:color w:val="auto"/>
              </w:rPr>
            </w:pPr>
          </w:p>
        </w:tc>
        <w:tc>
          <w:tcPr>
            <w:tcW w:w="26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1100" w:type="dxa"/>
            <w:vAlign w:val="bottom"/>
            <w:tcBorders>
              <w:bottom w:val="single" w:sz="8" w:color="231F20"/>
            </w:tcBorders>
          </w:tcPr>
          <w:p>
            <w:pPr>
              <w:spacing w:after="0"/>
              <w:rPr>
                <w:sz w:val="24"/>
                <w:szCs w:val="24"/>
                <w:color w:val="auto"/>
              </w:rPr>
            </w:pPr>
          </w:p>
        </w:tc>
        <w:tc>
          <w:tcPr>
            <w:tcW w:w="2680" w:type="dxa"/>
            <w:vAlign w:val="bottom"/>
            <w:tcBorders>
              <w:bottom w:val="single" w:sz="8" w:color="231F20"/>
            </w:tcBorders>
            <w:gridSpan w:val="2"/>
          </w:tcPr>
          <w:p>
            <w:pPr>
              <w:jc w:val="center"/>
              <w:ind w:right="1017"/>
              <w:spacing w:after="0"/>
              <w:rPr>
                <w:sz w:val="20"/>
                <w:szCs w:val="20"/>
                <w:color w:val="auto"/>
              </w:rPr>
            </w:pPr>
            <w:r>
              <w:rPr>
                <w:rFonts w:ascii="Times New Roman" w:cs="Times New Roman" w:eastAsia="Times New Roman" w:hAnsi="Times New Roman"/>
                <w:sz w:val="15"/>
                <w:szCs w:val="15"/>
                <w:color w:val="231F20"/>
              </w:rPr>
              <w:t>/S/  TODD R. DIGGINS</w:t>
            </w:r>
          </w:p>
        </w:tc>
        <w:tc>
          <w:tcPr>
            <w:tcW w:w="220" w:type="dxa"/>
            <w:vAlign w:val="bottom"/>
            <w:vMerge w:val="restart"/>
          </w:tcPr>
          <w:p>
            <w:pPr>
              <w:spacing w:after="0"/>
              <w:rPr>
                <w:sz w:val="24"/>
                <w:szCs w:val="24"/>
                <w:color w:val="auto"/>
              </w:rPr>
            </w:pPr>
          </w:p>
        </w:tc>
        <w:tc>
          <w:tcPr>
            <w:tcW w:w="3660" w:type="dxa"/>
            <w:vAlign w:val="bottom"/>
            <w:vMerge w:val="restart"/>
          </w:tcPr>
          <w:p>
            <w:pPr>
              <w:spacing w:after="0"/>
              <w:rPr>
                <w:sz w:val="20"/>
                <w:szCs w:val="20"/>
                <w:color w:val="auto"/>
              </w:rPr>
            </w:pPr>
            <w:r>
              <w:rPr>
                <w:rFonts w:ascii="Times New Roman" w:cs="Times New Roman" w:eastAsia="Times New Roman" w:hAnsi="Times New Roman"/>
                <w:sz w:val="21"/>
                <w:szCs w:val="21"/>
                <w:color w:val="231F20"/>
              </w:rPr>
              <w:t>Principal Accounting Officer</w:t>
            </w:r>
          </w:p>
        </w:tc>
        <w:tc>
          <w:tcPr>
            <w:tcW w:w="220" w:type="dxa"/>
            <w:vAlign w:val="bottom"/>
            <w:vMerge w:val="restart"/>
          </w:tcPr>
          <w:p>
            <w:pPr>
              <w:spacing w:after="0"/>
              <w:rPr>
                <w:sz w:val="24"/>
                <w:szCs w:val="24"/>
                <w:color w:val="auto"/>
              </w:rPr>
            </w:pPr>
          </w:p>
        </w:tc>
        <w:tc>
          <w:tcPr>
            <w:tcW w:w="2920" w:type="dxa"/>
            <w:vAlign w:val="bottom"/>
            <w:vMerge w:val="restart"/>
          </w:tcPr>
          <w:p>
            <w:pPr>
              <w:ind w:left="740"/>
              <w:spacing w:after="0"/>
              <w:rPr>
                <w:sz w:val="20"/>
                <w:szCs w:val="20"/>
                <w:color w:val="auto"/>
              </w:rPr>
            </w:pPr>
            <w:r>
              <w:rPr>
                <w:rFonts w:ascii="Times New Roman" w:cs="Times New Roman" w:eastAsia="Times New Roman" w:hAnsi="Times New Roman"/>
                <w:sz w:val="21"/>
                <w:szCs w:val="21"/>
                <w:color w:val="231F20"/>
              </w:rPr>
              <w:t>February 9, 2026</w:t>
            </w:r>
          </w:p>
        </w:tc>
        <w:tc>
          <w:tcPr>
            <w:tcW w:w="0" w:type="dxa"/>
            <w:vAlign w:val="bottom"/>
          </w:tcPr>
          <w:p>
            <w:pPr>
              <w:spacing w:after="0"/>
              <w:rPr>
                <w:sz w:val="1"/>
                <w:szCs w:val="1"/>
                <w:color w:val="auto"/>
              </w:rPr>
            </w:pPr>
          </w:p>
        </w:tc>
      </w:tr>
      <w:tr>
        <w:trPr>
          <w:trHeight w:val="68"/>
        </w:trPr>
        <w:tc>
          <w:tcPr>
            <w:tcW w:w="1100" w:type="dxa"/>
            <w:vAlign w:val="bottom"/>
          </w:tcPr>
          <w:p>
            <w:pPr>
              <w:spacing w:after="0"/>
              <w:rPr>
                <w:sz w:val="5"/>
                <w:szCs w:val="5"/>
                <w:color w:val="auto"/>
              </w:rPr>
            </w:pPr>
          </w:p>
        </w:tc>
        <w:tc>
          <w:tcPr>
            <w:tcW w:w="2680" w:type="dxa"/>
            <w:vAlign w:val="bottom"/>
            <w:gridSpan w:val="2"/>
            <w:vMerge w:val="restart"/>
          </w:tcPr>
          <w:p>
            <w:pPr>
              <w:jc w:val="center"/>
              <w:ind w:right="1017"/>
              <w:spacing w:after="0"/>
              <w:rPr>
                <w:sz w:val="20"/>
                <w:szCs w:val="20"/>
                <w:color w:val="auto"/>
              </w:rPr>
            </w:pPr>
            <w:r>
              <w:rPr>
                <w:rFonts w:ascii="Times New Roman" w:cs="Times New Roman" w:eastAsia="Times New Roman" w:hAnsi="Times New Roman"/>
                <w:sz w:val="19"/>
                <w:szCs w:val="19"/>
                <w:b w:val="1"/>
                <w:bCs w:val="1"/>
                <w:color w:val="231F20"/>
              </w:rPr>
              <w:t>Todd R. Diggins</w:t>
            </w:r>
          </w:p>
        </w:tc>
        <w:tc>
          <w:tcPr>
            <w:tcW w:w="220" w:type="dxa"/>
            <w:vAlign w:val="bottom"/>
            <w:vMerge w:val="continue"/>
          </w:tcPr>
          <w:p>
            <w:pPr>
              <w:spacing w:after="0"/>
              <w:rPr>
                <w:sz w:val="5"/>
                <w:szCs w:val="5"/>
                <w:color w:val="auto"/>
              </w:rPr>
            </w:pPr>
          </w:p>
        </w:tc>
        <w:tc>
          <w:tcPr>
            <w:tcW w:w="366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1100" w:type="dxa"/>
            <w:vAlign w:val="bottom"/>
          </w:tcPr>
          <w:p>
            <w:pPr>
              <w:spacing w:after="0"/>
              <w:rPr>
                <w:sz w:val="16"/>
                <w:szCs w:val="16"/>
                <w:color w:val="auto"/>
              </w:rPr>
            </w:pPr>
          </w:p>
        </w:tc>
        <w:tc>
          <w:tcPr>
            <w:tcW w:w="26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0"/>
        </w:trPr>
        <w:tc>
          <w:tcPr>
            <w:tcW w:w="1100" w:type="dxa"/>
            <w:vAlign w:val="bottom"/>
            <w:tcBorders>
              <w:bottom w:val="single" w:sz="8" w:color="231F20"/>
            </w:tcBorders>
          </w:tcPr>
          <w:p>
            <w:pPr>
              <w:spacing w:after="0"/>
              <w:rPr>
                <w:sz w:val="24"/>
                <w:szCs w:val="24"/>
                <w:color w:val="auto"/>
              </w:rPr>
            </w:pPr>
          </w:p>
        </w:tc>
        <w:tc>
          <w:tcPr>
            <w:tcW w:w="2680" w:type="dxa"/>
            <w:vAlign w:val="bottom"/>
            <w:tcBorders>
              <w:bottom w:val="single" w:sz="8" w:color="231F20"/>
            </w:tcBorders>
            <w:gridSpan w:val="2"/>
          </w:tcPr>
          <w:p>
            <w:pPr>
              <w:jc w:val="center"/>
              <w:ind w:right="1017"/>
              <w:spacing w:after="0"/>
              <w:rPr>
                <w:sz w:val="20"/>
                <w:szCs w:val="20"/>
                <w:color w:val="auto"/>
              </w:rPr>
            </w:pPr>
            <w:r>
              <w:rPr>
                <w:rFonts w:ascii="Times New Roman" w:cs="Times New Roman" w:eastAsia="Times New Roman" w:hAnsi="Times New Roman"/>
                <w:sz w:val="15"/>
                <w:szCs w:val="15"/>
                <w:color w:val="231F20"/>
              </w:rPr>
              <w:t>/S/  ANNE L. ALONZO</w:t>
            </w:r>
          </w:p>
        </w:tc>
        <w:tc>
          <w:tcPr>
            <w:tcW w:w="2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1"/>
                <w:szCs w:val="21"/>
                <w:color w:val="231F20"/>
              </w:rPr>
              <w:t>Director</w:t>
            </w:r>
          </w:p>
        </w:tc>
        <w:tc>
          <w:tcPr>
            <w:tcW w:w="220" w:type="dxa"/>
            <w:vAlign w:val="bottom"/>
          </w:tcPr>
          <w:p>
            <w:pPr>
              <w:spacing w:after="0"/>
              <w:rPr>
                <w:sz w:val="24"/>
                <w:szCs w:val="24"/>
                <w:color w:val="auto"/>
              </w:rPr>
            </w:pPr>
          </w:p>
        </w:tc>
        <w:tc>
          <w:tcPr>
            <w:tcW w:w="2920" w:type="dxa"/>
            <w:vAlign w:val="bottom"/>
          </w:tcPr>
          <w:p>
            <w:pPr>
              <w:ind w:left="740"/>
              <w:spacing w:after="0"/>
              <w:rPr>
                <w:sz w:val="20"/>
                <w:szCs w:val="20"/>
                <w:color w:val="auto"/>
              </w:rPr>
            </w:pPr>
            <w:r>
              <w:rPr>
                <w:rFonts w:ascii="Times New Roman" w:cs="Times New Roman" w:eastAsia="Times New Roman" w:hAnsi="Times New Roman"/>
                <w:sz w:val="21"/>
                <w:szCs w:val="21"/>
                <w:color w:val="231F20"/>
              </w:rPr>
              <w:t>February 9, 2026</w:t>
            </w:r>
          </w:p>
        </w:tc>
        <w:tc>
          <w:tcPr>
            <w:tcW w:w="0" w:type="dxa"/>
            <w:vAlign w:val="bottom"/>
          </w:tcPr>
          <w:p>
            <w:pPr>
              <w:spacing w:after="0"/>
              <w:rPr>
                <w:sz w:val="1"/>
                <w:szCs w:val="1"/>
                <w:color w:val="auto"/>
              </w:rPr>
            </w:pPr>
          </w:p>
        </w:tc>
      </w:tr>
      <w:tr>
        <w:trPr>
          <w:trHeight w:val="256"/>
        </w:trPr>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520" w:type="dxa"/>
            <w:vAlign w:val="bottom"/>
          </w:tcPr>
          <w:p>
            <w:pPr>
              <w:jc w:val="center"/>
              <w:ind w:right="1177"/>
              <w:spacing w:after="0"/>
              <w:rPr>
                <w:sz w:val="20"/>
                <w:szCs w:val="20"/>
                <w:color w:val="auto"/>
              </w:rPr>
            </w:pPr>
            <w:r>
              <w:rPr>
                <w:rFonts w:ascii="Times New Roman" w:cs="Times New Roman" w:eastAsia="Times New Roman" w:hAnsi="Times New Roman"/>
                <w:sz w:val="19"/>
                <w:szCs w:val="19"/>
                <w:b w:val="1"/>
                <w:bCs w:val="1"/>
                <w:color w:val="231F20"/>
                <w:w w:val="99"/>
              </w:rPr>
              <w:t>Anne L. Alonzo</w:t>
            </w:r>
          </w:p>
        </w:tc>
        <w:tc>
          <w:tcPr>
            <w:tcW w:w="2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8"/>
        </w:trPr>
        <w:tc>
          <w:tcPr>
            <w:tcW w:w="1100" w:type="dxa"/>
            <w:vAlign w:val="bottom"/>
            <w:tcBorders>
              <w:bottom w:val="single" w:sz="8" w:color="231F20"/>
            </w:tcBorders>
          </w:tcPr>
          <w:p>
            <w:pPr>
              <w:spacing w:after="0"/>
              <w:rPr>
                <w:sz w:val="24"/>
                <w:szCs w:val="24"/>
                <w:color w:val="auto"/>
              </w:rPr>
            </w:pPr>
          </w:p>
        </w:tc>
        <w:tc>
          <w:tcPr>
            <w:tcW w:w="2680" w:type="dxa"/>
            <w:vAlign w:val="bottom"/>
            <w:tcBorders>
              <w:bottom w:val="single" w:sz="8" w:color="231F20"/>
            </w:tcBorders>
            <w:gridSpan w:val="2"/>
          </w:tcPr>
          <w:p>
            <w:pPr>
              <w:jc w:val="center"/>
              <w:ind w:right="1017"/>
              <w:spacing w:after="0"/>
              <w:rPr>
                <w:sz w:val="20"/>
                <w:szCs w:val="20"/>
                <w:color w:val="auto"/>
              </w:rPr>
            </w:pPr>
            <w:r>
              <w:rPr>
                <w:rFonts w:ascii="Times New Roman" w:cs="Times New Roman" w:eastAsia="Times New Roman" w:hAnsi="Times New Roman"/>
                <w:sz w:val="15"/>
                <w:szCs w:val="15"/>
                <w:color w:val="231F20"/>
              </w:rPr>
              <w:t>/S/  NEVEEN F. AWAD</w:t>
            </w:r>
          </w:p>
        </w:tc>
        <w:tc>
          <w:tcPr>
            <w:tcW w:w="220" w:type="dxa"/>
            <w:vAlign w:val="bottom"/>
            <w:vMerge w:val="restart"/>
          </w:tcPr>
          <w:p>
            <w:pPr>
              <w:spacing w:after="0"/>
              <w:rPr>
                <w:sz w:val="24"/>
                <w:szCs w:val="24"/>
                <w:color w:val="auto"/>
              </w:rPr>
            </w:pPr>
          </w:p>
        </w:tc>
        <w:tc>
          <w:tcPr>
            <w:tcW w:w="3660" w:type="dxa"/>
            <w:vAlign w:val="bottom"/>
            <w:vMerge w:val="restart"/>
          </w:tcPr>
          <w:p>
            <w:pPr>
              <w:spacing w:after="0"/>
              <w:rPr>
                <w:sz w:val="20"/>
                <w:szCs w:val="20"/>
                <w:color w:val="auto"/>
              </w:rPr>
            </w:pPr>
            <w:r>
              <w:rPr>
                <w:rFonts w:ascii="Times New Roman" w:cs="Times New Roman" w:eastAsia="Times New Roman" w:hAnsi="Times New Roman"/>
                <w:sz w:val="21"/>
                <w:szCs w:val="21"/>
                <w:color w:val="231F20"/>
              </w:rPr>
              <w:t>Director</w:t>
            </w:r>
          </w:p>
        </w:tc>
        <w:tc>
          <w:tcPr>
            <w:tcW w:w="220" w:type="dxa"/>
            <w:vAlign w:val="bottom"/>
            <w:vMerge w:val="restart"/>
          </w:tcPr>
          <w:p>
            <w:pPr>
              <w:spacing w:after="0"/>
              <w:rPr>
                <w:sz w:val="24"/>
                <w:szCs w:val="24"/>
                <w:color w:val="auto"/>
              </w:rPr>
            </w:pPr>
          </w:p>
        </w:tc>
        <w:tc>
          <w:tcPr>
            <w:tcW w:w="2920" w:type="dxa"/>
            <w:vAlign w:val="bottom"/>
            <w:vMerge w:val="restart"/>
          </w:tcPr>
          <w:p>
            <w:pPr>
              <w:ind w:left="740"/>
              <w:spacing w:after="0"/>
              <w:rPr>
                <w:sz w:val="20"/>
                <w:szCs w:val="20"/>
                <w:color w:val="auto"/>
              </w:rPr>
            </w:pPr>
            <w:r>
              <w:rPr>
                <w:rFonts w:ascii="Times New Roman" w:cs="Times New Roman" w:eastAsia="Times New Roman" w:hAnsi="Times New Roman"/>
                <w:sz w:val="21"/>
                <w:szCs w:val="21"/>
                <w:color w:val="231F20"/>
              </w:rPr>
              <w:t>February 9, 2026</w:t>
            </w:r>
          </w:p>
        </w:tc>
        <w:tc>
          <w:tcPr>
            <w:tcW w:w="0" w:type="dxa"/>
            <w:vAlign w:val="bottom"/>
          </w:tcPr>
          <w:p>
            <w:pPr>
              <w:spacing w:after="0"/>
              <w:rPr>
                <w:sz w:val="1"/>
                <w:szCs w:val="1"/>
                <w:color w:val="auto"/>
              </w:rPr>
            </w:pPr>
          </w:p>
        </w:tc>
      </w:tr>
      <w:tr>
        <w:trPr>
          <w:trHeight w:val="68"/>
        </w:trPr>
        <w:tc>
          <w:tcPr>
            <w:tcW w:w="1100" w:type="dxa"/>
            <w:vAlign w:val="bottom"/>
          </w:tcPr>
          <w:p>
            <w:pPr>
              <w:spacing w:after="0"/>
              <w:rPr>
                <w:sz w:val="5"/>
                <w:szCs w:val="5"/>
                <w:color w:val="auto"/>
              </w:rPr>
            </w:pPr>
          </w:p>
        </w:tc>
        <w:tc>
          <w:tcPr>
            <w:tcW w:w="2680" w:type="dxa"/>
            <w:vAlign w:val="bottom"/>
            <w:gridSpan w:val="2"/>
            <w:vMerge w:val="restart"/>
          </w:tcPr>
          <w:p>
            <w:pPr>
              <w:jc w:val="center"/>
              <w:ind w:right="1017"/>
              <w:spacing w:after="0"/>
              <w:rPr>
                <w:sz w:val="20"/>
                <w:szCs w:val="20"/>
                <w:color w:val="auto"/>
              </w:rPr>
            </w:pPr>
            <w:r>
              <w:rPr>
                <w:rFonts w:ascii="Times New Roman" w:cs="Times New Roman" w:eastAsia="Times New Roman" w:hAnsi="Times New Roman"/>
                <w:sz w:val="19"/>
                <w:szCs w:val="19"/>
                <w:b w:val="1"/>
                <w:bCs w:val="1"/>
                <w:color w:val="231F20"/>
              </w:rPr>
              <w:t>Neveen F. Awad</w:t>
            </w:r>
          </w:p>
        </w:tc>
        <w:tc>
          <w:tcPr>
            <w:tcW w:w="220" w:type="dxa"/>
            <w:vAlign w:val="bottom"/>
            <w:vMerge w:val="continue"/>
          </w:tcPr>
          <w:p>
            <w:pPr>
              <w:spacing w:after="0"/>
              <w:rPr>
                <w:sz w:val="5"/>
                <w:szCs w:val="5"/>
                <w:color w:val="auto"/>
              </w:rPr>
            </w:pPr>
          </w:p>
        </w:tc>
        <w:tc>
          <w:tcPr>
            <w:tcW w:w="366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1100" w:type="dxa"/>
            <w:vAlign w:val="bottom"/>
          </w:tcPr>
          <w:p>
            <w:pPr>
              <w:spacing w:after="0"/>
              <w:rPr>
                <w:sz w:val="16"/>
                <w:szCs w:val="16"/>
                <w:color w:val="auto"/>
              </w:rPr>
            </w:pPr>
          </w:p>
        </w:tc>
        <w:tc>
          <w:tcPr>
            <w:tcW w:w="26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1260" w:type="dxa"/>
            <w:vAlign w:val="bottom"/>
            <w:tcBorders>
              <w:bottom w:val="single" w:sz="8" w:color="231F20"/>
            </w:tcBorders>
            <w:gridSpan w:val="2"/>
          </w:tcPr>
          <w:p>
            <w:pPr>
              <w:ind w:left="1000"/>
              <w:spacing w:after="0"/>
              <w:rPr>
                <w:sz w:val="20"/>
                <w:szCs w:val="20"/>
                <w:color w:val="auto"/>
              </w:rPr>
            </w:pPr>
            <w:r>
              <w:rPr>
                <w:rFonts w:ascii="Times New Roman" w:cs="Times New Roman" w:eastAsia="Times New Roman" w:hAnsi="Times New Roman"/>
                <w:sz w:val="15"/>
                <w:szCs w:val="15"/>
                <w:color w:val="231F20"/>
              </w:rPr>
              <w:t>/S/</w:t>
            </w:r>
          </w:p>
        </w:tc>
        <w:tc>
          <w:tcPr>
            <w:tcW w:w="2520" w:type="dxa"/>
            <w:vAlign w:val="bottom"/>
            <w:tcBorders>
              <w:bottom w:val="single" w:sz="8" w:color="231F20"/>
            </w:tcBorders>
          </w:tcPr>
          <w:p>
            <w:pPr>
              <w:jc w:val="center"/>
              <w:ind w:right="877"/>
              <w:spacing w:after="0"/>
              <w:rPr>
                <w:sz w:val="20"/>
                <w:szCs w:val="20"/>
                <w:color w:val="auto"/>
              </w:rPr>
            </w:pPr>
            <w:r>
              <w:rPr>
                <w:rFonts w:ascii="Times New Roman" w:cs="Times New Roman" w:eastAsia="Times New Roman" w:hAnsi="Times New Roman"/>
                <w:sz w:val="15"/>
                <w:szCs w:val="15"/>
                <w:color w:val="231F20"/>
              </w:rPr>
              <w:t>WINFIELD S. BROWN</w:t>
            </w:r>
          </w:p>
        </w:tc>
        <w:tc>
          <w:tcPr>
            <w:tcW w:w="220" w:type="dxa"/>
            <w:vAlign w:val="bottom"/>
            <w:vMerge w:val="restart"/>
          </w:tcPr>
          <w:p>
            <w:pPr>
              <w:spacing w:after="0"/>
              <w:rPr>
                <w:sz w:val="24"/>
                <w:szCs w:val="24"/>
                <w:color w:val="auto"/>
              </w:rPr>
            </w:pPr>
          </w:p>
        </w:tc>
        <w:tc>
          <w:tcPr>
            <w:tcW w:w="3660" w:type="dxa"/>
            <w:vAlign w:val="bottom"/>
            <w:vMerge w:val="restart"/>
          </w:tcPr>
          <w:p>
            <w:pPr>
              <w:spacing w:after="0"/>
              <w:rPr>
                <w:sz w:val="20"/>
                <w:szCs w:val="20"/>
                <w:color w:val="auto"/>
              </w:rPr>
            </w:pPr>
            <w:r>
              <w:rPr>
                <w:rFonts w:ascii="Times New Roman" w:cs="Times New Roman" w:eastAsia="Times New Roman" w:hAnsi="Times New Roman"/>
                <w:sz w:val="21"/>
                <w:szCs w:val="21"/>
                <w:color w:val="231F20"/>
              </w:rPr>
              <w:t>Director</w:t>
            </w:r>
          </w:p>
        </w:tc>
        <w:tc>
          <w:tcPr>
            <w:tcW w:w="220" w:type="dxa"/>
            <w:vAlign w:val="bottom"/>
            <w:vMerge w:val="restart"/>
          </w:tcPr>
          <w:p>
            <w:pPr>
              <w:spacing w:after="0"/>
              <w:rPr>
                <w:sz w:val="24"/>
                <w:szCs w:val="24"/>
                <w:color w:val="auto"/>
              </w:rPr>
            </w:pPr>
          </w:p>
        </w:tc>
        <w:tc>
          <w:tcPr>
            <w:tcW w:w="2920" w:type="dxa"/>
            <w:vAlign w:val="bottom"/>
            <w:vMerge w:val="restart"/>
          </w:tcPr>
          <w:p>
            <w:pPr>
              <w:ind w:left="740"/>
              <w:spacing w:after="0"/>
              <w:rPr>
                <w:sz w:val="20"/>
                <w:szCs w:val="20"/>
                <w:color w:val="auto"/>
              </w:rPr>
            </w:pPr>
            <w:r>
              <w:rPr>
                <w:rFonts w:ascii="Times New Roman" w:cs="Times New Roman" w:eastAsia="Times New Roman" w:hAnsi="Times New Roman"/>
                <w:sz w:val="21"/>
                <w:szCs w:val="21"/>
                <w:color w:val="231F20"/>
              </w:rPr>
              <w:t>February 9, 2026</w:t>
            </w:r>
          </w:p>
        </w:tc>
        <w:tc>
          <w:tcPr>
            <w:tcW w:w="0" w:type="dxa"/>
            <w:vAlign w:val="bottom"/>
          </w:tcPr>
          <w:p>
            <w:pPr>
              <w:spacing w:after="0"/>
              <w:rPr>
                <w:sz w:val="1"/>
                <w:szCs w:val="1"/>
                <w:color w:val="auto"/>
              </w:rPr>
            </w:pPr>
          </w:p>
        </w:tc>
      </w:tr>
      <w:tr>
        <w:trPr>
          <w:trHeight w:val="68"/>
        </w:trPr>
        <w:tc>
          <w:tcPr>
            <w:tcW w:w="1100" w:type="dxa"/>
            <w:vAlign w:val="bottom"/>
          </w:tcPr>
          <w:p>
            <w:pPr>
              <w:spacing w:after="0"/>
              <w:rPr>
                <w:sz w:val="5"/>
                <w:szCs w:val="5"/>
                <w:color w:val="auto"/>
              </w:rPr>
            </w:pPr>
          </w:p>
        </w:tc>
        <w:tc>
          <w:tcPr>
            <w:tcW w:w="2680" w:type="dxa"/>
            <w:vAlign w:val="bottom"/>
            <w:gridSpan w:val="2"/>
            <w:vMerge w:val="restart"/>
          </w:tcPr>
          <w:p>
            <w:pPr>
              <w:jc w:val="center"/>
              <w:ind w:right="1017"/>
              <w:spacing w:after="0"/>
              <w:rPr>
                <w:sz w:val="20"/>
                <w:szCs w:val="20"/>
                <w:color w:val="auto"/>
              </w:rPr>
            </w:pPr>
            <w:r>
              <w:rPr>
                <w:rFonts w:ascii="Times New Roman" w:cs="Times New Roman" w:eastAsia="Times New Roman" w:hAnsi="Times New Roman"/>
                <w:sz w:val="19"/>
                <w:szCs w:val="19"/>
                <w:b w:val="1"/>
                <w:bCs w:val="1"/>
                <w:color w:val="231F20"/>
                <w:w w:val="99"/>
              </w:rPr>
              <w:t>Winfield S. Brown</w:t>
            </w:r>
          </w:p>
        </w:tc>
        <w:tc>
          <w:tcPr>
            <w:tcW w:w="220" w:type="dxa"/>
            <w:vAlign w:val="bottom"/>
            <w:vMerge w:val="continue"/>
          </w:tcPr>
          <w:p>
            <w:pPr>
              <w:spacing w:after="0"/>
              <w:rPr>
                <w:sz w:val="5"/>
                <w:szCs w:val="5"/>
                <w:color w:val="auto"/>
              </w:rPr>
            </w:pPr>
          </w:p>
        </w:tc>
        <w:tc>
          <w:tcPr>
            <w:tcW w:w="366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1100" w:type="dxa"/>
            <w:vAlign w:val="bottom"/>
          </w:tcPr>
          <w:p>
            <w:pPr>
              <w:spacing w:after="0"/>
              <w:rPr>
                <w:sz w:val="16"/>
                <w:szCs w:val="16"/>
                <w:color w:val="auto"/>
              </w:rPr>
            </w:pPr>
          </w:p>
        </w:tc>
        <w:tc>
          <w:tcPr>
            <w:tcW w:w="26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1100" w:type="dxa"/>
            <w:vAlign w:val="bottom"/>
            <w:tcBorders>
              <w:bottom w:val="single" w:sz="8" w:color="231F20"/>
            </w:tcBorders>
          </w:tcPr>
          <w:p>
            <w:pPr>
              <w:spacing w:after="0"/>
              <w:rPr>
                <w:sz w:val="24"/>
                <w:szCs w:val="24"/>
                <w:color w:val="auto"/>
              </w:rPr>
            </w:pPr>
          </w:p>
        </w:tc>
        <w:tc>
          <w:tcPr>
            <w:tcW w:w="2680" w:type="dxa"/>
            <w:vAlign w:val="bottom"/>
            <w:tcBorders>
              <w:bottom w:val="single" w:sz="8" w:color="231F20"/>
            </w:tcBorders>
            <w:gridSpan w:val="2"/>
          </w:tcPr>
          <w:p>
            <w:pPr>
              <w:jc w:val="center"/>
              <w:ind w:right="1017"/>
              <w:spacing w:after="0"/>
              <w:rPr>
                <w:sz w:val="20"/>
                <w:szCs w:val="20"/>
                <w:color w:val="auto"/>
              </w:rPr>
            </w:pPr>
            <w:r>
              <w:rPr>
                <w:rFonts w:ascii="Times New Roman" w:cs="Times New Roman" w:eastAsia="Times New Roman" w:hAnsi="Times New Roman"/>
                <w:sz w:val="15"/>
                <w:szCs w:val="15"/>
                <w:color w:val="231F20"/>
              </w:rPr>
              <w:t>/S/  MARK H. COLLIN</w:t>
            </w:r>
          </w:p>
        </w:tc>
        <w:tc>
          <w:tcPr>
            <w:tcW w:w="220" w:type="dxa"/>
            <w:vAlign w:val="bottom"/>
            <w:vMerge w:val="restart"/>
          </w:tcPr>
          <w:p>
            <w:pPr>
              <w:spacing w:after="0"/>
              <w:rPr>
                <w:sz w:val="24"/>
                <w:szCs w:val="24"/>
                <w:color w:val="auto"/>
              </w:rPr>
            </w:pPr>
          </w:p>
        </w:tc>
        <w:tc>
          <w:tcPr>
            <w:tcW w:w="3660" w:type="dxa"/>
            <w:vAlign w:val="bottom"/>
            <w:vMerge w:val="restart"/>
          </w:tcPr>
          <w:p>
            <w:pPr>
              <w:spacing w:after="0"/>
              <w:rPr>
                <w:sz w:val="20"/>
                <w:szCs w:val="20"/>
                <w:color w:val="auto"/>
              </w:rPr>
            </w:pPr>
            <w:r>
              <w:rPr>
                <w:rFonts w:ascii="Times New Roman" w:cs="Times New Roman" w:eastAsia="Times New Roman" w:hAnsi="Times New Roman"/>
                <w:sz w:val="21"/>
                <w:szCs w:val="21"/>
                <w:color w:val="231F20"/>
              </w:rPr>
              <w:t>Director</w:t>
            </w:r>
          </w:p>
        </w:tc>
        <w:tc>
          <w:tcPr>
            <w:tcW w:w="220" w:type="dxa"/>
            <w:vAlign w:val="bottom"/>
            <w:vMerge w:val="restart"/>
          </w:tcPr>
          <w:p>
            <w:pPr>
              <w:spacing w:after="0"/>
              <w:rPr>
                <w:sz w:val="24"/>
                <w:szCs w:val="24"/>
                <w:color w:val="auto"/>
              </w:rPr>
            </w:pPr>
          </w:p>
        </w:tc>
        <w:tc>
          <w:tcPr>
            <w:tcW w:w="2920" w:type="dxa"/>
            <w:vAlign w:val="bottom"/>
            <w:vMerge w:val="restart"/>
          </w:tcPr>
          <w:p>
            <w:pPr>
              <w:ind w:left="740"/>
              <w:spacing w:after="0"/>
              <w:rPr>
                <w:sz w:val="20"/>
                <w:szCs w:val="20"/>
                <w:color w:val="auto"/>
              </w:rPr>
            </w:pPr>
            <w:r>
              <w:rPr>
                <w:rFonts w:ascii="Times New Roman" w:cs="Times New Roman" w:eastAsia="Times New Roman" w:hAnsi="Times New Roman"/>
                <w:sz w:val="21"/>
                <w:szCs w:val="21"/>
                <w:color w:val="231F20"/>
              </w:rPr>
              <w:t>February 9, 2026</w:t>
            </w:r>
          </w:p>
        </w:tc>
        <w:tc>
          <w:tcPr>
            <w:tcW w:w="0" w:type="dxa"/>
            <w:vAlign w:val="bottom"/>
          </w:tcPr>
          <w:p>
            <w:pPr>
              <w:spacing w:after="0"/>
              <w:rPr>
                <w:sz w:val="1"/>
                <w:szCs w:val="1"/>
                <w:color w:val="auto"/>
              </w:rPr>
            </w:pPr>
          </w:p>
        </w:tc>
      </w:tr>
      <w:tr>
        <w:trPr>
          <w:trHeight w:val="68"/>
        </w:trPr>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520" w:type="dxa"/>
            <w:vAlign w:val="bottom"/>
            <w:vMerge w:val="restart"/>
          </w:tcPr>
          <w:p>
            <w:pPr>
              <w:jc w:val="center"/>
              <w:ind w:right="1177"/>
              <w:spacing w:after="0"/>
              <w:rPr>
                <w:sz w:val="20"/>
                <w:szCs w:val="20"/>
                <w:color w:val="auto"/>
              </w:rPr>
            </w:pPr>
            <w:r>
              <w:rPr>
                <w:rFonts w:ascii="Times New Roman" w:cs="Times New Roman" w:eastAsia="Times New Roman" w:hAnsi="Times New Roman"/>
                <w:sz w:val="19"/>
                <w:szCs w:val="19"/>
                <w:b w:val="1"/>
                <w:bCs w:val="1"/>
                <w:color w:val="231F20"/>
              </w:rPr>
              <w:t>Mark H. Collin</w:t>
            </w:r>
          </w:p>
        </w:tc>
        <w:tc>
          <w:tcPr>
            <w:tcW w:w="220" w:type="dxa"/>
            <w:vAlign w:val="bottom"/>
            <w:vMerge w:val="continue"/>
          </w:tcPr>
          <w:p>
            <w:pPr>
              <w:spacing w:after="0"/>
              <w:rPr>
                <w:sz w:val="5"/>
                <w:szCs w:val="5"/>
                <w:color w:val="auto"/>
              </w:rPr>
            </w:pPr>
          </w:p>
        </w:tc>
        <w:tc>
          <w:tcPr>
            <w:tcW w:w="366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1260" w:type="dxa"/>
            <w:vAlign w:val="bottom"/>
            <w:tcBorders>
              <w:bottom w:val="single" w:sz="8" w:color="231F20"/>
            </w:tcBorders>
            <w:gridSpan w:val="2"/>
          </w:tcPr>
          <w:p>
            <w:pPr>
              <w:ind w:left="1080"/>
              <w:spacing w:after="0"/>
              <w:rPr>
                <w:sz w:val="20"/>
                <w:szCs w:val="20"/>
                <w:color w:val="auto"/>
              </w:rPr>
            </w:pPr>
            <w:r>
              <w:rPr>
                <w:rFonts w:ascii="Times New Roman" w:cs="Times New Roman" w:eastAsia="Times New Roman" w:hAnsi="Times New Roman"/>
                <w:sz w:val="15"/>
                <w:szCs w:val="15"/>
                <w:color w:val="231F20"/>
                <w:w w:val="95"/>
              </w:rPr>
              <w:t>/S/</w:t>
            </w:r>
          </w:p>
        </w:tc>
        <w:tc>
          <w:tcPr>
            <w:tcW w:w="2520" w:type="dxa"/>
            <w:vAlign w:val="bottom"/>
            <w:tcBorders>
              <w:bottom w:val="single" w:sz="8" w:color="231F20"/>
            </w:tcBorders>
          </w:tcPr>
          <w:p>
            <w:pPr>
              <w:jc w:val="center"/>
              <w:ind w:right="857"/>
              <w:spacing w:after="0"/>
              <w:rPr>
                <w:sz w:val="20"/>
                <w:szCs w:val="20"/>
                <w:color w:val="auto"/>
              </w:rPr>
            </w:pPr>
            <w:r>
              <w:rPr>
                <w:rFonts w:ascii="Times New Roman" w:cs="Times New Roman" w:eastAsia="Times New Roman" w:hAnsi="Times New Roman"/>
                <w:sz w:val="15"/>
                <w:szCs w:val="15"/>
                <w:color w:val="231F20"/>
              </w:rPr>
              <w:t>SUZANNE FOSTER</w:t>
            </w:r>
          </w:p>
        </w:tc>
        <w:tc>
          <w:tcPr>
            <w:tcW w:w="220" w:type="dxa"/>
            <w:vAlign w:val="bottom"/>
            <w:vMerge w:val="restart"/>
          </w:tcPr>
          <w:p>
            <w:pPr>
              <w:spacing w:after="0"/>
              <w:rPr>
                <w:sz w:val="24"/>
                <w:szCs w:val="24"/>
                <w:color w:val="auto"/>
              </w:rPr>
            </w:pPr>
          </w:p>
        </w:tc>
        <w:tc>
          <w:tcPr>
            <w:tcW w:w="3660" w:type="dxa"/>
            <w:vAlign w:val="bottom"/>
            <w:vMerge w:val="restart"/>
          </w:tcPr>
          <w:p>
            <w:pPr>
              <w:spacing w:after="0"/>
              <w:rPr>
                <w:sz w:val="20"/>
                <w:szCs w:val="20"/>
                <w:color w:val="auto"/>
              </w:rPr>
            </w:pPr>
            <w:r>
              <w:rPr>
                <w:rFonts w:ascii="Times New Roman" w:cs="Times New Roman" w:eastAsia="Times New Roman" w:hAnsi="Times New Roman"/>
                <w:sz w:val="21"/>
                <w:szCs w:val="21"/>
                <w:color w:val="231F20"/>
              </w:rPr>
              <w:t>Director</w:t>
            </w:r>
          </w:p>
        </w:tc>
        <w:tc>
          <w:tcPr>
            <w:tcW w:w="220" w:type="dxa"/>
            <w:vAlign w:val="bottom"/>
            <w:vMerge w:val="restart"/>
          </w:tcPr>
          <w:p>
            <w:pPr>
              <w:spacing w:after="0"/>
              <w:rPr>
                <w:sz w:val="24"/>
                <w:szCs w:val="24"/>
                <w:color w:val="auto"/>
              </w:rPr>
            </w:pPr>
          </w:p>
        </w:tc>
        <w:tc>
          <w:tcPr>
            <w:tcW w:w="2920" w:type="dxa"/>
            <w:vAlign w:val="bottom"/>
            <w:vMerge w:val="restart"/>
          </w:tcPr>
          <w:p>
            <w:pPr>
              <w:ind w:left="740"/>
              <w:spacing w:after="0"/>
              <w:rPr>
                <w:sz w:val="20"/>
                <w:szCs w:val="20"/>
                <w:color w:val="auto"/>
              </w:rPr>
            </w:pPr>
            <w:r>
              <w:rPr>
                <w:rFonts w:ascii="Times New Roman" w:cs="Times New Roman" w:eastAsia="Times New Roman" w:hAnsi="Times New Roman"/>
                <w:sz w:val="21"/>
                <w:szCs w:val="21"/>
                <w:color w:val="231F20"/>
              </w:rPr>
              <w:t>February 9, 2026</w:t>
            </w:r>
          </w:p>
        </w:tc>
        <w:tc>
          <w:tcPr>
            <w:tcW w:w="0" w:type="dxa"/>
            <w:vAlign w:val="bottom"/>
          </w:tcPr>
          <w:p>
            <w:pPr>
              <w:spacing w:after="0"/>
              <w:rPr>
                <w:sz w:val="1"/>
                <w:szCs w:val="1"/>
                <w:color w:val="auto"/>
              </w:rPr>
            </w:pPr>
          </w:p>
        </w:tc>
      </w:tr>
      <w:tr>
        <w:trPr>
          <w:trHeight w:val="68"/>
        </w:trPr>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520" w:type="dxa"/>
            <w:vAlign w:val="bottom"/>
            <w:vMerge w:val="restart"/>
          </w:tcPr>
          <w:p>
            <w:pPr>
              <w:jc w:val="center"/>
              <w:ind w:right="1177"/>
              <w:spacing w:after="0"/>
              <w:rPr>
                <w:sz w:val="20"/>
                <w:szCs w:val="20"/>
                <w:color w:val="auto"/>
              </w:rPr>
            </w:pPr>
            <w:r>
              <w:rPr>
                <w:rFonts w:ascii="Times New Roman" w:cs="Times New Roman" w:eastAsia="Times New Roman" w:hAnsi="Times New Roman"/>
                <w:sz w:val="19"/>
                <w:szCs w:val="19"/>
                <w:b w:val="1"/>
                <w:bCs w:val="1"/>
                <w:color w:val="231F20"/>
              </w:rPr>
              <w:t>Suzanne Foster</w:t>
            </w:r>
          </w:p>
        </w:tc>
        <w:tc>
          <w:tcPr>
            <w:tcW w:w="220" w:type="dxa"/>
            <w:vAlign w:val="bottom"/>
            <w:vMerge w:val="continue"/>
          </w:tcPr>
          <w:p>
            <w:pPr>
              <w:spacing w:after="0"/>
              <w:rPr>
                <w:sz w:val="5"/>
                <w:szCs w:val="5"/>
                <w:color w:val="auto"/>
              </w:rPr>
            </w:pPr>
          </w:p>
        </w:tc>
        <w:tc>
          <w:tcPr>
            <w:tcW w:w="366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0"/>
        </w:trPr>
        <w:tc>
          <w:tcPr>
            <w:tcW w:w="1260" w:type="dxa"/>
            <w:vAlign w:val="bottom"/>
            <w:tcBorders>
              <w:bottom w:val="single" w:sz="8" w:color="231F20"/>
            </w:tcBorders>
            <w:gridSpan w:val="2"/>
          </w:tcPr>
          <w:p>
            <w:pPr>
              <w:ind w:left="1040"/>
              <w:spacing w:after="0"/>
              <w:rPr>
                <w:sz w:val="20"/>
                <w:szCs w:val="20"/>
                <w:color w:val="auto"/>
              </w:rPr>
            </w:pPr>
            <w:r>
              <w:rPr>
                <w:rFonts w:ascii="Times New Roman" w:cs="Times New Roman" w:eastAsia="Times New Roman" w:hAnsi="Times New Roman"/>
                <w:sz w:val="15"/>
                <w:szCs w:val="15"/>
                <w:color w:val="231F20"/>
              </w:rPr>
              <w:t>/S/</w:t>
            </w:r>
          </w:p>
        </w:tc>
        <w:tc>
          <w:tcPr>
            <w:tcW w:w="2520" w:type="dxa"/>
            <w:vAlign w:val="bottom"/>
            <w:tcBorders>
              <w:bottom w:val="single" w:sz="8" w:color="231F20"/>
            </w:tcBorders>
          </w:tcPr>
          <w:p>
            <w:pPr>
              <w:jc w:val="center"/>
              <w:ind w:right="857"/>
              <w:spacing w:after="0"/>
              <w:rPr>
                <w:sz w:val="20"/>
                <w:szCs w:val="20"/>
                <w:color w:val="auto"/>
              </w:rPr>
            </w:pPr>
            <w:r>
              <w:rPr>
                <w:rFonts w:ascii="Times New Roman" w:cs="Times New Roman" w:eastAsia="Times New Roman" w:hAnsi="Times New Roman"/>
                <w:sz w:val="15"/>
                <w:szCs w:val="15"/>
                <w:color w:val="231F20"/>
                <w:w w:val="98"/>
              </w:rPr>
              <w:t>MICHAEL B. GREEN</w:t>
            </w:r>
          </w:p>
        </w:tc>
        <w:tc>
          <w:tcPr>
            <w:tcW w:w="2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1"/>
                <w:szCs w:val="21"/>
                <w:color w:val="231F20"/>
              </w:rPr>
              <w:t>Director</w:t>
            </w:r>
          </w:p>
        </w:tc>
        <w:tc>
          <w:tcPr>
            <w:tcW w:w="220" w:type="dxa"/>
            <w:vAlign w:val="bottom"/>
          </w:tcPr>
          <w:p>
            <w:pPr>
              <w:spacing w:after="0"/>
              <w:rPr>
                <w:sz w:val="24"/>
                <w:szCs w:val="24"/>
                <w:color w:val="auto"/>
              </w:rPr>
            </w:pPr>
          </w:p>
        </w:tc>
        <w:tc>
          <w:tcPr>
            <w:tcW w:w="2920" w:type="dxa"/>
            <w:vAlign w:val="bottom"/>
          </w:tcPr>
          <w:p>
            <w:pPr>
              <w:ind w:left="740"/>
              <w:spacing w:after="0"/>
              <w:rPr>
                <w:sz w:val="20"/>
                <w:szCs w:val="20"/>
                <w:color w:val="auto"/>
              </w:rPr>
            </w:pPr>
            <w:r>
              <w:rPr>
                <w:rFonts w:ascii="Times New Roman" w:cs="Times New Roman" w:eastAsia="Times New Roman" w:hAnsi="Times New Roman"/>
                <w:sz w:val="21"/>
                <w:szCs w:val="21"/>
                <w:color w:val="231F20"/>
              </w:rPr>
              <w:t>February 9, 2026</w:t>
            </w:r>
          </w:p>
        </w:tc>
        <w:tc>
          <w:tcPr>
            <w:tcW w:w="0" w:type="dxa"/>
            <w:vAlign w:val="bottom"/>
          </w:tcPr>
          <w:p>
            <w:pPr>
              <w:spacing w:after="0"/>
              <w:rPr>
                <w:sz w:val="1"/>
                <w:szCs w:val="1"/>
                <w:color w:val="auto"/>
              </w:rPr>
            </w:pPr>
          </w:p>
        </w:tc>
      </w:tr>
      <w:tr>
        <w:trPr>
          <w:trHeight w:val="256"/>
        </w:trPr>
        <w:tc>
          <w:tcPr>
            <w:tcW w:w="1100" w:type="dxa"/>
            <w:vAlign w:val="bottom"/>
          </w:tcPr>
          <w:p>
            <w:pPr>
              <w:spacing w:after="0"/>
              <w:rPr>
                <w:sz w:val="22"/>
                <w:szCs w:val="22"/>
                <w:color w:val="auto"/>
              </w:rPr>
            </w:pPr>
          </w:p>
        </w:tc>
        <w:tc>
          <w:tcPr>
            <w:tcW w:w="2680" w:type="dxa"/>
            <w:vAlign w:val="bottom"/>
            <w:gridSpan w:val="2"/>
          </w:tcPr>
          <w:p>
            <w:pPr>
              <w:jc w:val="center"/>
              <w:ind w:right="1017"/>
              <w:spacing w:after="0"/>
              <w:rPr>
                <w:sz w:val="20"/>
                <w:szCs w:val="20"/>
                <w:color w:val="auto"/>
              </w:rPr>
            </w:pPr>
            <w:r>
              <w:rPr>
                <w:rFonts w:ascii="Times New Roman" w:cs="Times New Roman" w:eastAsia="Times New Roman" w:hAnsi="Times New Roman"/>
                <w:sz w:val="19"/>
                <w:szCs w:val="19"/>
                <w:b w:val="1"/>
                <w:bCs w:val="1"/>
                <w:color w:val="231F20"/>
                <w:w w:val="99"/>
              </w:rPr>
              <w:t>Michael B. Green</w:t>
            </w:r>
          </w:p>
        </w:tc>
        <w:tc>
          <w:tcPr>
            <w:tcW w:w="2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0"/>
        </w:trPr>
        <w:tc>
          <w:tcPr>
            <w:tcW w:w="1100" w:type="dxa"/>
            <w:vAlign w:val="bottom"/>
            <w:tcBorders>
              <w:bottom w:val="single" w:sz="8" w:color="231F20"/>
            </w:tcBorders>
          </w:tcPr>
          <w:p>
            <w:pPr>
              <w:ind w:left="920"/>
              <w:spacing w:after="0"/>
              <w:rPr>
                <w:sz w:val="20"/>
                <w:szCs w:val="20"/>
                <w:color w:val="auto"/>
              </w:rPr>
            </w:pPr>
            <w:r>
              <w:rPr>
                <w:rFonts w:ascii="Times New Roman" w:cs="Times New Roman" w:eastAsia="Times New Roman" w:hAnsi="Times New Roman"/>
                <w:sz w:val="15"/>
                <w:szCs w:val="15"/>
                <w:color w:val="231F20"/>
                <w:w w:val="95"/>
              </w:rPr>
              <w:t>/S/</w:t>
            </w:r>
          </w:p>
        </w:tc>
        <w:tc>
          <w:tcPr>
            <w:tcW w:w="2680" w:type="dxa"/>
            <w:vAlign w:val="bottom"/>
            <w:tcBorders>
              <w:bottom w:val="single" w:sz="8" w:color="231F20"/>
            </w:tcBorders>
            <w:gridSpan w:val="2"/>
          </w:tcPr>
          <w:p>
            <w:pPr>
              <w:jc w:val="center"/>
              <w:ind w:right="697"/>
              <w:spacing w:after="0"/>
              <w:rPr>
                <w:sz w:val="20"/>
                <w:szCs w:val="20"/>
                <w:color w:val="auto"/>
              </w:rPr>
            </w:pPr>
            <w:r>
              <w:rPr>
                <w:rFonts w:ascii="Times New Roman" w:cs="Times New Roman" w:eastAsia="Times New Roman" w:hAnsi="Times New Roman"/>
                <w:sz w:val="15"/>
                <w:szCs w:val="15"/>
                <w:color w:val="231F20"/>
              </w:rPr>
              <w:t>KATHERINE KOUNTZE</w:t>
            </w:r>
          </w:p>
        </w:tc>
        <w:tc>
          <w:tcPr>
            <w:tcW w:w="220" w:type="dxa"/>
            <w:vAlign w:val="bottom"/>
            <w:vMerge w:val="restart"/>
          </w:tcPr>
          <w:p>
            <w:pPr>
              <w:spacing w:after="0"/>
              <w:rPr>
                <w:sz w:val="24"/>
                <w:szCs w:val="24"/>
                <w:color w:val="auto"/>
              </w:rPr>
            </w:pPr>
          </w:p>
        </w:tc>
        <w:tc>
          <w:tcPr>
            <w:tcW w:w="3660" w:type="dxa"/>
            <w:vAlign w:val="bottom"/>
            <w:vMerge w:val="restart"/>
          </w:tcPr>
          <w:p>
            <w:pPr>
              <w:spacing w:after="0"/>
              <w:rPr>
                <w:sz w:val="20"/>
                <w:szCs w:val="20"/>
                <w:color w:val="auto"/>
              </w:rPr>
            </w:pPr>
            <w:r>
              <w:rPr>
                <w:rFonts w:ascii="Times New Roman" w:cs="Times New Roman" w:eastAsia="Times New Roman" w:hAnsi="Times New Roman"/>
                <w:sz w:val="21"/>
                <w:szCs w:val="21"/>
                <w:color w:val="231F20"/>
              </w:rPr>
              <w:t>Director</w:t>
            </w:r>
          </w:p>
        </w:tc>
        <w:tc>
          <w:tcPr>
            <w:tcW w:w="220" w:type="dxa"/>
            <w:vAlign w:val="bottom"/>
            <w:vMerge w:val="restart"/>
          </w:tcPr>
          <w:p>
            <w:pPr>
              <w:spacing w:after="0"/>
              <w:rPr>
                <w:sz w:val="24"/>
                <w:szCs w:val="24"/>
                <w:color w:val="auto"/>
              </w:rPr>
            </w:pPr>
          </w:p>
        </w:tc>
        <w:tc>
          <w:tcPr>
            <w:tcW w:w="2920" w:type="dxa"/>
            <w:vAlign w:val="bottom"/>
            <w:vMerge w:val="restart"/>
          </w:tcPr>
          <w:p>
            <w:pPr>
              <w:ind w:left="740"/>
              <w:spacing w:after="0"/>
              <w:rPr>
                <w:sz w:val="20"/>
                <w:szCs w:val="20"/>
                <w:color w:val="auto"/>
              </w:rPr>
            </w:pPr>
            <w:r>
              <w:rPr>
                <w:rFonts w:ascii="Times New Roman" w:cs="Times New Roman" w:eastAsia="Times New Roman" w:hAnsi="Times New Roman"/>
                <w:sz w:val="21"/>
                <w:szCs w:val="21"/>
                <w:color w:val="231F20"/>
              </w:rPr>
              <w:t>February 9, 2026</w:t>
            </w:r>
          </w:p>
        </w:tc>
        <w:tc>
          <w:tcPr>
            <w:tcW w:w="0" w:type="dxa"/>
            <w:vAlign w:val="bottom"/>
          </w:tcPr>
          <w:p>
            <w:pPr>
              <w:spacing w:after="0"/>
              <w:rPr>
                <w:sz w:val="1"/>
                <w:szCs w:val="1"/>
                <w:color w:val="auto"/>
              </w:rPr>
            </w:pPr>
          </w:p>
        </w:tc>
      </w:tr>
      <w:tr>
        <w:trPr>
          <w:trHeight w:val="68"/>
        </w:trPr>
        <w:tc>
          <w:tcPr>
            <w:tcW w:w="1100" w:type="dxa"/>
            <w:vAlign w:val="bottom"/>
          </w:tcPr>
          <w:p>
            <w:pPr>
              <w:spacing w:after="0"/>
              <w:rPr>
                <w:sz w:val="5"/>
                <w:szCs w:val="5"/>
                <w:color w:val="auto"/>
              </w:rPr>
            </w:pPr>
          </w:p>
        </w:tc>
        <w:tc>
          <w:tcPr>
            <w:tcW w:w="2680" w:type="dxa"/>
            <w:vAlign w:val="bottom"/>
            <w:gridSpan w:val="2"/>
            <w:vMerge w:val="restart"/>
          </w:tcPr>
          <w:p>
            <w:pPr>
              <w:jc w:val="center"/>
              <w:ind w:right="1017"/>
              <w:spacing w:after="0"/>
              <w:rPr>
                <w:sz w:val="20"/>
                <w:szCs w:val="20"/>
                <w:color w:val="auto"/>
              </w:rPr>
            </w:pPr>
            <w:r>
              <w:rPr>
                <w:rFonts w:ascii="Times New Roman" w:cs="Times New Roman" w:eastAsia="Times New Roman" w:hAnsi="Times New Roman"/>
                <w:sz w:val="19"/>
                <w:szCs w:val="19"/>
                <w:b w:val="1"/>
                <w:bCs w:val="1"/>
                <w:color w:val="231F20"/>
                <w:w w:val="98"/>
              </w:rPr>
              <w:t>Katherine Kountze</w:t>
            </w:r>
          </w:p>
        </w:tc>
        <w:tc>
          <w:tcPr>
            <w:tcW w:w="220" w:type="dxa"/>
            <w:vAlign w:val="bottom"/>
            <w:vMerge w:val="continue"/>
          </w:tcPr>
          <w:p>
            <w:pPr>
              <w:spacing w:after="0"/>
              <w:rPr>
                <w:sz w:val="5"/>
                <w:szCs w:val="5"/>
                <w:color w:val="auto"/>
              </w:rPr>
            </w:pPr>
          </w:p>
        </w:tc>
        <w:tc>
          <w:tcPr>
            <w:tcW w:w="366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1100" w:type="dxa"/>
            <w:vAlign w:val="bottom"/>
          </w:tcPr>
          <w:p>
            <w:pPr>
              <w:spacing w:after="0"/>
              <w:rPr>
                <w:sz w:val="16"/>
                <w:szCs w:val="16"/>
                <w:color w:val="auto"/>
              </w:rPr>
            </w:pPr>
          </w:p>
        </w:tc>
        <w:tc>
          <w:tcPr>
            <w:tcW w:w="26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1100" w:type="dxa"/>
            <w:vAlign w:val="bottom"/>
            <w:tcBorders>
              <w:bottom w:val="single" w:sz="8" w:color="231F20"/>
            </w:tcBorders>
          </w:tcPr>
          <w:p>
            <w:pPr>
              <w:ind w:left="880"/>
              <w:spacing w:after="0"/>
              <w:rPr>
                <w:sz w:val="20"/>
                <w:szCs w:val="20"/>
                <w:color w:val="auto"/>
              </w:rPr>
            </w:pPr>
            <w:r>
              <w:rPr>
                <w:rFonts w:ascii="Times New Roman" w:cs="Times New Roman" w:eastAsia="Times New Roman" w:hAnsi="Times New Roman"/>
                <w:sz w:val="15"/>
                <w:szCs w:val="15"/>
                <w:color w:val="231F20"/>
              </w:rPr>
              <w:t>/S/</w:t>
            </w:r>
          </w:p>
        </w:tc>
        <w:tc>
          <w:tcPr>
            <w:tcW w:w="2680" w:type="dxa"/>
            <w:vAlign w:val="bottom"/>
            <w:tcBorders>
              <w:bottom w:val="single" w:sz="8" w:color="231F20"/>
            </w:tcBorders>
            <w:gridSpan w:val="2"/>
          </w:tcPr>
          <w:p>
            <w:pPr>
              <w:jc w:val="center"/>
              <w:ind w:right="697"/>
              <w:spacing w:after="0"/>
              <w:rPr>
                <w:sz w:val="20"/>
                <w:szCs w:val="20"/>
                <w:color w:val="auto"/>
              </w:rPr>
            </w:pPr>
            <w:r>
              <w:rPr>
                <w:rFonts w:ascii="Times New Roman" w:cs="Times New Roman" w:eastAsia="Times New Roman" w:hAnsi="Times New Roman"/>
                <w:sz w:val="15"/>
                <w:szCs w:val="15"/>
                <w:color w:val="231F20"/>
              </w:rPr>
              <w:t>JANE LEWIS-RAYMOND</w:t>
            </w:r>
          </w:p>
        </w:tc>
        <w:tc>
          <w:tcPr>
            <w:tcW w:w="220" w:type="dxa"/>
            <w:vAlign w:val="bottom"/>
            <w:vMerge w:val="restart"/>
          </w:tcPr>
          <w:p>
            <w:pPr>
              <w:spacing w:after="0"/>
              <w:rPr>
                <w:sz w:val="24"/>
                <w:szCs w:val="24"/>
                <w:color w:val="auto"/>
              </w:rPr>
            </w:pPr>
          </w:p>
        </w:tc>
        <w:tc>
          <w:tcPr>
            <w:tcW w:w="3660" w:type="dxa"/>
            <w:vAlign w:val="bottom"/>
            <w:vMerge w:val="restart"/>
          </w:tcPr>
          <w:p>
            <w:pPr>
              <w:spacing w:after="0"/>
              <w:rPr>
                <w:sz w:val="20"/>
                <w:szCs w:val="20"/>
                <w:color w:val="auto"/>
              </w:rPr>
            </w:pPr>
            <w:r>
              <w:rPr>
                <w:rFonts w:ascii="Times New Roman" w:cs="Times New Roman" w:eastAsia="Times New Roman" w:hAnsi="Times New Roman"/>
                <w:sz w:val="21"/>
                <w:szCs w:val="21"/>
                <w:color w:val="231F20"/>
              </w:rPr>
              <w:t>Director</w:t>
            </w:r>
          </w:p>
        </w:tc>
        <w:tc>
          <w:tcPr>
            <w:tcW w:w="220" w:type="dxa"/>
            <w:vAlign w:val="bottom"/>
            <w:vMerge w:val="restart"/>
          </w:tcPr>
          <w:p>
            <w:pPr>
              <w:spacing w:after="0"/>
              <w:rPr>
                <w:sz w:val="24"/>
                <w:szCs w:val="24"/>
                <w:color w:val="auto"/>
              </w:rPr>
            </w:pPr>
          </w:p>
        </w:tc>
        <w:tc>
          <w:tcPr>
            <w:tcW w:w="2920" w:type="dxa"/>
            <w:vAlign w:val="bottom"/>
            <w:vMerge w:val="restart"/>
          </w:tcPr>
          <w:p>
            <w:pPr>
              <w:ind w:left="740"/>
              <w:spacing w:after="0"/>
              <w:rPr>
                <w:sz w:val="20"/>
                <w:szCs w:val="20"/>
                <w:color w:val="auto"/>
              </w:rPr>
            </w:pPr>
            <w:r>
              <w:rPr>
                <w:rFonts w:ascii="Times New Roman" w:cs="Times New Roman" w:eastAsia="Times New Roman" w:hAnsi="Times New Roman"/>
                <w:sz w:val="21"/>
                <w:szCs w:val="21"/>
                <w:color w:val="231F20"/>
              </w:rPr>
              <w:t>February 9, 2026</w:t>
            </w:r>
          </w:p>
        </w:tc>
        <w:tc>
          <w:tcPr>
            <w:tcW w:w="0" w:type="dxa"/>
            <w:vAlign w:val="bottom"/>
          </w:tcPr>
          <w:p>
            <w:pPr>
              <w:spacing w:after="0"/>
              <w:rPr>
                <w:sz w:val="1"/>
                <w:szCs w:val="1"/>
                <w:color w:val="auto"/>
              </w:rPr>
            </w:pPr>
          </w:p>
        </w:tc>
      </w:tr>
      <w:tr>
        <w:trPr>
          <w:trHeight w:val="68"/>
        </w:trPr>
        <w:tc>
          <w:tcPr>
            <w:tcW w:w="37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231F20"/>
                <w:w w:val="98"/>
              </w:rPr>
              <w:t>Jane Lewis-Raymond</w:t>
            </w:r>
          </w:p>
        </w:tc>
        <w:tc>
          <w:tcPr>
            <w:tcW w:w="220" w:type="dxa"/>
            <w:vAlign w:val="bottom"/>
            <w:vMerge w:val="continue"/>
          </w:tcPr>
          <w:p>
            <w:pPr>
              <w:spacing w:after="0"/>
              <w:rPr>
                <w:sz w:val="5"/>
                <w:szCs w:val="5"/>
                <w:color w:val="auto"/>
              </w:rPr>
            </w:pPr>
          </w:p>
        </w:tc>
        <w:tc>
          <w:tcPr>
            <w:tcW w:w="366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378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5"/>
        </w:trPr>
        <w:tc>
          <w:tcPr>
            <w:tcW w:w="1100" w:type="dxa"/>
            <w:vAlign w:val="bottom"/>
            <w:tcBorders>
              <w:bottom w:val="single" w:sz="8" w:color="231F20"/>
            </w:tcBorders>
          </w:tcPr>
          <w:p>
            <w:pPr>
              <w:spacing w:after="0"/>
              <w:rPr>
                <w:sz w:val="24"/>
                <w:szCs w:val="24"/>
                <w:color w:val="auto"/>
              </w:rPr>
            </w:pPr>
          </w:p>
        </w:tc>
        <w:tc>
          <w:tcPr>
            <w:tcW w:w="2680" w:type="dxa"/>
            <w:vAlign w:val="bottom"/>
            <w:tcBorders>
              <w:bottom w:val="single" w:sz="8" w:color="231F20"/>
            </w:tcBorders>
            <w:gridSpan w:val="2"/>
          </w:tcPr>
          <w:p>
            <w:pPr>
              <w:jc w:val="center"/>
              <w:ind w:right="1017"/>
              <w:spacing w:after="0"/>
              <w:rPr>
                <w:sz w:val="20"/>
                <w:szCs w:val="20"/>
                <w:color w:val="auto"/>
              </w:rPr>
            </w:pPr>
            <w:r>
              <w:rPr>
                <w:rFonts w:ascii="Times New Roman" w:cs="Times New Roman" w:eastAsia="Times New Roman" w:hAnsi="Times New Roman"/>
                <w:sz w:val="15"/>
                <w:szCs w:val="15"/>
                <w:color w:val="231F20"/>
              </w:rPr>
              <w:t>/S/  JUSTINE VOGEL</w:t>
            </w:r>
          </w:p>
        </w:tc>
        <w:tc>
          <w:tcPr>
            <w:tcW w:w="2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1"/>
                <w:szCs w:val="21"/>
                <w:color w:val="231F20"/>
              </w:rPr>
              <w:t>Director</w:t>
            </w:r>
          </w:p>
        </w:tc>
        <w:tc>
          <w:tcPr>
            <w:tcW w:w="220" w:type="dxa"/>
            <w:vAlign w:val="bottom"/>
          </w:tcPr>
          <w:p>
            <w:pPr>
              <w:spacing w:after="0"/>
              <w:rPr>
                <w:sz w:val="24"/>
                <w:szCs w:val="24"/>
                <w:color w:val="auto"/>
              </w:rPr>
            </w:pPr>
          </w:p>
        </w:tc>
        <w:tc>
          <w:tcPr>
            <w:tcW w:w="2920" w:type="dxa"/>
            <w:vAlign w:val="bottom"/>
          </w:tcPr>
          <w:p>
            <w:pPr>
              <w:ind w:left="740"/>
              <w:spacing w:after="0"/>
              <w:rPr>
                <w:sz w:val="20"/>
                <w:szCs w:val="20"/>
                <w:color w:val="auto"/>
              </w:rPr>
            </w:pPr>
            <w:r>
              <w:rPr>
                <w:rFonts w:ascii="Times New Roman" w:cs="Times New Roman" w:eastAsia="Times New Roman" w:hAnsi="Times New Roman"/>
                <w:sz w:val="21"/>
                <w:szCs w:val="21"/>
                <w:color w:val="231F20"/>
              </w:rPr>
              <w:t>February 9, 2026</w:t>
            </w:r>
          </w:p>
        </w:tc>
        <w:tc>
          <w:tcPr>
            <w:tcW w:w="0" w:type="dxa"/>
            <w:vAlign w:val="bottom"/>
          </w:tcPr>
          <w:p>
            <w:pPr>
              <w:spacing w:after="0"/>
              <w:rPr>
                <w:sz w:val="1"/>
                <w:szCs w:val="1"/>
                <w:color w:val="auto"/>
              </w:rPr>
            </w:pPr>
          </w:p>
        </w:tc>
      </w:tr>
      <w:tr>
        <w:trPr>
          <w:trHeight w:val="261"/>
        </w:trPr>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520" w:type="dxa"/>
            <w:vAlign w:val="bottom"/>
          </w:tcPr>
          <w:p>
            <w:pPr>
              <w:jc w:val="center"/>
              <w:ind w:right="1177"/>
              <w:spacing w:after="0"/>
              <w:rPr>
                <w:sz w:val="20"/>
                <w:szCs w:val="20"/>
                <w:color w:val="auto"/>
              </w:rPr>
            </w:pPr>
            <w:r>
              <w:rPr>
                <w:rFonts w:ascii="Times New Roman" w:cs="Times New Roman" w:eastAsia="Times New Roman" w:hAnsi="Times New Roman"/>
                <w:sz w:val="19"/>
                <w:szCs w:val="19"/>
                <w:b w:val="1"/>
                <w:bCs w:val="1"/>
                <w:color w:val="231F20"/>
              </w:rPr>
              <w:t>Justine Vogel</w:t>
            </w:r>
          </w:p>
        </w:tc>
        <w:tc>
          <w:tcPr>
            <w:tcW w:w="2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1"/>
        </w:trPr>
        <w:tc>
          <w:tcPr>
            <w:tcW w:w="1260" w:type="dxa"/>
            <w:vAlign w:val="bottom"/>
            <w:tcBorders>
              <w:bottom w:val="single" w:sz="8" w:color="231F20"/>
            </w:tcBorders>
            <w:gridSpan w:val="2"/>
          </w:tcPr>
          <w:p>
            <w:pPr>
              <w:ind w:left="1000"/>
              <w:spacing w:after="0"/>
              <w:rPr>
                <w:sz w:val="20"/>
                <w:szCs w:val="20"/>
                <w:color w:val="auto"/>
              </w:rPr>
            </w:pPr>
            <w:r>
              <w:rPr>
                <w:rFonts w:ascii="Times New Roman" w:cs="Times New Roman" w:eastAsia="Times New Roman" w:hAnsi="Times New Roman"/>
                <w:sz w:val="15"/>
                <w:szCs w:val="15"/>
                <w:color w:val="231F20"/>
              </w:rPr>
              <w:t>/S/</w:t>
            </w:r>
          </w:p>
        </w:tc>
        <w:tc>
          <w:tcPr>
            <w:tcW w:w="2520" w:type="dxa"/>
            <w:vAlign w:val="bottom"/>
            <w:tcBorders>
              <w:bottom w:val="single" w:sz="8" w:color="231F20"/>
            </w:tcBorders>
          </w:tcPr>
          <w:p>
            <w:pPr>
              <w:jc w:val="center"/>
              <w:ind w:right="877"/>
              <w:spacing w:after="0"/>
              <w:rPr>
                <w:sz w:val="20"/>
                <w:szCs w:val="20"/>
                <w:color w:val="auto"/>
              </w:rPr>
            </w:pPr>
            <w:r>
              <w:rPr>
                <w:rFonts w:ascii="Times New Roman" w:cs="Times New Roman" w:eastAsia="Times New Roman" w:hAnsi="Times New Roman"/>
                <w:sz w:val="15"/>
                <w:szCs w:val="15"/>
                <w:color w:val="231F20"/>
              </w:rPr>
              <w:t>DAVID A. WHITELEY</w:t>
            </w:r>
          </w:p>
        </w:tc>
        <w:tc>
          <w:tcPr>
            <w:tcW w:w="2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1"/>
                <w:szCs w:val="21"/>
                <w:color w:val="231F20"/>
              </w:rPr>
              <w:t>Director</w:t>
            </w:r>
          </w:p>
        </w:tc>
        <w:tc>
          <w:tcPr>
            <w:tcW w:w="220" w:type="dxa"/>
            <w:vAlign w:val="bottom"/>
          </w:tcPr>
          <w:p>
            <w:pPr>
              <w:spacing w:after="0"/>
              <w:rPr>
                <w:sz w:val="24"/>
                <w:szCs w:val="24"/>
                <w:color w:val="auto"/>
              </w:rPr>
            </w:pPr>
          </w:p>
        </w:tc>
        <w:tc>
          <w:tcPr>
            <w:tcW w:w="2920" w:type="dxa"/>
            <w:vAlign w:val="bottom"/>
          </w:tcPr>
          <w:p>
            <w:pPr>
              <w:ind w:left="740"/>
              <w:spacing w:after="0"/>
              <w:rPr>
                <w:sz w:val="20"/>
                <w:szCs w:val="20"/>
                <w:color w:val="auto"/>
              </w:rPr>
            </w:pPr>
            <w:r>
              <w:rPr>
                <w:rFonts w:ascii="Times New Roman" w:cs="Times New Roman" w:eastAsia="Times New Roman" w:hAnsi="Times New Roman"/>
                <w:sz w:val="21"/>
                <w:szCs w:val="21"/>
                <w:color w:val="231F20"/>
              </w:rPr>
              <w:t>February 9, 2026</w:t>
            </w:r>
          </w:p>
        </w:tc>
        <w:tc>
          <w:tcPr>
            <w:tcW w:w="0" w:type="dxa"/>
            <w:vAlign w:val="bottom"/>
          </w:tcPr>
          <w:p>
            <w:pPr>
              <w:spacing w:after="0"/>
              <w:rPr>
                <w:sz w:val="1"/>
                <w:szCs w:val="1"/>
                <w:color w:val="auto"/>
              </w:rPr>
            </w:pPr>
          </w:p>
        </w:tc>
      </w:tr>
      <w:tr>
        <w:trPr>
          <w:trHeight w:val="261"/>
        </w:trPr>
        <w:tc>
          <w:tcPr>
            <w:tcW w:w="1100" w:type="dxa"/>
            <w:vAlign w:val="bottom"/>
          </w:tcPr>
          <w:p>
            <w:pPr>
              <w:spacing w:after="0"/>
              <w:rPr>
                <w:sz w:val="22"/>
                <w:szCs w:val="22"/>
                <w:color w:val="auto"/>
              </w:rPr>
            </w:pPr>
          </w:p>
        </w:tc>
        <w:tc>
          <w:tcPr>
            <w:tcW w:w="2680" w:type="dxa"/>
            <w:vAlign w:val="bottom"/>
            <w:gridSpan w:val="2"/>
          </w:tcPr>
          <w:p>
            <w:pPr>
              <w:jc w:val="center"/>
              <w:ind w:right="1017"/>
              <w:spacing w:after="0"/>
              <w:rPr>
                <w:sz w:val="20"/>
                <w:szCs w:val="20"/>
                <w:color w:val="auto"/>
              </w:rPr>
            </w:pPr>
            <w:r>
              <w:rPr>
                <w:rFonts w:ascii="Times New Roman" w:cs="Times New Roman" w:eastAsia="Times New Roman" w:hAnsi="Times New Roman"/>
                <w:sz w:val="19"/>
                <w:szCs w:val="19"/>
                <w:b w:val="1"/>
                <w:bCs w:val="1"/>
                <w:color w:val="231F20"/>
              </w:rPr>
              <w:t>David A. Whiteley</w:t>
            </w:r>
          </w:p>
        </w:tc>
        <w:tc>
          <w:tcPr>
            <w:tcW w:w="2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24" w:right="720" w:bottom="1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231F20"/>
        </w:rPr>
        <w:t>104</w:t>
      </w:r>
    </w:p>
    <w:p>
      <w:pPr>
        <w:sectPr>
          <w:pgSz w:w="12240" w:h="15840" w:orient="portrait"/>
          <w:cols w:equalWidth="0" w:num="1">
            <w:col w:w="10800"/>
          </w:cols>
          <w:pgMar w:left="720" w:top="924" w:right="720" w:bottom="176" w:gutter="0" w:footer="0" w:header="0"/>
          <w:type w:val="continuous"/>
        </w:sectPr>
      </w:pPr>
    </w:p>
    <w:bookmarkStart w:id="124" w:name="page125"/>
    <w:bookmarkEnd w:id="124"/>
    <w:p>
      <w:pPr>
        <w:jc w:val="right"/>
        <w:spacing w:after="0"/>
        <w:rPr>
          <w:sz w:val="20"/>
          <w:szCs w:val="20"/>
          <w:color w:val="auto"/>
        </w:rPr>
      </w:pPr>
      <w:r>
        <w:rPr>
          <w:rFonts w:ascii="Times New Roman" w:cs="Times New Roman" w:eastAsia="Times New Roman" w:hAnsi="Times New Roman"/>
          <w:sz w:val="20"/>
          <w:szCs w:val="20"/>
          <w:b w:val="1"/>
          <w:bCs w:val="1"/>
          <w:color w:val="231F20"/>
        </w:rPr>
        <w:t>Exhibit 21.1</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Subsidiaries of Registrant</w:t>
      </w:r>
    </w:p>
    <w:p>
      <w:pPr>
        <w:spacing w:after="0" w:line="200" w:lineRule="exact"/>
        <w:rPr>
          <w:sz w:val="20"/>
          <w:szCs w:val="20"/>
          <w:color w:val="auto"/>
        </w:rPr>
      </w:pPr>
    </w:p>
    <w:p>
      <w:pPr>
        <w:spacing w:after="0" w:line="272"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231F20"/>
        </w:rPr>
        <w:t>The Company or the registrant has eleven wholly-owned subsidiaries, eight of which are corporations organized under the laws of the State of New Hampshire: Unitil Energy Systems, Inc., Northern Utilities, Inc., Granite State Gas Transmission, Inc., Unitil Power Corp., Unitil Realty Corp., Unitil Resources, Inc., Unitil Service Corp., and Unitil Water Corp. The ninth subsidiary, Fitchburg Gas and Electric Light Company, is organized under the laws of the Commonwealth of Massachusetts. On January 31, 2025, the Company acquired the tenth subsidiary, Bangor Natural Gas Company, and on October 31, 2025, the Company acquired the eleventh subsidiary, Maine Natural Gas Corporation, both of which are organized under the laws of the State of Maine.</w:t>
      </w:r>
    </w:p>
    <w:p>
      <w:pPr>
        <w:sectPr>
          <w:pgSz w:w="12240" w:h="15840" w:orient="portrait"/>
          <w:cols w:equalWidth="0" w:num="1">
            <w:col w:w="10100"/>
          </w:cols>
          <w:pgMar w:left="1080" w:top="1300" w:right="1060" w:bottom="1440" w:gutter="0" w:footer="0" w:header="0"/>
        </w:sectPr>
      </w:pPr>
    </w:p>
    <w:bookmarkStart w:id="125" w:name="page126"/>
    <w:bookmarkEnd w:id="1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231F20"/>
        </w:rPr>
        <w:t>Exhibit 23.1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CONSENT OF INDEPENDENT REGISTERED PUBLIC ACCOUNTING FIRM</w:t>
      </w:r>
    </w:p>
    <w:p>
      <w:pPr>
        <w:spacing w:after="0" w:line="200" w:lineRule="exact"/>
        <w:rPr>
          <w:sz w:val="20"/>
          <w:szCs w:val="20"/>
          <w:color w:val="auto"/>
        </w:rPr>
      </w:pPr>
    </w:p>
    <w:p>
      <w:pPr>
        <w:spacing w:after="0" w:line="25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231F20"/>
        </w:rPr>
        <w:t>We consent to the incorporation by reference in Registration Statement No. 333-274020 and 333 -287753 on Form S-3 and Nos. 333-234391 and 333-284384 on Form S-8 of our report dated February 9, 2026 relating to the consolidated financial statements of Unitil Corporation and subsidiaries and the effectiveness of Unitil Corporation and subsidiaries’ internal control over financial reporting, appearing in this Annual Report on Form 10-K of Unitil Corporation for the year ended December 31, 2025.</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 Deloitte &amp; Touche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Boston, Massachusetts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February 9, 2026</w:t>
      </w:r>
    </w:p>
    <w:p>
      <w:pPr>
        <w:sectPr>
          <w:pgSz w:w="12240" w:h="15840" w:orient="portrait"/>
          <w:cols w:equalWidth="0" w:num="1">
            <w:col w:w="9360"/>
          </w:cols>
          <w:pgMar w:left="1440" w:top="1440" w:right="1440" w:bottom="1440" w:gutter="0" w:footer="0" w:header="0"/>
        </w:sectPr>
      </w:pPr>
    </w:p>
    <w:bookmarkStart w:id="126" w:name="page127"/>
    <w:bookmarkEnd w:id="126"/>
    <w:p>
      <w:pPr>
        <w:ind w:left="8140"/>
        <w:spacing w:after="0"/>
        <w:rPr>
          <w:sz w:val="20"/>
          <w:szCs w:val="20"/>
          <w:color w:val="auto"/>
        </w:rPr>
      </w:pPr>
      <w:r>
        <w:rPr>
          <w:rFonts w:ascii="Arial" w:cs="Arial" w:eastAsia="Arial" w:hAnsi="Arial"/>
          <w:sz w:val="21"/>
          <w:szCs w:val="21"/>
          <w:b w:val="1"/>
          <w:bCs w:val="1"/>
          <w:color w:val="231F20"/>
        </w:rPr>
        <w:t>Exhibit 31.1</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231F20"/>
        </w:rPr>
        <w:t>CERTIFICATION UNDER SECTION 302 OF THE SARBANES-OXLEY ACT OF 2002</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231F20"/>
        </w:rPr>
        <w:t>I, Thomas P. Meissner, Jr., certify that:</w:t>
      </w:r>
    </w:p>
    <w:p>
      <w:pPr>
        <w:spacing w:after="0" w:line="231" w:lineRule="exact"/>
        <w:rPr>
          <w:sz w:val="20"/>
          <w:szCs w:val="20"/>
          <w:color w:val="auto"/>
        </w:rPr>
      </w:pPr>
    </w:p>
    <w:p>
      <w:pPr>
        <w:ind w:left="360" w:hanging="360"/>
        <w:spacing w:after="0"/>
        <w:tabs>
          <w:tab w:leader="none" w:pos="360" w:val="left"/>
        </w:tabs>
        <w:numPr>
          <w:ilvl w:val="0"/>
          <w:numId w:val="32"/>
        </w:numPr>
        <w:rPr>
          <w:rFonts w:ascii="Arial" w:cs="Arial" w:eastAsia="Arial" w:hAnsi="Arial"/>
          <w:sz w:val="20"/>
          <w:szCs w:val="20"/>
          <w:u w:val="single" w:color="auto"/>
          <w:color w:val="231F20"/>
        </w:rPr>
      </w:pPr>
      <w:r>
        <w:rPr>
          <w:rFonts w:ascii="Arial" w:cs="Arial" w:eastAsia="Arial" w:hAnsi="Arial"/>
          <w:sz w:val="20"/>
          <w:szCs w:val="20"/>
          <w:color w:val="231F20"/>
        </w:rPr>
        <w:t>I have reviewed this annual report on Form 10-K of Unitil Corporation;</w:t>
      </w:r>
    </w:p>
    <w:p>
      <w:pPr>
        <w:spacing w:after="0" w:line="230" w:lineRule="exact"/>
        <w:rPr>
          <w:rFonts w:ascii="Arial" w:cs="Arial" w:eastAsia="Arial" w:hAnsi="Arial"/>
          <w:sz w:val="20"/>
          <w:szCs w:val="20"/>
          <w:u w:val="single" w:color="auto"/>
          <w:color w:val="231F20"/>
        </w:rPr>
      </w:pPr>
    </w:p>
    <w:p>
      <w:pPr>
        <w:jc w:val="both"/>
        <w:ind w:left="360" w:right="160" w:hanging="360"/>
        <w:spacing w:after="0" w:line="260" w:lineRule="auto"/>
        <w:tabs>
          <w:tab w:leader="none" w:pos="360" w:val="left"/>
        </w:tabs>
        <w:numPr>
          <w:ilvl w:val="0"/>
          <w:numId w:val="32"/>
        </w:numPr>
        <w:rPr>
          <w:rFonts w:ascii="Arial" w:cs="Arial" w:eastAsia="Arial" w:hAnsi="Arial"/>
          <w:sz w:val="20"/>
          <w:szCs w:val="20"/>
          <w:u w:val="single" w:color="auto"/>
          <w:color w:val="231F20"/>
        </w:rPr>
      </w:pPr>
      <w:r>
        <w:rPr>
          <w:rFonts w:ascii="Arial" w:cs="Arial" w:eastAsia="Arial" w:hAnsi="Arial"/>
          <w:sz w:val="20"/>
          <w:szCs w:val="20"/>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Arial" w:cs="Arial" w:eastAsia="Arial" w:hAnsi="Arial"/>
          <w:sz w:val="20"/>
          <w:szCs w:val="20"/>
          <w:u w:val="single" w:color="auto"/>
          <w:color w:val="231F20"/>
        </w:rPr>
      </w:pPr>
    </w:p>
    <w:p>
      <w:pPr>
        <w:jc w:val="both"/>
        <w:ind w:left="360" w:right="420" w:hanging="360"/>
        <w:spacing w:after="0" w:line="261" w:lineRule="auto"/>
        <w:tabs>
          <w:tab w:leader="none" w:pos="360" w:val="left"/>
        </w:tabs>
        <w:numPr>
          <w:ilvl w:val="0"/>
          <w:numId w:val="32"/>
        </w:numPr>
        <w:rPr>
          <w:rFonts w:ascii="Arial" w:cs="Arial" w:eastAsia="Arial" w:hAnsi="Arial"/>
          <w:sz w:val="20"/>
          <w:szCs w:val="20"/>
          <w:u w:val="single" w:color="auto"/>
          <w:color w:val="231F20"/>
        </w:rPr>
      </w:pPr>
      <w:r>
        <w:rPr>
          <w:rFonts w:ascii="Arial" w:cs="Arial" w:eastAsia="Arial" w:hAnsi="Arial"/>
          <w:sz w:val="20"/>
          <w:szCs w:val="20"/>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20"/>
          <w:szCs w:val="20"/>
          <w:u w:val="single" w:color="auto"/>
          <w:color w:val="231F20"/>
        </w:rPr>
      </w:pPr>
    </w:p>
    <w:p>
      <w:pPr>
        <w:ind w:left="360" w:right="80" w:hanging="360"/>
        <w:spacing w:after="0" w:line="254" w:lineRule="auto"/>
        <w:tabs>
          <w:tab w:leader="none" w:pos="360" w:val="left"/>
        </w:tabs>
        <w:numPr>
          <w:ilvl w:val="0"/>
          <w:numId w:val="32"/>
        </w:numPr>
        <w:rPr>
          <w:rFonts w:ascii="Arial" w:cs="Arial" w:eastAsia="Arial" w:hAnsi="Arial"/>
          <w:sz w:val="20"/>
          <w:szCs w:val="20"/>
          <w:u w:val="single" w:color="auto"/>
          <w:color w:val="231F20"/>
        </w:rPr>
      </w:pPr>
      <w:r>
        <w:rPr>
          <w:rFonts w:ascii="Arial" w:cs="Arial" w:eastAsia="Arial" w:hAnsi="Arial"/>
          <w:sz w:val="20"/>
          <w:szCs w:val="20"/>
          <w:color w:val="231F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76" w:lineRule="exact"/>
        <w:rPr>
          <w:rFonts w:ascii="Arial" w:cs="Arial" w:eastAsia="Arial" w:hAnsi="Arial"/>
          <w:sz w:val="20"/>
          <w:szCs w:val="20"/>
          <w:u w:val="single" w:color="auto"/>
          <w:color w:val="231F20"/>
        </w:rPr>
      </w:pPr>
    </w:p>
    <w:p>
      <w:pPr>
        <w:ind w:left="720" w:right="100" w:hanging="360"/>
        <w:spacing w:after="0" w:line="254" w:lineRule="auto"/>
        <w:tabs>
          <w:tab w:leader="none" w:pos="720" w:val="left"/>
        </w:tabs>
        <w:numPr>
          <w:ilvl w:val="1"/>
          <w:numId w:val="32"/>
        </w:numPr>
        <w:rPr>
          <w:rFonts w:ascii="Arial" w:cs="Arial" w:eastAsia="Arial" w:hAnsi="Arial"/>
          <w:sz w:val="20"/>
          <w:szCs w:val="20"/>
          <w:u w:val="single" w:color="auto"/>
          <w:color w:val="231F20"/>
        </w:rPr>
      </w:pPr>
      <w:r>
        <w:rPr>
          <w:rFonts w:ascii="Arial" w:cs="Arial" w:eastAsia="Arial" w:hAnsi="Arial"/>
          <w:sz w:val="20"/>
          <w:szCs w:val="20"/>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20"/>
          <w:szCs w:val="20"/>
          <w:u w:val="single" w:color="auto"/>
          <w:color w:val="231F20"/>
        </w:rPr>
      </w:pPr>
    </w:p>
    <w:p>
      <w:pPr>
        <w:ind w:left="720" w:right="600" w:hanging="360"/>
        <w:spacing w:after="0" w:line="271" w:lineRule="auto"/>
        <w:tabs>
          <w:tab w:leader="none" w:pos="720" w:val="left"/>
        </w:tabs>
        <w:numPr>
          <w:ilvl w:val="1"/>
          <w:numId w:val="32"/>
        </w:numPr>
        <w:rPr>
          <w:rFonts w:ascii="Arial" w:cs="Arial" w:eastAsia="Arial" w:hAnsi="Arial"/>
          <w:sz w:val="19"/>
          <w:szCs w:val="19"/>
          <w:u w:val="single" w:color="auto"/>
          <w:color w:val="231F20"/>
        </w:rPr>
      </w:pPr>
      <w:r>
        <w:rPr>
          <w:rFonts w:ascii="Arial" w:cs="Arial" w:eastAsia="Arial" w:hAnsi="Arial"/>
          <w:sz w:val="19"/>
          <w:szCs w:val="19"/>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9"/>
          <w:szCs w:val="19"/>
          <w:u w:val="single" w:color="auto"/>
          <w:color w:val="231F20"/>
        </w:rPr>
      </w:pPr>
    </w:p>
    <w:p>
      <w:pPr>
        <w:ind w:left="720" w:right="120" w:hanging="360"/>
        <w:spacing w:after="0" w:line="260" w:lineRule="auto"/>
        <w:tabs>
          <w:tab w:leader="none" w:pos="720" w:val="left"/>
        </w:tabs>
        <w:numPr>
          <w:ilvl w:val="1"/>
          <w:numId w:val="32"/>
        </w:numPr>
        <w:rPr>
          <w:rFonts w:ascii="Arial" w:cs="Arial" w:eastAsia="Arial" w:hAnsi="Arial"/>
          <w:sz w:val="20"/>
          <w:szCs w:val="20"/>
          <w:u w:val="single" w:color="auto"/>
          <w:color w:val="231F20"/>
        </w:rPr>
      </w:pPr>
      <w:r>
        <w:rPr>
          <w:rFonts w:ascii="Arial" w:cs="Arial" w:eastAsia="Arial" w:hAnsi="Arial"/>
          <w:sz w:val="20"/>
          <w:szCs w:val="20"/>
          <w:color w:val="231F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1" w:lineRule="exact"/>
        <w:rPr>
          <w:rFonts w:ascii="Arial" w:cs="Arial" w:eastAsia="Arial" w:hAnsi="Arial"/>
          <w:sz w:val="20"/>
          <w:szCs w:val="20"/>
          <w:u w:val="single" w:color="auto"/>
          <w:color w:val="231F20"/>
        </w:rPr>
      </w:pPr>
    </w:p>
    <w:p>
      <w:pPr>
        <w:ind w:left="720" w:right="20" w:hanging="360"/>
        <w:spacing w:after="0" w:line="254" w:lineRule="auto"/>
        <w:tabs>
          <w:tab w:leader="none" w:pos="720" w:val="left"/>
        </w:tabs>
        <w:numPr>
          <w:ilvl w:val="1"/>
          <w:numId w:val="32"/>
        </w:numPr>
        <w:rPr>
          <w:rFonts w:ascii="Arial" w:cs="Arial" w:eastAsia="Arial" w:hAnsi="Arial"/>
          <w:sz w:val="20"/>
          <w:szCs w:val="20"/>
          <w:u w:val="single" w:color="auto"/>
          <w:color w:val="231F20"/>
        </w:rPr>
      </w:pPr>
      <w:r>
        <w:rPr>
          <w:rFonts w:ascii="Arial" w:cs="Arial" w:eastAsia="Arial" w:hAnsi="Arial"/>
          <w:sz w:val="20"/>
          <w:szCs w:val="20"/>
          <w:color w:val="231F20"/>
        </w:rPr>
        <w:t>Disclosed in this report any changes in the registrant’s internal control over financial reporting that occurred during the registrant’s most recent fiscal quarter (the registrant’s fourth fiscal quarter in the case of an annual report) that has materially affected, or is reasonable likely to materially affect, the registrant’s internal controls over financial reporting; and</w:t>
      </w:r>
    </w:p>
    <w:p>
      <w:pPr>
        <w:spacing w:after="0" w:line="176" w:lineRule="exact"/>
        <w:rPr>
          <w:rFonts w:ascii="Arial" w:cs="Arial" w:eastAsia="Arial" w:hAnsi="Arial"/>
          <w:sz w:val="20"/>
          <w:szCs w:val="20"/>
          <w:u w:val="single" w:color="auto"/>
          <w:color w:val="231F20"/>
        </w:rPr>
      </w:pPr>
    </w:p>
    <w:p>
      <w:pPr>
        <w:jc w:val="both"/>
        <w:ind w:left="360" w:right="200" w:hanging="360"/>
        <w:spacing w:after="0" w:line="261" w:lineRule="auto"/>
        <w:tabs>
          <w:tab w:leader="none" w:pos="360" w:val="left"/>
        </w:tabs>
        <w:numPr>
          <w:ilvl w:val="0"/>
          <w:numId w:val="32"/>
        </w:numPr>
        <w:rPr>
          <w:rFonts w:ascii="Arial" w:cs="Arial" w:eastAsia="Arial" w:hAnsi="Arial"/>
          <w:sz w:val="20"/>
          <w:szCs w:val="20"/>
          <w:u w:val="single" w:color="auto"/>
          <w:color w:val="231F20"/>
        </w:rPr>
      </w:pPr>
      <w:r>
        <w:rPr>
          <w:rFonts w:ascii="Arial" w:cs="Arial" w:eastAsia="Arial" w:hAnsi="Arial"/>
          <w:sz w:val="20"/>
          <w:szCs w:val="20"/>
          <w:color w:val="231F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20"/>
          <w:szCs w:val="20"/>
          <w:u w:val="single" w:color="auto"/>
          <w:color w:val="231F20"/>
        </w:rPr>
      </w:pPr>
    </w:p>
    <w:p>
      <w:pPr>
        <w:ind w:left="720" w:right="160" w:hanging="360"/>
        <w:spacing w:after="0" w:line="261" w:lineRule="auto"/>
        <w:tabs>
          <w:tab w:leader="none" w:pos="720" w:val="left"/>
        </w:tabs>
        <w:numPr>
          <w:ilvl w:val="1"/>
          <w:numId w:val="32"/>
        </w:numPr>
        <w:rPr>
          <w:rFonts w:ascii="Arial" w:cs="Arial" w:eastAsia="Arial" w:hAnsi="Arial"/>
          <w:sz w:val="20"/>
          <w:szCs w:val="20"/>
          <w:u w:val="single" w:color="auto"/>
          <w:color w:val="231F20"/>
        </w:rPr>
      </w:pPr>
      <w:r>
        <w:rPr>
          <w:rFonts w:ascii="Arial" w:cs="Arial" w:eastAsia="Arial" w:hAnsi="Arial"/>
          <w:sz w:val="20"/>
          <w:szCs w:val="20"/>
          <w:color w:val="231F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Arial" w:cs="Arial" w:eastAsia="Arial" w:hAnsi="Arial"/>
          <w:sz w:val="20"/>
          <w:szCs w:val="20"/>
          <w:u w:val="single" w:color="auto"/>
          <w:color w:val="231F20"/>
        </w:rPr>
      </w:pPr>
    </w:p>
    <w:p>
      <w:pPr>
        <w:ind w:left="720" w:right="340" w:hanging="360"/>
        <w:spacing w:after="0" w:line="282" w:lineRule="auto"/>
        <w:tabs>
          <w:tab w:leader="none" w:pos="720" w:val="left"/>
        </w:tabs>
        <w:numPr>
          <w:ilvl w:val="1"/>
          <w:numId w:val="32"/>
        </w:numPr>
        <w:rPr>
          <w:rFonts w:ascii="Arial" w:cs="Arial" w:eastAsia="Arial" w:hAnsi="Arial"/>
          <w:sz w:val="20"/>
          <w:szCs w:val="20"/>
          <w:u w:val="single" w:color="auto"/>
          <w:color w:val="231F20"/>
        </w:rPr>
      </w:pPr>
      <w:r>
        <w:rPr>
          <w:rFonts w:ascii="Arial" w:cs="Arial" w:eastAsia="Arial" w:hAnsi="Arial"/>
          <w:sz w:val="20"/>
          <w:szCs w:val="20"/>
          <w:color w:val="231F20"/>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4320"/>
        <w:spacing w:after="0"/>
        <w:rPr>
          <w:sz w:val="20"/>
          <w:szCs w:val="20"/>
          <w:color w:val="auto"/>
        </w:rPr>
      </w:pPr>
      <w:r>
        <w:rPr>
          <w:rFonts w:ascii="Arial" w:cs="Arial" w:eastAsia="Arial" w:hAnsi="Arial"/>
          <w:sz w:val="20"/>
          <w:szCs w:val="20"/>
          <w:color w:val="231F20"/>
        </w:rPr>
        <w:t>Date: February 9, 2026</w:t>
      </w:r>
    </w:p>
    <w:p>
      <w:pPr>
        <w:spacing w:after="0" w:line="231" w:lineRule="exact"/>
        <w:rPr>
          <w:sz w:val="20"/>
          <w:szCs w:val="20"/>
          <w:color w:val="auto"/>
        </w:rPr>
      </w:pPr>
    </w:p>
    <w:p>
      <w:pPr>
        <w:ind w:left="4380"/>
        <w:spacing w:after="0"/>
        <w:rPr>
          <w:sz w:val="20"/>
          <w:szCs w:val="20"/>
          <w:color w:val="auto"/>
        </w:rPr>
      </w:pPr>
      <w:r>
        <w:rPr>
          <w:rFonts w:ascii="Arial" w:cs="Arial" w:eastAsia="Arial" w:hAnsi="Arial"/>
          <w:sz w:val="20"/>
          <w:szCs w:val="20"/>
          <w:color w:val="231F20"/>
        </w:rPr>
        <w:t>/s/ Thomas P. Meissner, Jr.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33020</wp:posOffset>
                </wp:positionV>
                <wp:extent cx="3236595"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36595" cy="4763"/>
                        </a:xfrm>
                        <a:prstGeom prst="line">
                          <a:avLst/>
                        </a:prstGeom>
                        <a:solidFill>
                          <a:srgbClr val="FFFFFF"/>
                        </a:solidFill>
                        <a:ln w="18287">
                          <a:solidFill>
                            <a:srgbClr val="231F2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2.6pt" to="469.4pt,2.6pt" o:allowincell="f" strokecolor="#231F20" strokeweight="1.4399pt"/>
            </w:pict>
          </mc:Fallback>
        </mc:AlternateContent>
      </w:r>
    </w:p>
    <w:p>
      <w:pPr>
        <w:spacing w:after="0" w:line="91" w:lineRule="exact"/>
        <w:rPr>
          <w:sz w:val="20"/>
          <w:szCs w:val="20"/>
          <w:color w:val="auto"/>
        </w:rPr>
      </w:pPr>
    </w:p>
    <w:p>
      <w:pPr>
        <w:ind w:left="4320"/>
        <w:spacing w:after="0"/>
        <w:rPr>
          <w:sz w:val="20"/>
          <w:szCs w:val="20"/>
          <w:color w:val="auto"/>
        </w:rPr>
      </w:pPr>
      <w:r>
        <w:rPr>
          <w:rFonts w:ascii="Arial" w:cs="Arial" w:eastAsia="Arial" w:hAnsi="Arial"/>
          <w:sz w:val="20"/>
          <w:szCs w:val="20"/>
          <w:color w:val="231F20"/>
        </w:rPr>
        <w:t>Thomas P. Meissner, Jr.</w:t>
      </w:r>
    </w:p>
    <w:p>
      <w:pPr>
        <w:spacing w:after="0" w:line="58" w:lineRule="exact"/>
        <w:rPr>
          <w:sz w:val="20"/>
          <w:szCs w:val="20"/>
          <w:color w:val="auto"/>
        </w:rPr>
      </w:pPr>
    </w:p>
    <w:p>
      <w:pPr>
        <w:ind w:left="4320"/>
        <w:spacing w:after="0"/>
        <w:rPr>
          <w:sz w:val="20"/>
          <w:szCs w:val="20"/>
          <w:color w:val="auto"/>
        </w:rPr>
      </w:pPr>
      <w:r>
        <w:rPr>
          <w:rFonts w:ascii="Arial" w:cs="Arial" w:eastAsia="Arial" w:hAnsi="Arial"/>
          <w:sz w:val="20"/>
          <w:szCs w:val="20"/>
          <w:color w:val="231F20"/>
        </w:rPr>
        <w:t>Chief Executive Officer</w:t>
      </w:r>
    </w:p>
    <w:p>
      <w:pPr>
        <w:sectPr>
          <w:pgSz w:w="12240" w:h="15840" w:orient="portrait"/>
          <w:cols w:equalWidth="0" w:num="1">
            <w:col w:w="9360"/>
          </w:cols>
          <w:pgMar w:left="1440" w:top="1126" w:right="1440" w:bottom="1003" w:gutter="0" w:footer="0" w:header="0"/>
        </w:sectPr>
      </w:pPr>
    </w:p>
    <w:bookmarkStart w:id="127" w:name="page128"/>
    <w:bookmarkEnd w:id="127"/>
    <w:p>
      <w:pPr>
        <w:ind w:left="8140"/>
        <w:spacing w:after="0"/>
        <w:rPr>
          <w:sz w:val="20"/>
          <w:szCs w:val="20"/>
          <w:color w:val="auto"/>
        </w:rPr>
      </w:pPr>
      <w:r>
        <w:rPr>
          <w:rFonts w:ascii="Arial" w:cs="Arial" w:eastAsia="Arial" w:hAnsi="Arial"/>
          <w:sz w:val="21"/>
          <w:szCs w:val="21"/>
          <w:b w:val="1"/>
          <w:bCs w:val="1"/>
          <w:color w:val="231F20"/>
        </w:rPr>
        <w:t>Exhibit 31.2</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231F20"/>
        </w:rPr>
        <w:t>CERTIFICATION UNDER SECTION 302 OF THE SARBANES-OXLEY ACT OF 2002</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231F20"/>
        </w:rPr>
        <w:t>I, Daniel J. Hurstak, certify that:</w:t>
      </w:r>
    </w:p>
    <w:p>
      <w:pPr>
        <w:spacing w:after="0" w:line="231" w:lineRule="exact"/>
        <w:rPr>
          <w:sz w:val="20"/>
          <w:szCs w:val="20"/>
          <w:color w:val="auto"/>
        </w:rPr>
      </w:pPr>
    </w:p>
    <w:p>
      <w:pPr>
        <w:ind w:left="360" w:hanging="360"/>
        <w:spacing w:after="0"/>
        <w:tabs>
          <w:tab w:leader="none" w:pos="360" w:val="left"/>
        </w:tabs>
        <w:numPr>
          <w:ilvl w:val="0"/>
          <w:numId w:val="33"/>
        </w:numPr>
        <w:rPr>
          <w:rFonts w:ascii="Arial" w:cs="Arial" w:eastAsia="Arial" w:hAnsi="Arial"/>
          <w:sz w:val="20"/>
          <w:szCs w:val="20"/>
          <w:u w:val="single" w:color="auto"/>
          <w:color w:val="231F20"/>
        </w:rPr>
      </w:pPr>
      <w:r>
        <w:rPr>
          <w:rFonts w:ascii="Arial" w:cs="Arial" w:eastAsia="Arial" w:hAnsi="Arial"/>
          <w:sz w:val="20"/>
          <w:szCs w:val="20"/>
          <w:color w:val="231F20"/>
        </w:rPr>
        <w:t>I have reviewed this annual report on Form 10-K of Unitil Corporation;</w:t>
      </w:r>
    </w:p>
    <w:p>
      <w:pPr>
        <w:spacing w:after="0" w:line="230" w:lineRule="exact"/>
        <w:rPr>
          <w:rFonts w:ascii="Arial" w:cs="Arial" w:eastAsia="Arial" w:hAnsi="Arial"/>
          <w:sz w:val="20"/>
          <w:szCs w:val="20"/>
          <w:u w:val="single" w:color="auto"/>
          <w:color w:val="231F20"/>
        </w:rPr>
      </w:pPr>
    </w:p>
    <w:p>
      <w:pPr>
        <w:jc w:val="both"/>
        <w:ind w:left="360" w:right="160" w:hanging="360"/>
        <w:spacing w:after="0" w:line="260" w:lineRule="auto"/>
        <w:tabs>
          <w:tab w:leader="none" w:pos="360" w:val="left"/>
        </w:tabs>
        <w:numPr>
          <w:ilvl w:val="0"/>
          <w:numId w:val="33"/>
        </w:numPr>
        <w:rPr>
          <w:rFonts w:ascii="Arial" w:cs="Arial" w:eastAsia="Arial" w:hAnsi="Arial"/>
          <w:sz w:val="20"/>
          <w:szCs w:val="20"/>
          <w:u w:val="single" w:color="auto"/>
          <w:color w:val="231F20"/>
        </w:rPr>
      </w:pPr>
      <w:r>
        <w:rPr>
          <w:rFonts w:ascii="Arial" w:cs="Arial" w:eastAsia="Arial" w:hAnsi="Arial"/>
          <w:sz w:val="20"/>
          <w:szCs w:val="20"/>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Arial" w:cs="Arial" w:eastAsia="Arial" w:hAnsi="Arial"/>
          <w:sz w:val="20"/>
          <w:szCs w:val="20"/>
          <w:u w:val="single" w:color="auto"/>
          <w:color w:val="231F20"/>
        </w:rPr>
      </w:pPr>
    </w:p>
    <w:p>
      <w:pPr>
        <w:jc w:val="both"/>
        <w:ind w:left="360" w:right="420" w:hanging="360"/>
        <w:spacing w:after="0" w:line="261" w:lineRule="auto"/>
        <w:tabs>
          <w:tab w:leader="none" w:pos="360" w:val="left"/>
        </w:tabs>
        <w:numPr>
          <w:ilvl w:val="0"/>
          <w:numId w:val="33"/>
        </w:numPr>
        <w:rPr>
          <w:rFonts w:ascii="Arial" w:cs="Arial" w:eastAsia="Arial" w:hAnsi="Arial"/>
          <w:sz w:val="20"/>
          <w:szCs w:val="20"/>
          <w:u w:val="single" w:color="auto"/>
          <w:color w:val="231F20"/>
        </w:rPr>
      </w:pPr>
      <w:r>
        <w:rPr>
          <w:rFonts w:ascii="Arial" w:cs="Arial" w:eastAsia="Arial" w:hAnsi="Arial"/>
          <w:sz w:val="20"/>
          <w:szCs w:val="20"/>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20"/>
          <w:szCs w:val="20"/>
          <w:u w:val="single" w:color="auto"/>
          <w:color w:val="231F20"/>
        </w:rPr>
      </w:pPr>
    </w:p>
    <w:p>
      <w:pPr>
        <w:ind w:left="360" w:right="20" w:hanging="360"/>
        <w:spacing w:after="0" w:line="254" w:lineRule="auto"/>
        <w:tabs>
          <w:tab w:leader="none" w:pos="360" w:val="left"/>
        </w:tabs>
        <w:numPr>
          <w:ilvl w:val="0"/>
          <w:numId w:val="33"/>
        </w:numPr>
        <w:rPr>
          <w:rFonts w:ascii="Arial" w:cs="Arial" w:eastAsia="Arial" w:hAnsi="Arial"/>
          <w:sz w:val="20"/>
          <w:szCs w:val="20"/>
          <w:u w:val="single" w:color="auto"/>
          <w:color w:val="231F20"/>
        </w:rPr>
      </w:pPr>
      <w:r>
        <w:rPr>
          <w:rFonts w:ascii="Arial" w:cs="Arial" w:eastAsia="Arial" w:hAnsi="Arial"/>
          <w:sz w:val="20"/>
          <w:szCs w:val="20"/>
          <w:color w:val="231F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20"/>
          <w:szCs w:val="20"/>
          <w:u w:val="single" w:color="auto"/>
          <w:color w:val="231F20"/>
        </w:rPr>
      </w:pPr>
    </w:p>
    <w:p>
      <w:pPr>
        <w:ind w:left="720" w:right="100" w:hanging="360"/>
        <w:spacing w:after="0" w:line="254" w:lineRule="auto"/>
        <w:tabs>
          <w:tab w:leader="none" w:pos="720" w:val="left"/>
        </w:tabs>
        <w:numPr>
          <w:ilvl w:val="1"/>
          <w:numId w:val="33"/>
        </w:numPr>
        <w:rPr>
          <w:rFonts w:ascii="Arial" w:cs="Arial" w:eastAsia="Arial" w:hAnsi="Arial"/>
          <w:sz w:val="20"/>
          <w:szCs w:val="20"/>
          <w:u w:val="single" w:color="auto"/>
          <w:color w:val="231F20"/>
        </w:rPr>
      </w:pPr>
      <w:r>
        <w:rPr>
          <w:rFonts w:ascii="Arial" w:cs="Arial" w:eastAsia="Arial" w:hAnsi="Arial"/>
          <w:sz w:val="20"/>
          <w:szCs w:val="20"/>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20"/>
          <w:szCs w:val="20"/>
          <w:u w:val="single" w:color="auto"/>
          <w:color w:val="231F20"/>
        </w:rPr>
      </w:pPr>
    </w:p>
    <w:p>
      <w:pPr>
        <w:ind w:left="720" w:right="600" w:hanging="360"/>
        <w:spacing w:after="0" w:line="271" w:lineRule="auto"/>
        <w:tabs>
          <w:tab w:leader="none" w:pos="720" w:val="left"/>
        </w:tabs>
        <w:numPr>
          <w:ilvl w:val="1"/>
          <w:numId w:val="33"/>
        </w:numPr>
        <w:rPr>
          <w:rFonts w:ascii="Arial" w:cs="Arial" w:eastAsia="Arial" w:hAnsi="Arial"/>
          <w:sz w:val="19"/>
          <w:szCs w:val="19"/>
          <w:u w:val="single" w:color="auto"/>
          <w:color w:val="231F20"/>
        </w:rPr>
      </w:pPr>
      <w:r>
        <w:rPr>
          <w:rFonts w:ascii="Arial" w:cs="Arial" w:eastAsia="Arial" w:hAnsi="Arial"/>
          <w:sz w:val="19"/>
          <w:szCs w:val="19"/>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9"/>
          <w:szCs w:val="19"/>
          <w:u w:val="single" w:color="auto"/>
          <w:color w:val="231F20"/>
        </w:rPr>
      </w:pPr>
    </w:p>
    <w:p>
      <w:pPr>
        <w:ind w:left="720" w:right="120" w:hanging="360"/>
        <w:spacing w:after="0" w:line="260" w:lineRule="auto"/>
        <w:tabs>
          <w:tab w:leader="none" w:pos="720" w:val="left"/>
        </w:tabs>
        <w:numPr>
          <w:ilvl w:val="1"/>
          <w:numId w:val="33"/>
        </w:numPr>
        <w:rPr>
          <w:rFonts w:ascii="Arial" w:cs="Arial" w:eastAsia="Arial" w:hAnsi="Arial"/>
          <w:sz w:val="20"/>
          <w:szCs w:val="20"/>
          <w:u w:val="single" w:color="auto"/>
          <w:color w:val="231F20"/>
        </w:rPr>
      </w:pPr>
      <w:r>
        <w:rPr>
          <w:rFonts w:ascii="Arial" w:cs="Arial" w:eastAsia="Arial" w:hAnsi="Arial"/>
          <w:sz w:val="20"/>
          <w:szCs w:val="20"/>
          <w:color w:val="231F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1" w:lineRule="exact"/>
        <w:rPr>
          <w:rFonts w:ascii="Arial" w:cs="Arial" w:eastAsia="Arial" w:hAnsi="Arial"/>
          <w:sz w:val="20"/>
          <w:szCs w:val="20"/>
          <w:u w:val="single" w:color="auto"/>
          <w:color w:val="231F20"/>
        </w:rPr>
      </w:pPr>
    </w:p>
    <w:p>
      <w:pPr>
        <w:ind w:left="720" w:right="20" w:hanging="360"/>
        <w:spacing w:after="0" w:line="254" w:lineRule="auto"/>
        <w:tabs>
          <w:tab w:leader="none" w:pos="720" w:val="left"/>
        </w:tabs>
        <w:numPr>
          <w:ilvl w:val="1"/>
          <w:numId w:val="33"/>
        </w:numPr>
        <w:rPr>
          <w:rFonts w:ascii="Arial" w:cs="Arial" w:eastAsia="Arial" w:hAnsi="Arial"/>
          <w:sz w:val="20"/>
          <w:szCs w:val="20"/>
          <w:u w:val="single" w:color="auto"/>
          <w:color w:val="231F20"/>
        </w:rPr>
      </w:pPr>
      <w:r>
        <w:rPr>
          <w:rFonts w:ascii="Arial" w:cs="Arial" w:eastAsia="Arial" w:hAnsi="Arial"/>
          <w:sz w:val="20"/>
          <w:szCs w:val="20"/>
          <w:color w:val="231F20"/>
        </w:rPr>
        <w:t>Disclosed in this report any changes in the registrant’s internal control over financial reporting that occurred during the registrant’s most recent fiscal quarter (the registrant’s fourth fiscal quarter in the case of an annual report) that has materially affected, or is reasonable likely to materially affect, the registrant’s internal controls over financial reporting; and</w:t>
      </w:r>
    </w:p>
    <w:p>
      <w:pPr>
        <w:spacing w:after="0" w:line="176" w:lineRule="exact"/>
        <w:rPr>
          <w:rFonts w:ascii="Arial" w:cs="Arial" w:eastAsia="Arial" w:hAnsi="Arial"/>
          <w:sz w:val="20"/>
          <w:szCs w:val="20"/>
          <w:u w:val="single" w:color="auto"/>
          <w:color w:val="231F20"/>
        </w:rPr>
      </w:pPr>
    </w:p>
    <w:p>
      <w:pPr>
        <w:jc w:val="both"/>
        <w:ind w:left="360" w:right="200" w:hanging="360"/>
        <w:spacing w:after="0" w:line="261" w:lineRule="auto"/>
        <w:tabs>
          <w:tab w:leader="none" w:pos="360" w:val="left"/>
        </w:tabs>
        <w:numPr>
          <w:ilvl w:val="0"/>
          <w:numId w:val="33"/>
        </w:numPr>
        <w:rPr>
          <w:rFonts w:ascii="Arial" w:cs="Arial" w:eastAsia="Arial" w:hAnsi="Arial"/>
          <w:sz w:val="20"/>
          <w:szCs w:val="20"/>
          <w:u w:val="single" w:color="auto"/>
          <w:color w:val="231F20"/>
        </w:rPr>
      </w:pPr>
      <w:r>
        <w:rPr>
          <w:rFonts w:ascii="Arial" w:cs="Arial" w:eastAsia="Arial" w:hAnsi="Arial"/>
          <w:sz w:val="20"/>
          <w:szCs w:val="20"/>
          <w:color w:val="231F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20"/>
          <w:szCs w:val="20"/>
          <w:u w:val="single" w:color="auto"/>
          <w:color w:val="231F20"/>
        </w:rPr>
      </w:pPr>
    </w:p>
    <w:p>
      <w:pPr>
        <w:ind w:left="720" w:right="160" w:hanging="360"/>
        <w:spacing w:after="0" w:line="261" w:lineRule="auto"/>
        <w:tabs>
          <w:tab w:leader="none" w:pos="720" w:val="left"/>
        </w:tabs>
        <w:numPr>
          <w:ilvl w:val="1"/>
          <w:numId w:val="33"/>
        </w:numPr>
        <w:rPr>
          <w:rFonts w:ascii="Arial" w:cs="Arial" w:eastAsia="Arial" w:hAnsi="Arial"/>
          <w:sz w:val="20"/>
          <w:szCs w:val="20"/>
          <w:u w:val="single" w:color="auto"/>
          <w:color w:val="231F20"/>
        </w:rPr>
      </w:pPr>
      <w:r>
        <w:rPr>
          <w:rFonts w:ascii="Arial" w:cs="Arial" w:eastAsia="Arial" w:hAnsi="Arial"/>
          <w:sz w:val="20"/>
          <w:szCs w:val="20"/>
          <w:color w:val="231F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Arial" w:cs="Arial" w:eastAsia="Arial" w:hAnsi="Arial"/>
          <w:sz w:val="20"/>
          <w:szCs w:val="20"/>
          <w:u w:val="single" w:color="auto"/>
          <w:color w:val="231F20"/>
        </w:rPr>
      </w:pPr>
    </w:p>
    <w:p>
      <w:pPr>
        <w:ind w:left="720" w:right="340" w:hanging="360"/>
        <w:spacing w:after="0" w:line="282" w:lineRule="auto"/>
        <w:tabs>
          <w:tab w:leader="none" w:pos="720" w:val="left"/>
        </w:tabs>
        <w:numPr>
          <w:ilvl w:val="1"/>
          <w:numId w:val="33"/>
        </w:numPr>
        <w:rPr>
          <w:rFonts w:ascii="Arial" w:cs="Arial" w:eastAsia="Arial" w:hAnsi="Arial"/>
          <w:sz w:val="20"/>
          <w:szCs w:val="20"/>
          <w:u w:val="single" w:color="auto"/>
          <w:color w:val="231F20"/>
        </w:rPr>
      </w:pPr>
      <w:r>
        <w:rPr>
          <w:rFonts w:ascii="Arial" w:cs="Arial" w:eastAsia="Arial" w:hAnsi="Arial"/>
          <w:sz w:val="20"/>
          <w:szCs w:val="20"/>
          <w:color w:val="231F20"/>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4320"/>
        <w:spacing w:after="0"/>
        <w:rPr>
          <w:sz w:val="20"/>
          <w:szCs w:val="20"/>
          <w:color w:val="auto"/>
        </w:rPr>
      </w:pPr>
      <w:r>
        <w:rPr>
          <w:rFonts w:ascii="Arial" w:cs="Arial" w:eastAsia="Arial" w:hAnsi="Arial"/>
          <w:sz w:val="20"/>
          <w:szCs w:val="20"/>
          <w:color w:val="231F20"/>
        </w:rPr>
        <w:t>Date: February 9, 2026</w:t>
      </w:r>
    </w:p>
    <w:p>
      <w:pPr>
        <w:spacing w:after="0" w:line="231" w:lineRule="exact"/>
        <w:rPr>
          <w:sz w:val="20"/>
          <w:szCs w:val="20"/>
          <w:color w:val="auto"/>
        </w:rPr>
      </w:pPr>
    </w:p>
    <w:p>
      <w:pPr>
        <w:ind w:left="4380"/>
        <w:spacing w:after="0"/>
        <w:rPr>
          <w:sz w:val="20"/>
          <w:szCs w:val="20"/>
          <w:color w:val="auto"/>
        </w:rPr>
      </w:pPr>
      <w:r>
        <w:rPr>
          <w:rFonts w:ascii="Arial" w:cs="Arial" w:eastAsia="Arial" w:hAnsi="Arial"/>
          <w:sz w:val="20"/>
          <w:szCs w:val="20"/>
          <w:color w:val="231F20"/>
        </w:rPr>
        <w:t>/s/ Daniel J. Hurstak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33020</wp:posOffset>
                </wp:positionV>
                <wp:extent cx="3236595"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36595" cy="4763"/>
                        </a:xfrm>
                        <a:prstGeom prst="line">
                          <a:avLst/>
                        </a:prstGeom>
                        <a:solidFill>
                          <a:srgbClr val="FFFFFF"/>
                        </a:solidFill>
                        <a:ln w="18287">
                          <a:solidFill>
                            <a:srgbClr val="231F2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2.6pt" to="469.4pt,2.6pt" o:allowincell="f" strokecolor="#231F20" strokeweight="1.4399pt"/>
            </w:pict>
          </mc:Fallback>
        </mc:AlternateContent>
      </w:r>
    </w:p>
    <w:p>
      <w:pPr>
        <w:spacing w:after="0" w:line="91" w:lineRule="exact"/>
        <w:rPr>
          <w:sz w:val="20"/>
          <w:szCs w:val="20"/>
          <w:color w:val="auto"/>
        </w:rPr>
      </w:pPr>
    </w:p>
    <w:p>
      <w:pPr>
        <w:ind w:left="4320"/>
        <w:spacing w:after="0"/>
        <w:rPr>
          <w:sz w:val="20"/>
          <w:szCs w:val="20"/>
          <w:color w:val="auto"/>
        </w:rPr>
      </w:pPr>
      <w:r>
        <w:rPr>
          <w:rFonts w:ascii="Arial" w:cs="Arial" w:eastAsia="Arial" w:hAnsi="Arial"/>
          <w:sz w:val="20"/>
          <w:szCs w:val="20"/>
          <w:color w:val="231F20"/>
        </w:rPr>
        <w:t>Daniel J. Hurstak</w:t>
      </w:r>
    </w:p>
    <w:p>
      <w:pPr>
        <w:spacing w:after="0" w:line="58" w:lineRule="exact"/>
        <w:rPr>
          <w:sz w:val="20"/>
          <w:szCs w:val="20"/>
          <w:color w:val="auto"/>
        </w:rPr>
      </w:pPr>
    </w:p>
    <w:p>
      <w:pPr>
        <w:ind w:left="4320"/>
        <w:spacing w:after="0"/>
        <w:rPr>
          <w:sz w:val="20"/>
          <w:szCs w:val="20"/>
          <w:color w:val="auto"/>
        </w:rPr>
      </w:pPr>
      <w:r>
        <w:rPr>
          <w:rFonts w:ascii="Arial" w:cs="Arial" w:eastAsia="Arial" w:hAnsi="Arial"/>
          <w:sz w:val="20"/>
          <w:szCs w:val="20"/>
          <w:color w:val="231F20"/>
        </w:rPr>
        <w:t>Chief Financial Officer</w:t>
      </w:r>
    </w:p>
    <w:p>
      <w:pPr>
        <w:sectPr>
          <w:pgSz w:w="12240" w:h="15840" w:orient="portrait"/>
          <w:cols w:equalWidth="0" w:num="1">
            <w:col w:w="9360"/>
          </w:cols>
          <w:pgMar w:left="1440" w:top="1126" w:right="1440" w:bottom="1003" w:gutter="0" w:footer="0" w:header="0"/>
        </w:sectPr>
      </w:pPr>
    </w:p>
    <w:bookmarkStart w:id="128" w:name="page129"/>
    <w:bookmarkEnd w:id="128"/>
    <w:p>
      <w:pPr>
        <w:ind w:left="8140"/>
        <w:spacing w:after="0"/>
        <w:rPr>
          <w:sz w:val="20"/>
          <w:szCs w:val="20"/>
          <w:color w:val="auto"/>
        </w:rPr>
      </w:pPr>
      <w:r>
        <w:rPr>
          <w:rFonts w:ascii="Arial" w:cs="Arial" w:eastAsia="Arial" w:hAnsi="Arial"/>
          <w:sz w:val="21"/>
          <w:szCs w:val="21"/>
          <w:b w:val="1"/>
          <w:bCs w:val="1"/>
          <w:color w:val="231F20"/>
        </w:rPr>
        <w:t>Exhibit 31.3</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231F20"/>
        </w:rPr>
        <w:t>CERTIFICATION UNDER SECTION 302 OF THE SARBANES-OXLEY ACT OF 2002</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231F20"/>
        </w:rPr>
        <w:t>I, Todd R. Diggins, certify that:</w:t>
      </w:r>
    </w:p>
    <w:p>
      <w:pPr>
        <w:spacing w:after="0" w:line="231" w:lineRule="exact"/>
        <w:rPr>
          <w:sz w:val="20"/>
          <w:szCs w:val="20"/>
          <w:color w:val="auto"/>
        </w:rPr>
      </w:pPr>
    </w:p>
    <w:p>
      <w:pPr>
        <w:ind w:left="360" w:hanging="360"/>
        <w:spacing w:after="0"/>
        <w:tabs>
          <w:tab w:leader="none" w:pos="360" w:val="left"/>
        </w:tabs>
        <w:numPr>
          <w:ilvl w:val="0"/>
          <w:numId w:val="34"/>
        </w:numPr>
        <w:rPr>
          <w:rFonts w:ascii="Arial" w:cs="Arial" w:eastAsia="Arial" w:hAnsi="Arial"/>
          <w:sz w:val="20"/>
          <w:szCs w:val="20"/>
          <w:u w:val="single" w:color="auto"/>
          <w:color w:val="231F20"/>
        </w:rPr>
      </w:pPr>
      <w:r>
        <w:rPr>
          <w:rFonts w:ascii="Arial" w:cs="Arial" w:eastAsia="Arial" w:hAnsi="Arial"/>
          <w:sz w:val="20"/>
          <w:szCs w:val="20"/>
          <w:color w:val="231F20"/>
        </w:rPr>
        <w:t>I have reviewed this annual report on Form 10-K of Unitil Corporation;</w:t>
      </w:r>
    </w:p>
    <w:p>
      <w:pPr>
        <w:spacing w:after="0" w:line="230" w:lineRule="exact"/>
        <w:rPr>
          <w:rFonts w:ascii="Arial" w:cs="Arial" w:eastAsia="Arial" w:hAnsi="Arial"/>
          <w:sz w:val="20"/>
          <w:szCs w:val="20"/>
          <w:u w:val="single" w:color="auto"/>
          <w:color w:val="231F20"/>
        </w:rPr>
      </w:pPr>
    </w:p>
    <w:p>
      <w:pPr>
        <w:jc w:val="both"/>
        <w:ind w:left="360" w:right="160" w:hanging="360"/>
        <w:spacing w:after="0" w:line="260" w:lineRule="auto"/>
        <w:tabs>
          <w:tab w:leader="none" w:pos="360" w:val="left"/>
        </w:tabs>
        <w:numPr>
          <w:ilvl w:val="0"/>
          <w:numId w:val="34"/>
        </w:numPr>
        <w:rPr>
          <w:rFonts w:ascii="Arial" w:cs="Arial" w:eastAsia="Arial" w:hAnsi="Arial"/>
          <w:sz w:val="20"/>
          <w:szCs w:val="20"/>
          <w:u w:val="single" w:color="auto"/>
          <w:color w:val="231F20"/>
        </w:rPr>
      </w:pPr>
      <w:r>
        <w:rPr>
          <w:rFonts w:ascii="Arial" w:cs="Arial" w:eastAsia="Arial" w:hAnsi="Arial"/>
          <w:sz w:val="20"/>
          <w:szCs w:val="20"/>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Arial" w:cs="Arial" w:eastAsia="Arial" w:hAnsi="Arial"/>
          <w:sz w:val="20"/>
          <w:szCs w:val="20"/>
          <w:u w:val="single" w:color="auto"/>
          <w:color w:val="231F20"/>
        </w:rPr>
      </w:pPr>
    </w:p>
    <w:p>
      <w:pPr>
        <w:jc w:val="both"/>
        <w:ind w:left="360" w:right="420" w:hanging="360"/>
        <w:spacing w:after="0" w:line="261" w:lineRule="auto"/>
        <w:tabs>
          <w:tab w:leader="none" w:pos="360" w:val="left"/>
        </w:tabs>
        <w:numPr>
          <w:ilvl w:val="0"/>
          <w:numId w:val="34"/>
        </w:numPr>
        <w:rPr>
          <w:rFonts w:ascii="Arial" w:cs="Arial" w:eastAsia="Arial" w:hAnsi="Arial"/>
          <w:sz w:val="20"/>
          <w:szCs w:val="20"/>
          <w:u w:val="single" w:color="auto"/>
          <w:color w:val="231F20"/>
        </w:rPr>
      </w:pPr>
      <w:r>
        <w:rPr>
          <w:rFonts w:ascii="Arial" w:cs="Arial" w:eastAsia="Arial" w:hAnsi="Arial"/>
          <w:sz w:val="20"/>
          <w:szCs w:val="20"/>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20"/>
          <w:szCs w:val="20"/>
          <w:u w:val="single" w:color="auto"/>
          <w:color w:val="231F20"/>
        </w:rPr>
      </w:pPr>
    </w:p>
    <w:p>
      <w:pPr>
        <w:ind w:left="360" w:right="20" w:hanging="360"/>
        <w:spacing w:after="0" w:line="254" w:lineRule="auto"/>
        <w:tabs>
          <w:tab w:leader="none" w:pos="360" w:val="left"/>
        </w:tabs>
        <w:numPr>
          <w:ilvl w:val="0"/>
          <w:numId w:val="34"/>
        </w:numPr>
        <w:rPr>
          <w:rFonts w:ascii="Arial" w:cs="Arial" w:eastAsia="Arial" w:hAnsi="Arial"/>
          <w:sz w:val="20"/>
          <w:szCs w:val="20"/>
          <w:u w:val="single" w:color="auto"/>
          <w:color w:val="231F20"/>
        </w:rPr>
      </w:pPr>
      <w:r>
        <w:rPr>
          <w:rFonts w:ascii="Arial" w:cs="Arial" w:eastAsia="Arial" w:hAnsi="Arial"/>
          <w:sz w:val="20"/>
          <w:szCs w:val="20"/>
          <w:color w:val="231F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20"/>
          <w:szCs w:val="20"/>
          <w:u w:val="single" w:color="auto"/>
          <w:color w:val="231F20"/>
        </w:rPr>
      </w:pPr>
    </w:p>
    <w:p>
      <w:pPr>
        <w:ind w:left="720" w:right="100" w:hanging="360"/>
        <w:spacing w:after="0" w:line="254" w:lineRule="auto"/>
        <w:tabs>
          <w:tab w:leader="none" w:pos="720" w:val="left"/>
        </w:tabs>
        <w:numPr>
          <w:ilvl w:val="1"/>
          <w:numId w:val="34"/>
        </w:numPr>
        <w:rPr>
          <w:rFonts w:ascii="Arial" w:cs="Arial" w:eastAsia="Arial" w:hAnsi="Arial"/>
          <w:sz w:val="20"/>
          <w:szCs w:val="20"/>
          <w:u w:val="single" w:color="auto"/>
          <w:color w:val="231F20"/>
        </w:rPr>
      </w:pPr>
      <w:r>
        <w:rPr>
          <w:rFonts w:ascii="Arial" w:cs="Arial" w:eastAsia="Arial" w:hAnsi="Arial"/>
          <w:sz w:val="20"/>
          <w:szCs w:val="20"/>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20"/>
          <w:szCs w:val="20"/>
          <w:u w:val="single" w:color="auto"/>
          <w:color w:val="231F20"/>
        </w:rPr>
      </w:pPr>
    </w:p>
    <w:p>
      <w:pPr>
        <w:ind w:left="720" w:right="600" w:hanging="360"/>
        <w:spacing w:after="0" w:line="271" w:lineRule="auto"/>
        <w:tabs>
          <w:tab w:leader="none" w:pos="720" w:val="left"/>
        </w:tabs>
        <w:numPr>
          <w:ilvl w:val="1"/>
          <w:numId w:val="34"/>
        </w:numPr>
        <w:rPr>
          <w:rFonts w:ascii="Arial" w:cs="Arial" w:eastAsia="Arial" w:hAnsi="Arial"/>
          <w:sz w:val="19"/>
          <w:szCs w:val="19"/>
          <w:u w:val="single" w:color="auto"/>
          <w:color w:val="231F20"/>
        </w:rPr>
      </w:pPr>
      <w:r>
        <w:rPr>
          <w:rFonts w:ascii="Arial" w:cs="Arial" w:eastAsia="Arial" w:hAnsi="Arial"/>
          <w:sz w:val="19"/>
          <w:szCs w:val="19"/>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9"/>
          <w:szCs w:val="19"/>
          <w:u w:val="single" w:color="auto"/>
          <w:color w:val="231F20"/>
        </w:rPr>
      </w:pPr>
    </w:p>
    <w:p>
      <w:pPr>
        <w:ind w:left="720" w:right="120" w:hanging="360"/>
        <w:spacing w:after="0" w:line="260" w:lineRule="auto"/>
        <w:tabs>
          <w:tab w:leader="none" w:pos="720" w:val="left"/>
        </w:tabs>
        <w:numPr>
          <w:ilvl w:val="1"/>
          <w:numId w:val="34"/>
        </w:numPr>
        <w:rPr>
          <w:rFonts w:ascii="Arial" w:cs="Arial" w:eastAsia="Arial" w:hAnsi="Arial"/>
          <w:sz w:val="20"/>
          <w:szCs w:val="20"/>
          <w:u w:val="single" w:color="auto"/>
          <w:color w:val="231F20"/>
        </w:rPr>
      </w:pPr>
      <w:r>
        <w:rPr>
          <w:rFonts w:ascii="Arial" w:cs="Arial" w:eastAsia="Arial" w:hAnsi="Arial"/>
          <w:sz w:val="20"/>
          <w:szCs w:val="20"/>
          <w:color w:val="231F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1" w:lineRule="exact"/>
        <w:rPr>
          <w:rFonts w:ascii="Arial" w:cs="Arial" w:eastAsia="Arial" w:hAnsi="Arial"/>
          <w:sz w:val="20"/>
          <w:szCs w:val="20"/>
          <w:u w:val="single" w:color="auto"/>
          <w:color w:val="231F20"/>
        </w:rPr>
      </w:pPr>
    </w:p>
    <w:p>
      <w:pPr>
        <w:ind w:left="720" w:right="20" w:hanging="360"/>
        <w:spacing w:after="0" w:line="254" w:lineRule="auto"/>
        <w:tabs>
          <w:tab w:leader="none" w:pos="720" w:val="left"/>
        </w:tabs>
        <w:numPr>
          <w:ilvl w:val="1"/>
          <w:numId w:val="34"/>
        </w:numPr>
        <w:rPr>
          <w:rFonts w:ascii="Arial" w:cs="Arial" w:eastAsia="Arial" w:hAnsi="Arial"/>
          <w:sz w:val="20"/>
          <w:szCs w:val="20"/>
          <w:u w:val="single" w:color="auto"/>
          <w:color w:val="231F20"/>
        </w:rPr>
      </w:pPr>
      <w:r>
        <w:rPr>
          <w:rFonts w:ascii="Arial" w:cs="Arial" w:eastAsia="Arial" w:hAnsi="Arial"/>
          <w:sz w:val="20"/>
          <w:szCs w:val="20"/>
          <w:color w:val="231F20"/>
        </w:rPr>
        <w:t>Disclosed in this report any changes in the registrant’s internal control over financial reporting that occurred during the registrant’s most recent fiscal quarter (the registrant’s fourth fiscal quarter in the case of an annual report) that has materially affected, or is reasonable likely to materially affect, the registrant’s internal controls over financial reporting; and</w:t>
      </w:r>
    </w:p>
    <w:p>
      <w:pPr>
        <w:spacing w:after="0" w:line="176" w:lineRule="exact"/>
        <w:rPr>
          <w:rFonts w:ascii="Arial" w:cs="Arial" w:eastAsia="Arial" w:hAnsi="Arial"/>
          <w:sz w:val="20"/>
          <w:szCs w:val="20"/>
          <w:u w:val="single" w:color="auto"/>
          <w:color w:val="231F20"/>
        </w:rPr>
      </w:pPr>
    </w:p>
    <w:p>
      <w:pPr>
        <w:jc w:val="both"/>
        <w:ind w:left="360" w:right="200" w:hanging="360"/>
        <w:spacing w:after="0" w:line="261" w:lineRule="auto"/>
        <w:tabs>
          <w:tab w:leader="none" w:pos="360" w:val="left"/>
        </w:tabs>
        <w:numPr>
          <w:ilvl w:val="0"/>
          <w:numId w:val="34"/>
        </w:numPr>
        <w:rPr>
          <w:rFonts w:ascii="Arial" w:cs="Arial" w:eastAsia="Arial" w:hAnsi="Arial"/>
          <w:sz w:val="20"/>
          <w:szCs w:val="20"/>
          <w:u w:val="single" w:color="auto"/>
          <w:color w:val="231F20"/>
        </w:rPr>
      </w:pPr>
      <w:r>
        <w:rPr>
          <w:rFonts w:ascii="Arial" w:cs="Arial" w:eastAsia="Arial" w:hAnsi="Arial"/>
          <w:sz w:val="20"/>
          <w:szCs w:val="20"/>
          <w:color w:val="231F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20"/>
          <w:szCs w:val="20"/>
          <w:u w:val="single" w:color="auto"/>
          <w:color w:val="231F20"/>
        </w:rPr>
      </w:pPr>
    </w:p>
    <w:p>
      <w:pPr>
        <w:ind w:left="720" w:right="160" w:hanging="360"/>
        <w:spacing w:after="0" w:line="261" w:lineRule="auto"/>
        <w:tabs>
          <w:tab w:leader="none" w:pos="720" w:val="left"/>
        </w:tabs>
        <w:numPr>
          <w:ilvl w:val="1"/>
          <w:numId w:val="34"/>
        </w:numPr>
        <w:rPr>
          <w:rFonts w:ascii="Arial" w:cs="Arial" w:eastAsia="Arial" w:hAnsi="Arial"/>
          <w:sz w:val="20"/>
          <w:szCs w:val="20"/>
          <w:u w:val="single" w:color="auto"/>
          <w:color w:val="231F20"/>
        </w:rPr>
      </w:pPr>
      <w:r>
        <w:rPr>
          <w:rFonts w:ascii="Arial" w:cs="Arial" w:eastAsia="Arial" w:hAnsi="Arial"/>
          <w:sz w:val="20"/>
          <w:szCs w:val="20"/>
          <w:color w:val="231F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Arial" w:cs="Arial" w:eastAsia="Arial" w:hAnsi="Arial"/>
          <w:sz w:val="20"/>
          <w:szCs w:val="20"/>
          <w:u w:val="single" w:color="auto"/>
          <w:color w:val="231F20"/>
        </w:rPr>
      </w:pPr>
    </w:p>
    <w:p>
      <w:pPr>
        <w:ind w:left="720" w:right="340" w:hanging="360"/>
        <w:spacing w:after="0" w:line="282" w:lineRule="auto"/>
        <w:tabs>
          <w:tab w:leader="none" w:pos="720" w:val="left"/>
        </w:tabs>
        <w:numPr>
          <w:ilvl w:val="1"/>
          <w:numId w:val="34"/>
        </w:numPr>
        <w:rPr>
          <w:rFonts w:ascii="Arial" w:cs="Arial" w:eastAsia="Arial" w:hAnsi="Arial"/>
          <w:sz w:val="20"/>
          <w:szCs w:val="20"/>
          <w:u w:val="single" w:color="auto"/>
          <w:color w:val="231F20"/>
        </w:rPr>
      </w:pPr>
      <w:r>
        <w:rPr>
          <w:rFonts w:ascii="Arial" w:cs="Arial" w:eastAsia="Arial" w:hAnsi="Arial"/>
          <w:sz w:val="20"/>
          <w:szCs w:val="20"/>
          <w:color w:val="231F20"/>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4320"/>
        <w:spacing w:after="0"/>
        <w:rPr>
          <w:sz w:val="20"/>
          <w:szCs w:val="20"/>
          <w:color w:val="auto"/>
        </w:rPr>
      </w:pPr>
      <w:r>
        <w:rPr>
          <w:rFonts w:ascii="Arial" w:cs="Arial" w:eastAsia="Arial" w:hAnsi="Arial"/>
          <w:sz w:val="20"/>
          <w:szCs w:val="20"/>
          <w:color w:val="231F20"/>
        </w:rPr>
        <w:t>Date: February 9, 2026</w:t>
      </w:r>
    </w:p>
    <w:p>
      <w:pPr>
        <w:spacing w:after="0" w:line="231" w:lineRule="exact"/>
        <w:rPr>
          <w:sz w:val="20"/>
          <w:szCs w:val="20"/>
          <w:color w:val="auto"/>
        </w:rPr>
      </w:pPr>
    </w:p>
    <w:p>
      <w:pPr>
        <w:ind w:left="4380"/>
        <w:spacing w:after="0"/>
        <w:rPr>
          <w:sz w:val="20"/>
          <w:szCs w:val="20"/>
          <w:color w:val="auto"/>
        </w:rPr>
      </w:pPr>
      <w:r>
        <w:rPr>
          <w:rFonts w:ascii="Arial" w:cs="Arial" w:eastAsia="Arial" w:hAnsi="Arial"/>
          <w:sz w:val="20"/>
          <w:szCs w:val="20"/>
          <w:color w:val="231F20"/>
        </w:rPr>
        <w:t>/s/ Todd R. Diggins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33020</wp:posOffset>
                </wp:positionV>
                <wp:extent cx="3236595"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36595" cy="4763"/>
                        </a:xfrm>
                        <a:prstGeom prst="line">
                          <a:avLst/>
                        </a:prstGeom>
                        <a:solidFill>
                          <a:srgbClr val="FFFFFF"/>
                        </a:solidFill>
                        <a:ln w="18287">
                          <a:solidFill>
                            <a:srgbClr val="231F20"/>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2.6pt" to="469.4pt,2.6pt" o:allowincell="f" strokecolor="#231F20" strokeweight="1.4399pt"/>
            </w:pict>
          </mc:Fallback>
        </mc:AlternateContent>
      </w:r>
    </w:p>
    <w:p>
      <w:pPr>
        <w:spacing w:after="0" w:line="91" w:lineRule="exact"/>
        <w:rPr>
          <w:sz w:val="20"/>
          <w:szCs w:val="20"/>
          <w:color w:val="auto"/>
        </w:rPr>
      </w:pPr>
    </w:p>
    <w:p>
      <w:pPr>
        <w:ind w:left="4320"/>
        <w:spacing w:after="0"/>
        <w:rPr>
          <w:sz w:val="20"/>
          <w:szCs w:val="20"/>
          <w:color w:val="auto"/>
        </w:rPr>
      </w:pPr>
      <w:r>
        <w:rPr>
          <w:rFonts w:ascii="Arial" w:cs="Arial" w:eastAsia="Arial" w:hAnsi="Arial"/>
          <w:sz w:val="20"/>
          <w:szCs w:val="20"/>
          <w:color w:val="231F20"/>
        </w:rPr>
        <w:t>Todd R. Diggins</w:t>
      </w:r>
    </w:p>
    <w:p>
      <w:pPr>
        <w:spacing w:after="0" w:line="58" w:lineRule="exact"/>
        <w:rPr>
          <w:sz w:val="20"/>
          <w:szCs w:val="20"/>
          <w:color w:val="auto"/>
        </w:rPr>
      </w:pPr>
    </w:p>
    <w:p>
      <w:pPr>
        <w:ind w:left="4320"/>
        <w:spacing w:after="0"/>
        <w:rPr>
          <w:sz w:val="20"/>
          <w:szCs w:val="20"/>
          <w:color w:val="auto"/>
        </w:rPr>
      </w:pPr>
      <w:r>
        <w:rPr>
          <w:rFonts w:ascii="Arial" w:cs="Arial" w:eastAsia="Arial" w:hAnsi="Arial"/>
          <w:sz w:val="20"/>
          <w:szCs w:val="20"/>
          <w:color w:val="231F20"/>
        </w:rPr>
        <w:t>Chief Accounting Officer</w:t>
      </w:r>
    </w:p>
    <w:p>
      <w:pPr>
        <w:sectPr>
          <w:pgSz w:w="12240" w:h="15840" w:orient="portrait"/>
          <w:cols w:equalWidth="0" w:num="1">
            <w:col w:w="9360"/>
          </w:cols>
          <w:pgMar w:left="1440" w:top="1126" w:right="1440" w:bottom="1003" w:gutter="0" w:footer="0" w:header="0"/>
        </w:sectPr>
      </w:pPr>
    </w:p>
    <w:bookmarkStart w:id="129" w:name="page130"/>
    <w:bookmarkEnd w:id="129"/>
    <w:p>
      <w:pPr>
        <w:jc w:val="right"/>
        <w:spacing w:after="0"/>
        <w:rPr>
          <w:sz w:val="20"/>
          <w:szCs w:val="20"/>
          <w:color w:val="auto"/>
        </w:rPr>
      </w:pPr>
      <w:r>
        <w:rPr>
          <w:rFonts w:ascii="Arial" w:cs="Arial" w:eastAsia="Arial" w:hAnsi="Arial"/>
          <w:sz w:val="20"/>
          <w:szCs w:val="20"/>
          <w:b w:val="1"/>
          <w:bCs w:val="1"/>
          <w:color w:val="231F20"/>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59"/>
        <w:spacing w:after="0"/>
        <w:rPr>
          <w:sz w:val="20"/>
          <w:szCs w:val="20"/>
          <w:color w:val="auto"/>
        </w:rPr>
      </w:pPr>
      <w:r>
        <w:rPr>
          <w:rFonts w:ascii="Arial" w:cs="Arial" w:eastAsia="Arial" w:hAnsi="Arial"/>
          <w:sz w:val="20"/>
          <w:szCs w:val="20"/>
          <w:b w:val="1"/>
          <w:bCs w:val="1"/>
          <w:color w:val="231F20"/>
        </w:rPr>
        <w:t>CERTIFICATION PURSUANT TO</w:t>
      </w:r>
    </w:p>
    <w:p>
      <w:pPr>
        <w:spacing w:after="0" w:line="29" w:lineRule="exact"/>
        <w:rPr>
          <w:sz w:val="20"/>
          <w:szCs w:val="20"/>
          <w:color w:val="auto"/>
        </w:rPr>
      </w:pPr>
    </w:p>
    <w:p>
      <w:pPr>
        <w:jc w:val="center"/>
        <w:ind w:right="-359"/>
        <w:spacing w:after="0"/>
        <w:rPr>
          <w:sz w:val="20"/>
          <w:szCs w:val="20"/>
          <w:color w:val="auto"/>
        </w:rPr>
      </w:pPr>
      <w:r>
        <w:rPr>
          <w:rFonts w:ascii="Arial" w:cs="Arial" w:eastAsia="Arial" w:hAnsi="Arial"/>
          <w:sz w:val="20"/>
          <w:szCs w:val="20"/>
          <w:b w:val="1"/>
          <w:bCs w:val="1"/>
          <w:color w:val="231F20"/>
        </w:rPr>
        <w:t>18 U.S.C. SECTION 1350,</w:t>
      </w:r>
    </w:p>
    <w:p>
      <w:pPr>
        <w:jc w:val="center"/>
        <w:ind w:right="-359"/>
        <w:spacing w:after="0"/>
        <w:rPr>
          <w:sz w:val="20"/>
          <w:szCs w:val="20"/>
          <w:color w:val="auto"/>
        </w:rPr>
      </w:pPr>
      <w:r>
        <w:rPr>
          <w:rFonts w:ascii="Arial" w:cs="Arial" w:eastAsia="Arial" w:hAnsi="Arial"/>
          <w:sz w:val="20"/>
          <w:szCs w:val="20"/>
          <w:b w:val="1"/>
          <w:bCs w:val="1"/>
          <w:color w:val="231F20"/>
        </w:rPr>
        <w:t>AS ADOPTED PURSUANT TO</w:t>
      </w:r>
    </w:p>
    <w:p>
      <w:pPr>
        <w:jc w:val="center"/>
        <w:ind w:right="-359"/>
        <w:spacing w:after="0"/>
        <w:rPr>
          <w:sz w:val="20"/>
          <w:szCs w:val="20"/>
          <w:color w:val="auto"/>
        </w:rPr>
      </w:pPr>
      <w:r>
        <w:rPr>
          <w:rFonts w:ascii="Arial" w:cs="Arial" w:eastAsia="Arial" w:hAnsi="Arial"/>
          <w:sz w:val="20"/>
          <w:szCs w:val="20"/>
          <w:b w:val="1"/>
          <w:bCs w:val="1"/>
          <w:color w:val="231F20"/>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60" w:right="60"/>
        <w:spacing w:after="0" w:line="248" w:lineRule="auto"/>
        <w:rPr>
          <w:sz w:val="20"/>
          <w:szCs w:val="20"/>
          <w:color w:val="auto"/>
        </w:rPr>
      </w:pPr>
      <w:r>
        <w:rPr>
          <w:rFonts w:ascii="Arial" w:cs="Arial" w:eastAsia="Arial" w:hAnsi="Arial"/>
          <w:sz w:val="20"/>
          <w:szCs w:val="20"/>
          <w:color w:val="231F20"/>
        </w:rPr>
        <w:t>In connection with the Annual Report of Unitil Corporation (the "Company") on Form 10-K for the year ended December 31, 2025 as filed with the Securities and Exchange Commission on the date hereof (the "Report"), each of the undersigned Thomas P. Meissner, Jr., Chief Executive Officer, Daniel J. Hurstak, Chief Financial Officer, and Todd R. Diggins, Chief Accounting Officer, certifies, to the best knowledge and belief of the signatory, pursuant to 18 U.S.C. section 1350, as adopted pursuant to section 906 of the Sarbanes-Oxley Act of 2002, that:</w:t>
      </w:r>
    </w:p>
    <w:p>
      <w:pPr>
        <w:spacing w:after="0" w:line="185" w:lineRule="exact"/>
        <w:rPr>
          <w:sz w:val="20"/>
          <w:szCs w:val="20"/>
          <w:color w:val="auto"/>
        </w:rPr>
      </w:pPr>
    </w:p>
    <w:p>
      <w:pPr>
        <w:ind w:left="1160" w:right="640" w:hanging="440"/>
        <w:spacing w:after="0" w:line="282" w:lineRule="auto"/>
        <w:tabs>
          <w:tab w:leader="none" w:pos="1160" w:val="left"/>
        </w:tabs>
        <w:numPr>
          <w:ilvl w:val="0"/>
          <w:numId w:val="35"/>
        </w:numPr>
        <w:rPr>
          <w:rFonts w:ascii="Arial" w:cs="Arial" w:eastAsia="Arial" w:hAnsi="Arial"/>
          <w:sz w:val="20"/>
          <w:szCs w:val="20"/>
          <w:color w:val="231F20"/>
        </w:rPr>
      </w:pPr>
      <w:r>
        <w:rPr>
          <w:rFonts w:ascii="Arial" w:cs="Arial" w:eastAsia="Arial" w:hAnsi="Arial"/>
          <w:sz w:val="20"/>
          <w:szCs w:val="20"/>
          <w:color w:val="231F20"/>
        </w:rPr>
        <w:t>The Report fully complies with the requirements of Section 13(a) or 15(d) of the Securities Exchange Act of 1934; and</w:t>
      </w:r>
    </w:p>
    <w:p>
      <w:pPr>
        <w:spacing w:after="0" w:line="150" w:lineRule="exact"/>
        <w:rPr>
          <w:rFonts w:ascii="Arial" w:cs="Arial" w:eastAsia="Arial" w:hAnsi="Arial"/>
          <w:sz w:val="20"/>
          <w:szCs w:val="20"/>
          <w:color w:val="231F20"/>
        </w:rPr>
      </w:pPr>
    </w:p>
    <w:p>
      <w:pPr>
        <w:ind w:left="1160" w:right="480" w:hanging="440"/>
        <w:spacing w:after="0" w:line="282" w:lineRule="auto"/>
        <w:tabs>
          <w:tab w:leader="none" w:pos="1160" w:val="left"/>
        </w:tabs>
        <w:numPr>
          <w:ilvl w:val="0"/>
          <w:numId w:val="35"/>
        </w:numPr>
        <w:rPr>
          <w:rFonts w:ascii="Arial" w:cs="Arial" w:eastAsia="Arial" w:hAnsi="Arial"/>
          <w:sz w:val="20"/>
          <w:szCs w:val="20"/>
          <w:color w:val="231F20"/>
        </w:rPr>
      </w:pPr>
      <w:r>
        <w:rPr>
          <w:rFonts w:ascii="Arial" w:cs="Arial" w:eastAsia="Arial" w:hAnsi="Arial"/>
          <w:sz w:val="20"/>
          <w:szCs w:val="20"/>
          <w:color w:val="231F20"/>
        </w:rPr>
        <w:t>The information contained in the Report fairly presents, in all material respects, the financial condition and results of operations of the Company.</w:t>
      </w:r>
    </w:p>
    <w:p>
      <w:pPr>
        <w:spacing w:after="0" w:line="399"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980" w:type="dxa"/>
            <w:vAlign w:val="bottom"/>
          </w:tcPr>
          <w:p>
            <w:pPr>
              <w:spacing w:after="0"/>
              <w:rPr>
                <w:sz w:val="19"/>
                <w:szCs w:val="19"/>
                <w:color w:val="auto"/>
              </w:rPr>
            </w:pPr>
          </w:p>
        </w:tc>
        <w:tc>
          <w:tcPr>
            <w:tcW w:w="860" w:type="dxa"/>
            <w:vAlign w:val="bottom"/>
            <w:tcBorders>
              <w:bottom w:val="single" w:sz="8" w:color="231F20"/>
            </w:tcBorders>
          </w:tcPr>
          <w:p>
            <w:pPr>
              <w:spacing w:after="0"/>
              <w:rPr>
                <w:sz w:val="20"/>
                <w:szCs w:val="20"/>
                <w:color w:val="auto"/>
              </w:rPr>
            </w:pPr>
            <w:r>
              <w:rPr>
                <w:rFonts w:ascii="Arial" w:cs="Arial" w:eastAsia="Arial" w:hAnsi="Arial"/>
                <w:sz w:val="20"/>
                <w:szCs w:val="20"/>
                <w:color w:val="231F20"/>
                <w:w w:val="98"/>
              </w:rPr>
              <w:t>Signature</w:t>
            </w:r>
          </w:p>
        </w:tc>
        <w:tc>
          <w:tcPr>
            <w:tcW w:w="9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80" w:type="dxa"/>
            <w:vAlign w:val="bottom"/>
            <w:tcBorders>
              <w:bottom w:val="single" w:sz="8" w:color="231F20"/>
            </w:tcBorders>
          </w:tcPr>
          <w:p>
            <w:pPr>
              <w:spacing w:after="0"/>
              <w:rPr>
                <w:sz w:val="20"/>
                <w:szCs w:val="20"/>
                <w:color w:val="auto"/>
              </w:rPr>
            </w:pPr>
            <w:r>
              <w:rPr>
                <w:rFonts w:ascii="Arial" w:cs="Arial" w:eastAsia="Arial" w:hAnsi="Arial"/>
                <w:sz w:val="20"/>
                <w:szCs w:val="20"/>
                <w:color w:val="231F20"/>
                <w:w w:val="97"/>
              </w:rPr>
              <w:t>Capacity</w:t>
            </w:r>
          </w:p>
        </w:tc>
        <w:tc>
          <w:tcPr>
            <w:tcW w:w="9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40" w:type="dxa"/>
            <w:vAlign w:val="bottom"/>
            <w:tcBorders>
              <w:bottom w:val="single" w:sz="8" w:color="231F20"/>
            </w:tcBorders>
          </w:tcPr>
          <w:p>
            <w:pPr>
              <w:spacing w:after="0"/>
              <w:rPr>
                <w:sz w:val="20"/>
                <w:szCs w:val="20"/>
                <w:color w:val="auto"/>
              </w:rPr>
            </w:pPr>
            <w:r>
              <w:rPr>
                <w:rFonts w:ascii="Arial" w:cs="Arial" w:eastAsia="Arial" w:hAnsi="Arial"/>
                <w:sz w:val="20"/>
                <w:szCs w:val="20"/>
                <w:color w:val="231F20"/>
                <w:w w:val="99"/>
              </w:rPr>
              <w:t>Date</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0"/>
        </w:trPr>
        <w:tc>
          <w:tcPr>
            <w:tcW w:w="2820" w:type="dxa"/>
            <w:vAlign w:val="bottom"/>
            <w:tcBorders>
              <w:bottom w:val="single" w:sz="8" w:color="231F20"/>
            </w:tcBorders>
            <w:gridSpan w:val="3"/>
          </w:tcPr>
          <w:p>
            <w:pPr>
              <w:ind w:left="160"/>
              <w:spacing w:after="0"/>
              <w:rPr>
                <w:sz w:val="20"/>
                <w:szCs w:val="20"/>
                <w:color w:val="auto"/>
              </w:rPr>
            </w:pPr>
            <w:r>
              <w:rPr>
                <w:rFonts w:ascii="Arial" w:cs="Arial" w:eastAsia="Arial" w:hAnsi="Arial"/>
                <w:sz w:val="20"/>
                <w:szCs w:val="20"/>
                <w:color w:val="231F20"/>
              </w:rPr>
              <w:t>/s/ Thomas P. Meissner, Jr.</w:t>
            </w:r>
          </w:p>
        </w:tc>
        <w:tc>
          <w:tcPr>
            <w:tcW w:w="3380" w:type="dxa"/>
            <w:vAlign w:val="bottom"/>
            <w:gridSpan w:val="3"/>
            <w:vMerge w:val="restart"/>
          </w:tcPr>
          <w:p>
            <w:pPr>
              <w:ind w:left="380"/>
              <w:spacing w:after="0"/>
              <w:rPr>
                <w:sz w:val="20"/>
                <w:szCs w:val="20"/>
                <w:color w:val="auto"/>
              </w:rPr>
            </w:pPr>
            <w:r>
              <w:rPr>
                <w:rFonts w:ascii="Arial" w:cs="Arial" w:eastAsia="Arial" w:hAnsi="Arial"/>
                <w:sz w:val="20"/>
                <w:szCs w:val="20"/>
                <w:color w:val="231F20"/>
              </w:rPr>
              <w:t>Chief Executive Officer</w:t>
            </w:r>
          </w:p>
        </w:tc>
        <w:tc>
          <w:tcPr>
            <w:tcW w:w="2380" w:type="dxa"/>
            <w:vAlign w:val="bottom"/>
            <w:gridSpan w:val="3"/>
            <w:vMerge w:val="restart"/>
          </w:tcPr>
          <w:p>
            <w:pPr>
              <w:ind w:left="860"/>
              <w:spacing w:after="0"/>
              <w:rPr>
                <w:sz w:val="20"/>
                <w:szCs w:val="20"/>
                <w:color w:val="auto"/>
              </w:rPr>
            </w:pPr>
            <w:r>
              <w:rPr>
                <w:rFonts w:ascii="Arial" w:cs="Arial" w:eastAsia="Arial" w:hAnsi="Arial"/>
                <w:sz w:val="20"/>
                <w:szCs w:val="20"/>
                <w:color w:val="231F20"/>
                <w:w w:val="98"/>
              </w:rPr>
              <w:t>February 9, 2026</w:t>
            </w:r>
          </w:p>
        </w:tc>
        <w:tc>
          <w:tcPr>
            <w:tcW w:w="0" w:type="dxa"/>
            <w:vAlign w:val="bottom"/>
          </w:tcPr>
          <w:p>
            <w:pPr>
              <w:spacing w:after="0"/>
              <w:rPr>
                <w:sz w:val="1"/>
                <w:szCs w:val="1"/>
                <w:color w:val="auto"/>
              </w:rPr>
            </w:pPr>
          </w:p>
        </w:tc>
      </w:tr>
      <w:tr>
        <w:trPr>
          <w:trHeight w:val="260"/>
        </w:trPr>
        <w:tc>
          <w:tcPr>
            <w:tcW w:w="2820" w:type="dxa"/>
            <w:vAlign w:val="bottom"/>
            <w:gridSpan w:val="3"/>
          </w:tcPr>
          <w:p>
            <w:pPr>
              <w:ind w:left="440"/>
              <w:spacing w:after="0"/>
              <w:rPr>
                <w:sz w:val="20"/>
                <w:szCs w:val="20"/>
                <w:color w:val="auto"/>
              </w:rPr>
            </w:pPr>
            <w:r>
              <w:rPr>
                <w:rFonts w:ascii="Arial" w:cs="Arial" w:eastAsia="Arial" w:hAnsi="Arial"/>
                <w:sz w:val="20"/>
                <w:szCs w:val="20"/>
                <w:color w:val="231F20"/>
              </w:rPr>
              <w:t>Thomas P. Meissner, Jr.</w:t>
            </w:r>
          </w:p>
        </w:tc>
        <w:tc>
          <w:tcPr>
            <w:tcW w:w="3380" w:type="dxa"/>
            <w:vAlign w:val="bottom"/>
            <w:gridSpan w:val="3"/>
            <w:vMerge w:val="continue"/>
          </w:tcPr>
          <w:p>
            <w:pPr>
              <w:spacing w:after="0"/>
              <w:rPr>
                <w:sz w:val="22"/>
                <w:szCs w:val="22"/>
                <w:color w:val="auto"/>
              </w:rPr>
            </w:pPr>
          </w:p>
        </w:tc>
        <w:tc>
          <w:tcPr>
            <w:tcW w:w="238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651"/>
        </w:trPr>
        <w:tc>
          <w:tcPr>
            <w:tcW w:w="2820" w:type="dxa"/>
            <w:vAlign w:val="bottom"/>
            <w:tcBorders>
              <w:bottom w:val="single" w:sz="8" w:color="231F20"/>
            </w:tcBorders>
            <w:gridSpan w:val="3"/>
          </w:tcPr>
          <w:p>
            <w:pPr>
              <w:ind w:left="160"/>
              <w:spacing w:after="0"/>
              <w:rPr>
                <w:sz w:val="20"/>
                <w:szCs w:val="20"/>
                <w:color w:val="auto"/>
              </w:rPr>
            </w:pPr>
            <w:r>
              <w:rPr>
                <w:rFonts w:ascii="Arial" w:cs="Arial" w:eastAsia="Arial" w:hAnsi="Arial"/>
                <w:sz w:val="20"/>
                <w:szCs w:val="20"/>
                <w:color w:val="231F20"/>
              </w:rPr>
              <w:t>/s/ Daniel J. Hurstak</w:t>
            </w:r>
          </w:p>
        </w:tc>
        <w:tc>
          <w:tcPr>
            <w:tcW w:w="3380" w:type="dxa"/>
            <w:vAlign w:val="bottom"/>
            <w:gridSpan w:val="3"/>
            <w:vMerge w:val="restart"/>
          </w:tcPr>
          <w:p>
            <w:pPr>
              <w:ind w:left="380"/>
              <w:spacing w:after="0"/>
              <w:rPr>
                <w:sz w:val="20"/>
                <w:szCs w:val="20"/>
                <w:color w:val="auto"/>
              </w:rPr>
            </w:pPr>
            <w:r>
              <w:rPr>
                <w:rFonts w:ascii="Arial" w:cs="Arial" w:eastAsia="Arial" w:hAnsi="Arial"/>
                <w:sz w:val="20"/>
                <w:szCs w:val="20"/>
                <w:color w:val="231F20"/>
              </w:rPr>
              <w:t>Chief Financial Officer</w:t>
            </w:r>
          </w:p>
        </w:tc>
        <w:tc>
          <w:tcPr>
            <w:tcW w:w="2380" w:type="dxa"/>
            <w:vAlign w:val="bottom"/>
            <w:gridSpan w:val="3"/>
            <w:vMerge w:val="restart"/>
          </w:tcPr>
          <w:p>
            <w:pPr>
              <w:ind w:left="860"/>
              <w:spacing w:after="0"/>
              <w:rPr>
                <w:sz w:val="20"/>
                <w:szCs w:val="20"/>
                <w:color w:val="auto"/>
              </w:rPr>
            </w:pPr>
            <w:r>
              <w:rPr>
                <w:rFonts w:ascii="Arial" w:cs="Arial" w:eastAsia="Arial" w:hAnsi="Arial"/>
                <w:sz w:val="20"/>
                <w:szCs w:val="20"/>
                <w:color w:val="231F20"/>
                <w:w w:val="98"/>
              </w:rPr>
              <w:t>February 9, 2026</w:t>
            </w:r>
          </w:p>
        </w:tc>
        <w:tc>
          <w:tcPr>
            <w:tcW w:w="0" w:type="dxa"/>
            <w:vAlign w:val="bottom"/>
          </w:tcPr>
          <w:p>
            <w:pPr>
              <w:spacing w:after="0"/>
              <w:rPr>
                <w:sz w:val="1"/>
                <w:szCs w:val="1"/>
                <w:color w:val="auto"/>
              </w:rPr>
            </w:pPr>
          </w:p>
        </w:tc>
      </w:tr>
      <w:tr>
        <w:trPr>
          <w:trHeight w:val="260"/>
        </w:trPr>
        <w:tc>
          <w:tcPr>
            <w:tcW w:w="2820" w:type="dxa"/>
            <w:vAlign w:val="bottom"/>
            <w:gridSpan w:val="3"/>
          </w:tcPr>
          <w:p>
            <w:pPr>
              <w:ind w:left="440"/>
              <w:spacing w:after="0"/>
              <w:rPr>
                <w:sz w:val="20"/>
                <w:szCs w:val="20"/>
                <w:color w:val="auto"/>
              </w:rPr>
            </w:pPr>
            <w:r>
              <w:rPr>
                <w:rFonts w:ascii="Arial" w:cs="Arial" w:eastAsia="Arial" w:hAnsi="Arial"/>
                <w:sz w:val="20"/>
                <w:szCs w:val="20"/>
                <w:color w:val="231F20"/>
              </w:rPr>
              <w:t>Daniel J. Hurstak</w:t>
            </w:r>
          </w:p>
        </w:tc>
        <w:tc>
          <w:tcPr>
            <w:tcW w:w="3380" w:type="dxa"/>
            <w:vAlign w:val="bottom"/>
            <w:gridSpan w:val="3"/>
            <w:vMerge w:val="continue"/>
          </w:tcPr>
          <w:p>
            <w:pPr>
              <w:spacing w:after="0"/>
              <w:rPr>
                <w:sz w:val="22"/>
                <w:szCs w:val="22"/>
                <w:color w:val="auto"/>
              </w:rPr>
            </w:pPr>
          </w:p>
        </w:tc>
        <w:tc>
          <w:tcPr>
            <w:tcW w:w="238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649"/>
        </w:trPr>
        <w:tc>
          <w:tcPr>
            <w:tcW w:w="2820" w:type="dxa"/>
            <w:vAlign w:val="bottom"/>
            <w:tcBorders>
              <w:bottom w:val="single" w:sz="8" w:color="231F20"/>
            </w:tcBorders>
            <w:gridSpan w:val="3"/>
          </w:tcPr>
          <w:p>
            <w:pPr>
              <w:ind w:left="160"/>
              <w:spacing w:after="0"/>
              <w:rPr>
                <w:sz w:val="20"/>
                <w:szCs w:val="20"/>
                <w:color w:val="auto"/>
              </w:rPr>
            </w:pPr>
            <w:r>
              <w:rPr>
                <w:rFonts w:ascii="Arial" w:cs="Arial" w:eastAsia="Arial" w:hAnsi="Arial"/>
                <w:sz w:val="20"/>
                <w:szCs w:val="20"/>
                <w:color w:val="231F20"/>
              </w:rPr>
              <w:t>/s/ Todd R. Diggins</w:t>
            </w:r>
          </w:p>
        </w:tc>
        <w:tc>
          <w:tcPr>
            <w:tcW w:w="3380" w:type="dxa"/>
            <w:vAlign w:val="bottom"/>
            <w:gridSpan w:val="3"/>
            <w:vMerge w:val="restart"/>
          </w:tcPr>
          <w:p>
            <w:pPr>
              <w:ind w:left="380"/>
              <w:spacing w:after="0"/>
              <w:rPr>
                <w:sz w:val="20"/>
                <w:szCs w:val="20"/>
                <w:color w:val="auto"/>
              </w:rPr>
            </w:pPr>
            <w:r>
              <w:rPr>
                <w:rFonts w:ascii="Arial" w:cs="Arial" w:eastAsia="Arial" w:hAnsi="Arial"/>
                <w:sz w:val="20"/>
                <w:szCs w:val="20"/>
                <w:color w:val="231F20"/>
              </w:rPr>
              <w:t>Chief Accounting Officer</w:t>
            </w:r>
          </w:p>
        </w:tc>
        <w:tc>
          <w:tcPr>
            <w:tcW w:w="2380" w:type="dxa"/>
            <w:vAlign w:val="bottom"/>
            <w:gridSpan w:val="3"/>
            <w:vMerge w:val="restart"/>
          </w:tcPr>
          <w:p>
            <w:pPr>
              <w:ind w:left="860"/>
              <w:spacing w:after="0"/>
              <w:rPr>
                <w:sz w:val="20"/>
                <w:szCs w:val="20"/>
                <w:color w:val="auto"/>
              </w:rPr>
            </w:pPr>
            <w:r>
              <w:rPr>
                <w:rFonts w:ascii="Arial" w:cs="Arial" w:eastAsia="Arial" w:hAnsi="Arial"/>
                <w:sz w:val="20"/>
                <w:szCs w:val="20"/>
                <w:color w:val="231F20"/>
                <w:w w:val="98"/>
              </w:rPr>
              <w:t>February 9, 2026</w:t>
            </w:r>
          </w:p>
        </w:tc>
        <w:tc>
          <w:tcPr>
            <w:tcW w:w="0" w:type="dxa"/>
            <w:vAlign w:val="bottom"/>
          </w:tcPr>
          <w:p>
            <w:pPr>
              <w:spacing w:after="0"/>
              <w:rPr>
                <w:sz w:val="1"/>
                <w:szCs w:val="1"/>
                <w:color w:val="auto"/>
              </w:rPr>
            </w:pPr>
          </w:p>
        </w:tc>
      </w:tr>
      <w:tr>
        <w:trPr>
          <w:trHeight w:val="260"/>
        </w:trPr>
        <w:tc>
          <w:tcPr>
            <w:tcW w:w="2820" w:type="dxa"/>
            <w:vAlign w:val="bottom"/>
            <w:gridSpan w:val="3"/>
          </w:tcPr>
          <w:p>
            <w:pPr>
              <w:ind w:left="440"/>
              <w:spacing w:after="0"/>
              <w:rPr>
                <w:sz w:val="20"/>
                <w:szCs w:val="20"/>
                <w:color w:val="auto"/>
              </w:rPr>
            </w:pPr>
            <w:r>
              <w:rPr>
                <w:rFonts w:ascii="Arial" w:cs="Arial" w:eastAsia="Arial" w:hAnsi="Arial"/>
                <w:sz w:val="20"/>
                <w:szCs w:val="20"/>
                <w:color w:val="231F20"/>
              </w:rPr>
              <w:t>Todd R. Diggins</w:t>
            </w:r>
          </w:p>
        </w:tc>
        <w:tc>
          <w:tcPr>
            <w:tcW w:w="3380" w:type="dxa"/>
            <w:vAlign w:val="bottom"/>
            <w:gridSpan w:val="3"/>
            <w:vMerge w:val="continue"/>
          </w:tcPr>
          <w:p>
            <w:pPr>
              <w:spacing w:after="0"/>
              <w:rPr>
                <w:sz w:val="22"/>
                <w:szCs w:val="22"/>
                <w:color w:val="auto"/>
              </w:rPr>
            </w:pPr>
          </w:p>
        </w:tc>
        <w:tc>
          <w:tcPr>
            <w:tcW w:w="238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bl>
    <w:p>
      <w:pPr>
        <w:sectPr>
          <w:pgSz w:w="12240" w:h="15840" w:orient="portrait"/>
          <w:cols w:equalWidth="0" w:num="1">
            <w:col w:w="9720"/>
          </w:cols>
          <w:pgMar w:left="1440" w:top="696" w:right="1080" w:bottom="1440" w:gutter="0" w:footer="0" w:header="0"/>
        </w:sectPr>
      </w:pPr>
    </w:p>
    <w:bookmarkStart w:id="130" w:name="page131"/>
    <w:bookmarkEnd w:id="130"/>
    <w:p>
      <w:pPr>
        <w:spacing w:after="0"/>
        <w:rPr>
          <w:sz w:val="20"/>
          <w:szCs w:val="20"/>
          <w:color w:val="auto"/>
        </w:rPr>
      </w:pPr>
    </w:p>
    <w:p>
      <w:pPr>
        <w:sectPr>
          <w:pgSz w:w="12240" w:h="15840" w:orient="portrait"/>
          <w:cols w:equalWidth="1" w:num="1" w:space="0"/>
          <w:pgMar w:left="1440" w:top="1440" w:right="1440" w:bottom="875" w:gutter="0" w:footer="0" w:header="0"/>
        </w:sectPr>
      </w:pPr>
    </w:p>
    <w:bookmarkStart w:id="131" w:name="page132"/>
    <w:bookmarkEnd w:id="131"/>
    <w:p>
      <w:pPr>
        <w:spacing w:after="0"/>
        <w:rPr>
          <w:sz w:val="20"/>
          <w:szCs w:val="20"/>
          <w:color w:val="auto"/>
        </w:rPr>
      </w:pPr>
    </w:p>
    <w:p>
      <w:pPr>
        <w:sectPr>
          <w:pgSz w:w="12240" w:h="15840" w:orient="portrait"/>
          <w:cols w:equalWidth="1" w:num="1" w:space="0"/>
          <w:pgMar w:left="1440" w:top="1440" w:right="1440" w:bottom="875" w:gutter="0" w:footer="0" w:header="0"/>
        </w:sectPr>
      </w:pPr>
    </w:p>
    <w:bookmarkStart w:id="132" w:name="page133"/>
    <w:bookmarkEnd w:id="132"/>
    <w:p>
      <w:pPr>
        <w:spacing w:after="0"/>
        <w:rPr>
          <w:sz w:val="20"/>
          <w:szCs w:val="20"/>
          <w:color w:val="auto"/>
        </w:rPr>
      </w:pPr>
    </w:p>
    <w:p>
      <w:pPr>
        <w:sectPr>
          <w:pgSz w:w="12240" w:h="15840" w:orient="portrait"/>
          <w:cols w:equalWidth="1" w:num="1" w:space="0"/>
          <w:pgMar w:left="1440" w:top="1440" w:right="1440" w:bottom="875" w:gutter="0" w:footer="0" w:header="0"/>
        </w:sectPr>
      </w:pPr>
    </w:p>
    <w:bookmarkStart w:id="133" w:name="page134"/>
    <w:bookmarkEnd w:id="1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60">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20"/>
        <w:spacing w:after="0"/>
        <w:rPr>
          <w:sz w:val="20"/>
          <w:szCs w:val="20"/>
          <w:color w:val="auto"/>
        </w:rPr>
      </w:pPr>
      <w:r>
        <w:rPr>
          <w:rFonts w:ascii="Arial" w:cs="Arial" w:eastAsia="Arial" w:hAnsi="Arial"/>
          <w:sz w:val="14"/>
          <w:szCs w:val="14"/>
          <w:color w:val="FFFFFF"/>
        </w:rPr>
        <w:t>This product is made of material from</w:t>
      </w:r>
    </w:p>
    <w:p>
      <w:pPr>
        <w:spacing w:after="0" w:line="20" w:lineRule="exact"/>
        <w:rPr>
          <w:sz w:val="20"/>
          <w:szCs w:val="20"/>
          <w:color w:val="auto"/>
        </w:rPr>
      </w:pPr>
    </w:p>
    <w:p>
      <w:pPr>
        <w:ind w:left="1220"/>
        <w:spacing w:after="0"/>
        <w:rPr>
          <w:sz w:val="20"/>
          <w:szCs w:val="20"/>
          <w:color w:val="auto"/>
        </w:rPr>
      </w:pPr>
      <w:r>
        <w:rPr>
          <w:rFonts w:ascii="Arial" w:cs="Arial" w:eastAsia="Arial" w:hAnsi="Arial"/>
          <w:sz w:val="14"/>
          <w:szCs w:val="14"/>
          <w:color w:val="FFFFFF"/>
        </w:rPr>
        <w:t>well-managed FSC®-certified forests, recycled</w:t>
      </w:r>
    </w:p>
    <w:p>
      <w:pPr>
        <w:spacing w:after="0" w:line="19" w:lineRule="exact"/>
        <w:rPr>
          <w:sz w:val="20"/>
          <w:szCs w:val="20"/>
          <w:color w:val="auto"/>
        </w:rPr>
      </w:pPr>
    </w:p>
    <w:p>
      <w:pPr>
        <w:ind w:left="1220"/>
        <w:spacing w:after="0"/>
        <w:rPr>
          <w:sz w:val="20"/>
          <w:szCs w:val="20"/>
          <w:color w:val="auto"/>
        </w:rPr>
      </w:pPr>
      <w:r>
        <w:rPr>
          <w:rFonts w:ascii="Arial" w:cs="Arial" w:eastAsia="Arial" w:hAnsi="Arial"/>
          <w:sz w:val="14"/>
          <w:szCs w:val="14"/>
          <w:color w:val="FFFFFF"/>
        </w:rPr>
        <w:t>materials, and other controlled sources.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30"/>
          <w:szCs w:val="30"/>
          <w:b w:val="1"/>
          <w:bCs w:val="1"/>
          <w:color w:val="468AC9"/>
        </w:rPr>
        <w:t>Unitil Corporation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FFFFFF"/>
        </w:rPr>
        <w:t>6 Liberty Lane West</w:t>
      </w:r>
    </w:p>
    <w:p>
      <w:pPr>
        <w:spacing w:after="0" w:line="49" w:lineRule="exact"/>
        <w:rPr>
          <w:sz w:val="20"/>
          <w:szCs w:val="20"/>
          <w:color w:val="auto"/>
        </w:rPr>
      </w:pPr>
    </w:p>
    <w:p>
      <w:pPr>
        <w:sectPr>
          <w:pgSz w:w="12240" w:h="15840" w:orient="portrait"/>
          <w:cols w:equalWidth="0" w:num="2">
            <w:col w:w="6380" w:space="720"/>
            <w:col w:w="2620"/>
          </w:cols>
          <w:pgMar w:left="1440" w:top="1440" w:right="1080" w:bottom="288" w:gutter="0" w:footer="0" w:header="0"/>
        </w:sectPr>
      </w:pPr>
    </w:p>
    <w:p>
      <w:pPr>
        <w:jc w:val="right"/>
        <w:ind w:right="360"/>
        <w:spacing w:after="0" w:line="188" w:lineRule="auto"/>
        <w:rPr>
          <w:sz w:val="20"/>
          <w:szCs w:val="20"/>
          <w:color w:val="auto"/>
        </w:rPr>
      </w:pPr>
      <w:r>
        <w:rPr>
          <w:rFonts w:ascii="Arial" w:cs="Arial" w:eastAsia="Arial" w:hAnsi="Arial"/>
          <w:sz w:val="17"/>
          <w:szCs w:val="17"/>
          <w:color w:val="FFFFFF"/>
        </w:rPr>
        <w:t>Hampton, NH 03842-1720</w:t>
      </w:r>
    </w:p>
    <w:p>
      <w:pPr>
        <w:ind w:left="1220"/>
        <w:spacing w:after="0" w:line="181" w:lineRule="auto"/>
        <w:rPr>
          <w:sz w:val="20"/>
          <w:szCs w:val="20"/>
          <w:color w:val="auto"/>
        </w:rPr>
      </w:pPr>
      <w:r>
        <w:rPr>
          <w:rFonts w:ascii="Arial" w:cs="Arial" w:eastAsia="Arial" w:hAnsi="Arial"/>
          <w:sz w:val="16"/>
          <w:szCs w:val="16"/>
          <w:color w:val="FFFFFF"/>
        </w:rPr>
        <w:t>001CSR0115</w:t>
      </w:r>
    </w:p>
    <w:p>
      <w:pPr>
        <w:ind w:left="7100"/>
        <w:spacing w:after="0" w:line="218" w:lineRule="auto"/>
        <w:rPr>
          <w:sz w:val="20"/>
          <w:szCs w:val="20"/>
          <w:color w:val="auto"/>
        </w:rPr>
      </w:pPr>
      <w:r>
        <w:rPr>
          <w:rFonts w:ascii="Arial" w:cs="Arial" w:eastAsia="Arial" w:hAnsi="Arial"/>
          <w:sz w:val="20"/>
          <w:szCs w:val="20"/>
          <w:color w:val="E67324"/>
        </w:rPr>
        <w:t>unitil.com</w:t>
      </w:r>
    </w:p>
    <w:sectPr>
      <w:pgSz w:w="12240" w:h="15840" w:orient="portrait"/>
      <w:cols w:equalWidth="0" w:num="1">
        <w:col w:w="9720"/>
      </w:cols>
      <w:pgMar w:left="1440" w:top="1440" w:right="1080" w:bottom="28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Symbol">
    <w:panose1 w:val="020B0502040204020203"/>
    <w:charset w:val="00"/>
    <w:family w:val="swiss"/>
    <w:pitch w:val="variable"/>
    <w:sig w:usb0="800001E3" w:usb1="1200FFEF" w:usb2="00040000" w:usb3="04000000" w:csb0="00000001" w:csb1="4000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bullet"/>
      <w:start w:val="1"/>
    </w:lvl>
  </w:abstractNum>
  <w:abstractNum w:abstractNumId="1">
    <w:nsid w:val="3F2DBA31"/>
    <w:multiLevelType w:val="hybridMultilevel"/>
    <w:lvl w:ilvl="0">
      <w:lvlJc w:val="left"/>
      <w:lvlText w:val="2"/>
      <w:numFmt w:val="bullet"/>
      <w:start w:val="1"/>
    </w:lvl>
  </w:abstractNum>
  <w:abstractNum w:abstractNumId="2">
    <w:nsid w:val="7C83E458"/>
    <w:multiLevelType w:val="hybridMultilevel"/>
    <w:lvl w:ilvl="0">
      <w:lvlJc w:val="left"/>
      <w:lvlText w:val="3"/>
      <w:numFmt w:val="bullet"/>
      <w:start w:val="1"/>
    </w:lvl>
  </w:abstractNum>
  <w:abstractNum w:abstractNumId="3">
    <w:nsid w:val="257130A3"/>
    <w:multiLevelType w:val="hybridMultilevel"/>
    <w:lvl w:ilvl="0">
      <w:lvlJc w:val="left"/>
      <w:lvlText w:val="5"/>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lowerRoman"/>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2026-03-27T12:28:39Z</dcterms:created>
  <dcterms:modified xsi:type="dcterms:W3CDTF">2026-03-27T12:28:39Z</dcterms:modified>
</cp:coreProperties>
</file>