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Alonzo Anne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 LIBERTY LANE WEST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HAMPTON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equivalent in value to one share of Unitil Corporation's common stock, no par value ("Common Stock"), and represents the right to receive a combination of cash and Common Stock after separation from service on Unitil Corporation's Board of Directors. Each restricted stock unit is fully vested upon grant and is payable 70% in Common Stock and 30% in cash, based upon the closing price of Common Stock on the day prior to settlement.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Meissner, Jr., attorney-in-fact for Anne L. Alonzo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4560" TargetMode="External"/><Relationship Id="rId5" Type="http://schemas.openxmlformats.org/officeDocument/2006/relationships/hyperlink" Target="http://www.sec.gov/cgi-bin/browse-edgar?action=getcompany&amp;CIK=00007550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3502</Characters>
  <CharactersWithSpaces>4086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