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utl-20261021.htm"/>
      <w:bookmarkStart w:id="1" w:name="ksutl2026102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14" w:type="dxa"/>
        <w:jc w:val="left"/>
        <w:tblInd w:w="0" w:type="dxa"/>
        <w:tblLayout w:type="fixed"/>
        <w:tblCellMar>
          <w:top w:w="28" w:type="dxa"/>
          <w:left w:w="28" w:type="dxa"/>
          <w:bottom w:w="28" w:type="dxa"/>
          <w:right w:w="28" w:type="dxa"/>
        </w:tblCellMar>
      </w:tblPr>
      <w:tblGrid>
        <w:gridCol w:w="5714"/>
      </w:tblGrid>
      <w:tr>
        <w:trPr/>
        <w:tc>
          <w:tcPr>
            <w:tcW w:w="5714" w:type="dxa"/>
            <w:tcBorders/>
            <w:vAlign w:val="center"/>
          </w:tcPr>
          <w:p>
            <w:pPr>
              <w:pStyle w:val="TableContents"/>
              <w:bidi w:val="0"/>
              <w:spacing w:before="0" w:after="283"/>
              <w:jc w:val="left"/>
              <w:rPr>
                <w:sz w:val="4"/>
                <w:szCs w:val="4"/>
              </w:rPr>
            </w:pPr>
            <w:r>
              <w:rPr>
                <w:sz w:val="4"/>
                <w:szCs w:val="4"/>
              </w:rPr>
            </w:r>
          </w:p>
        </w:tc>
      </w:tr>
      <w:tr>
        <w:trPr/>
        <w:tc>
          <w:tcPr>
            <w:tcW w:w="571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October 21,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UNITIL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1"/>
        <w:gridCol w:w="864"/>
        <w:gridCol w:w="870"/>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Hampshire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1-8858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02-0381573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 Liberty Lane West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Hampton, New Hampshire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03842-1720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(603)</w:t>
            </w:r>
            <w:r>
              <w:rPr>
                <w:rFonts w:ascii="Times New Roman" w:hAnsi="Times New Roman"/>
                <w:color w:val="000000"/>
                <w:sz w:val="20"/>
              </w:rPr>
              <w:t xml:space="preserve"> </w:t>
            </w:r>
            <w:r>
              <w:rPr>
                <w:rFonts w:ascii="Times New Roman" w:hAnsi="Times New Roman"/>
                <w:b/>
                <w:color w:val="000000"/>
                <w:sz w:val="20"/>
              </w:rPr>
              <w:t>772-0775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On October 21, 2026, Maine Natural Gas Corporation (“Maine Natural”), a natural gas distribution utility subsidiary of Unitil Corporation (the “Company” or the “Registrant”), entered into a Note Purchase Agreement with Lincoln National Reinsurance Company (Barbados) Limited, The Lincoln National Life Insurance Company, and CoBank, ACB (the “Note Purchase Agreement”) pursuant to which it issued and sold $40,000,000 of 5.95% Senior Unsecured Notes, due October 21, 2031 (the “Notes”).</w:t>
      </w:r>
    </w:p>
    <w:p>
      <w:pPr>
        <w:pStyle w:val="TextBody"/>
        <w:bidi w:val="0"/>
        <w:jc w:val="left"/>
        <w:rPr>
          <w:rFonts w:ascii="Times New Roman" w:hAnsi="Times New Roman"/>
          <w:color w:val="000000"/>
          <w:sz w:val="20"/>
        </w:rPr>
      </w:pPr>
      <w:r>
        <w:rPr>
          <w:rFonts w:ascii="Times New Roman" w:hAnsi="Times New Roman"/>
          <w:color w:val="000000"/>
          <w:sz w:val="20"/>
        </w:rPr>
        <w:t>The Note Purchase Agreement and the Notes collectively contain customary representations and warranties, covenants and events of default for a transaction of this type. The Notes may or will become immediately due and payable upon an event of default, as described in the Note Purchase Agreement.</w:t>
      </w:r>
    </w:p>
    <w:p>
      <w:pPr>
        <w:pStyle w:val="TextBody"/>
        <w:bidi w:val="0"/>
        <w:jc w:val="left"/>
        <w:rPr>
          <w:rFonts w:ascii="Times New Roman" w:hAnsi="Times New Roman"/>
          <w:color w:val="000000"/>
          <w:sz w:val="20"/>
        </w:rPr>
      </w:pPr>
      <w:r>
        <w:rPr>
          <w:rFonts w:ascii="Times New Roman" w:hAnsi="Times New Roman"/>
          <w:color w:val="000000"/>
          <w:sz w:val="20"/>
        </w:rPr>
        <w:t>The foregoing summary of the Note Purchase Agreement and the Notes does not purport to be complete and is subject to, and qualified in its entirety by, the full text of such documents, the executed copies or forms of which are attached hereto as exhibits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Certain of the purchasers of the Notes (or their affiliates) are holders of other indebtedness of the Company or its subsidiaries.</w:t>
      </w:r>
    </w:p>
    <w:p>
      <w:pPr>
        <w:pStyle w:val="TextBody"/>
        <w:bidi w:val="0"/>
        <w:jc w:val="left"/>
        <w:rPr>
          <w:rFonts w:ascii="Times New Roman" w:hAnsi="Times New Roman"/>
          <w:color w:val="000000"/>
          <w:sz w:val="20"/>
        </w:rPr>
      </w:pPr>
      <w:r>
        <w:rPr>
          <w:rFonts w:ascii="Times New Roman" w:hAnsi="Times New Roman"/>
          <w:color w:val="000000"/>
          <w:sz w:val="20"/>
        </w:rPr>
        <w:t>Maine Natural plans to use the net proceeds from this long-term financing to refinance existing debt of the Company (on a consolidated basis) and/or for general corporate purposes.</w:t>
      </w:r>
    </w:p>
    <w:p>
      <w:pPr>
        <w:pStyle w:val="TextBody"/>
        <w:bidi w:val="0"/>
        <w:jc w:val="left"/>
        <w:rPr>
          <w:rFonts w:ascii="Times New Roman" w:hAnsi="Times New Roman"/>
          <w:color w:val="000000"/>
          <w:sz w:val="20"/>
        </w:rPr>
      </w:pPr>
      <w:r>
        <w:rPr>
          <w:rFonts w:ascii="Times New Roman" w:hAnsi="Times New Roman"/>
          <w:color w:val="000000"/>
          <w:sz w:val="20"/>
        </w:rPr>
        <w:t>Maine Natural offered the Notes principally to institutional investors in an offering made pursuant to the exemption from registration requirements under Section 4(a)(2) of the Securities Act of 1933, as amended (“Act”).</w:t>
      </w:r>
    </w:p>
    <w:p>
      <w:pPr>
        <w:pStyle w:val="TextBody"/>
        <w:bidi w:val="0"/>
        <w:jc w:val="left"/>
        <w:rPr>
          <w:rFonts w:ascii="Times New Roman" w:hAnsi="Times New Roman"/>
          <w:color w:val="000000"/>
          <w:sz w:val="20"/>
        </w:rPr>
      </w:pPr>
      <w:r>
        <w:rPr>
          <w:rFonts w:ascii="Times New Roman" w:hAnsi="Times New Roman"/>
          <w:color w:val="000000"/>
          <w:sz w:val="20"/>
        </w:rPr>
        <w:t>The Notes have not been and will not be registered under the Act, or any state securities laws, and may not be offered or sold in the United States absent registration or an applicable exemption from the registration requirements of the Act and applicable state securities laws.</w:t>
      </w:r>
    </w:p>
    <w:p>
      <w:pPr>
        <w:pStyle w:val="TextBody"/>
        <w:bidi w:val="0"/>
        <w:jc w:val="left"/>
        <w:rPr>
          <w:rFonts w:ascii="Times New Roman" w:hAnsi="Times New Roman"/>
          <w:color w:val="000000"/>
          <w:sz w:val="20"/>
        </w:rPr>
      </w:pPr>
      <w:r>
        <w:rPr>
          <w:rFonts w:ascii="Times New Roman" w:hAnsi="Times New Roman"/>
          <w:color w:val="000000"/>
          <w:sz w:val="20"/>
        </w:rPr>
        <w:t>The Company intends this notice to comply with Rule 135c of the Act and, accordingly, this notice does not constitute an offer to sell or the solicitation of an offer to buy any security and shall not constitute an offer, solicitation or sale of any securities in any jurisdiction in which such offer, solicitation or sale would be unlawful.</w:t>
      </w:r>
    </w:p>
    <w:p>
      <w:pPr>
        <w:pStyle w:val="TextBody"/>
        <w:bidi w:val="0"/>
        <w:jc w:val="left"/>
        <w:rPr>
          <w:rFonts w:ascii="Times New Roman" w:hAnsi="Times New Roman"/>
          <w:color w:val="000000"/>
          <w:sz w:val="20"/>
        </w:rPr>
      </w:pPr>
      <w:r>
        <w:rPr>
          <w:rFonts w:ascii="Times New Roman" w:hAnsi="Times New Roman"/>
          <w:color w:val="000000"/>
          <w:sz w:val="20"/>
        </w:rPr>
        <w:t>The Note Purchase Agreement and a Note have been attached as exhibits to this Current Report on Form 8-K to provide investors with information regarding their terms. The representations, warranties and covenants contained in such documents were made only for purposes of such documents and as of specific dates, were solely for the benefit of the parties to such documents, and are subject to limitations agreed upon by the parties to such documents. Moreover, the representations and warranties contained in such documents were made for the purpose of allocating contractual risk between the parties to such documents instead of establishing matters as facts, and may be subject to standards of materiality applicable to the parties to such documents that differ from those applicable to investors generally. Investors (other than the parties to such documents) are not third-party beneficiaries under such documents and should not rely on the representations, warranties and covenants contained therein or any descriptions thereof as characterizations of the actual state of facts or condition of the Company or any of its subsidiaries or affiliates.</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1.02 Termination of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As previously reported, on June 30, 2026, the Company entered into an Amended and Restated Credit Agreement dated as of June 30, 2026 among the following parties (the “Credit Agreement”): the Company; The Bank of Nova Scotia, as agent; and The Bank of Nova Scotia, as lender.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22, 2026, the Company repaid all outstanding amounts under the Credit Agreement, without premium or penalty. The Company may not reborrow any portion of the repaid amounts under the Credit Agreement. The Credit Agreement was scheduled to terminate on June 30, 2027, and all amounts outstanding under its tranche A loan (which related to the Company’s acquisition of Maine Natural Gas Corporation) were due and payable on October 31, 2026 and under its tranche B loan (which related to the Company’s acquisition of Aquarion Water Company of New Hampshire, Inc. (“AWC-NH”) and Abenaki Water Co., Inc. (“Abenaki”)) were due and payable on June 30, 2027. The Credit Agreement had a borrowing limit of $86.0 million with respect to its tranche A loan and $50.0 million with respect to its tranche B loan.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Agreement generally provided Unitil with the ability to elect from one of two options with respect to interest on outstanding amounts. The Credit Agreement contained customary terms, conditions, restrictions and events of default for credit facilities of this type, including affirmative and negative covenants.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summary of the Credit Agreement and the transactions contemplated thereby does not purport to be complete and is subject to, and qualified in its entirety by, the full text of the Credit Agreement included as Exhibit 4.3 to this Form 8-K.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Neither Unitil nor any of its controlled affiliates has any material relationship with The Bank of Nova Scotia, other than with respect to (i) the Credit Agreement, (ii) the debt commitment letter dated May 6, 2025 between Unitil and The Bank of Nova Scotia relating to the acquisition of Aquarion Water Company of Massachusetts, Inc. (“AWC-MA”), AWC-NH, and Abenaki, (iii) advice provided by The Bank of Nova Scotia or its affiliates in connection with the acquisition of AWC-MA, AWC-NH, and Abenaki, (iv) the debt commitment letter dated March 31, 2025 between the Company and The Bank of Nova Scotia relating to the acquisition of Maine Natural Gas Corporation, a Maine corporation, (vi) advice provided by The Bank of Nova Scotia or its affiliates in connection with the acquisition of Maine Natural Gas Corporation, (v) the debt commitment letter dated July 8, 2024 between the Company and The Bank of Nova Scotia relating to the acquisition of Bangor Natural Gas Company, a Maine corporation, (vi) advice provided by The Bank of Nova Scotia or its affiliates in connection with the acquisition of Bangor Natural Gas Company, and (vii) other customary banking and investment banking relationships.</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2.03 Creation of a Direct Financial Obligation or an Obligation under an Off-Balance Sheet Arrangement of a Registrant.</w:t>
      </w:r>
    </w:p>
    <w:p>
      <w:pPr>
        <w:pStyle w:val="TextBody"/>
        <w:bidi w:val="0"/>
        <w:jc w:val="left"/>
        <w:rPr>
          <w:rFonts w:ascii="Times New Roman" w:hAnsi="Times New Roman"/>
          <w:color w:val="000000"/>
          <w:sz w:val="20"/>
        </w:rPr>
      </w:pPr>
      <w:r>
        <w:rPr>
          <w:rFonts w:ascii="Times New Roman" w:hAnsi="Times New Roman"/>
          <w:color w:val="000000"/>
          <w:sz w:val="20"/>
        </w:rPr>
        <w:t>The disclosure in Item 1.01 is incorporated by reference into this Item 2.03.</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4"/>
        <w:gridCol w:w="6335"/>
        <w:gridCol w:w="2826"/>
      </w:tblGrid>
      <w:tr>
        <w:trPr/>
        <w:tc>
          <w:tcPr>
            <w:tcW w:w="1044"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10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Exhibit Number</w:t>
            </w:r>
          </w:p>
        </w:tc>
        <w:tc>
          <w:tcPr>
            <w:tcW w:w="63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Description of Exhibit</w:t>
            </w:r>
          </w:p>
        </w:tc>
        <w:tc>
          <w:tcPr>
            <w:tcW w:w="2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Reference (1)</w:t>
            </w:r>
          </w:p>
        </w:tc>
      </w:tr>
      <w:tr>
        <w:trPr/>
        <w:tc>
          <w:tcPr>
            <w:tcW w:w="1044" w:type="dxa"/>
            <w:tcBorders/>
            <w:tcMar>
              <w:top w:w="0" w:type="dxa"/>
              <w:left w:w="0" w:type="dxa"/>
              <w:bottom w:w="0" w:type="dxa"/>
              <w:right w:w="0" w:type="dxa"/>
            </w:tcMar>
            <w:vAlign w:val="center"/>
          </w:tcPr>
          <w:p>
            <w:pPr>
              <w:pStyle w:val="TableContents"/>
              <w:bidi w:val="0"/>
              <w:spacing w:before="0" w:after="283"/>
              <w:jc w:val="left"/>
              <w:rPr/>
            </w:pPr>
            <w:r>
              <w:rPr/>
              <w:t> </w:t>
            </w:r>
          </w:p>
        </w:tc>
        <w:tc>
          <w:tcPr>
            <w:tcW w:w="6335" w:type="dxa"/>
            <w:tcBorders/>
            <w:tcMar>
              <w:top w:w="0" w:type="dxa"/>
              <w:left w:w="0" w:type="dxa"/>
              <w:bottom w:w="0" w:type="dxa"/>
              <w:right w:w="0" w:type="dxa"/>
            </w:tcMar>
            <w:vAlign w:val="center"/>
          </w:tcPr>
          <w:p>
            <w:pPr>
              <w:pStyle w:val="TableContents"/>
              <w:bidi w:val="0"/>
              <w:spacing w:before="0" w:after="283"/>
              <w:jc w:val="left"/>
              <w:rPr/>
            </w:pPr>
            <w:r>
              <w:rPr/>
              <w:t> </w:t>
            </w:r>
          </w:p>
        </w:tc>
        <w:tc>
          <w:tcPr>
            <w:tcW w:w="2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 (2)</w:t>
            </w:r>
          </w:p>
        </w:tc>
        <w:tc>
          <w:tcPr>
            <w:tcW w:w="6335" w:type="dxa"/>
            <w:tcBorders/>
            <w:tcMar>
              <w:top w:w="0" w:type="dxa"/>
              <w:left w:w="0" w:type="dxa"/>
              <w:bottom w:w="0" w:type="dxa"/>
              <w:right w:w="0" w:type="dxa"/>
            </w:tcMar>
            <w:vAlign w:val="center"/>
          </w:tcPr>
          <w:p>
            <w:pPr>
              <w:pStyle w:val="TableContents"/>
              <w:bidi w:val="0"/>
              <w:spacing w:before="0" w:after="283"/>
              <w:jc w:val="left"/>
              <w:rPr/>
            </w:pPr>
            <w:hyperlink w:anchor="utl-ex4_1.htm">
              <w:r>
                <w:rPr>
                  <w:rStyle w:val="InternetLink"/>
                  <w:rFonts w:ascii="Times New Roman" w:hAnsi="Times New Roman"/>
                  <w:color w:val="0000FF"/>
                  <w:sz w:val="20"/>
                  <w:u w:val="single"/>
                </w:rPr>
                <w:t>Note Purchase Agreement dated October 21, 2026, by and among Maine Natural Gas Corporation and the several purchasers named therein.</w:t>
              </w:r>
            </w:hyperlink>
          </w:p>
        </w:tc>
        <w:tc>
          <w:tcPr>
            <w:tcW w:w="2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044" w:type="dxa"/>
            <w:tcBorders/>
            <w:tcMar>
              <w:top w:w="0" w:type="dxa"/>
              <w:left w:w="0" w:type="dxa"/>
              <w:bottom w:w="0" w:type="dxa"/>
              <w:right w:w="0" w:type="dxa"/>
            </w:tcMar>
            <w:vAlign w:val="center"/>
          </w:tcPr>
          <w:p>
            <w:pPr>
              <w:pStyle w:val="TableContents"/>
              <w:bidi w:val="0"/>
              <w:spacing w:before="0" w:after="283"/>
              <w:jc w:val="left"/>
              <w:rPr/>
            </w:pPr>
            <w:r>
              <w:rPr/>
              <w:t> </w:t>
            </w:r>
          </w:p>
        </w:tc>
        <w:tc>
          <w:tcPr>
            <w:tcW w:w="6335" w:type="dxa"/>
            <w:tcBorders/>
            <w:tcMar>
              <w:top w:w="0" w:type="dxa"/>
              <w:left w:w="0" w:type="dxa"/>
              <w:bottom w:w="0" w:type="dxa"/>
              <w:right w:w="0" w:type="dxa"/>
            </w:tcMar>
            <w:vAlign w:val="center"/>
          </w:tcPr>
          <w:p>
            <w:pPr>
              <w:pStyle w:val="TableContents"/>
              <w:bidi w:val="0"/>
              <w:spacing w:before="0" w:after="283"/>
              <w:jc w:val="left"/>
              <w:rPr/>
            </w:pPr>
            <w:r>
              <w:rPr/>
              <w:t> </w:t>
            </w:r>
          </w:p>
        </w:tc>
        <w:tc>
          <w:tcPr>
            <w:tcW w:w="28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 (3)</w:t>
            </w:r>
          </w:p>
        </w:tc>
        <w:tc>
          <w:tcPr>
            <w:tcW w:w="6335" w:type="dxa"/>
            <w:tcBorders/>
            <w:tcMar>
              <w:top w:w="0" w:type="dxa"/>
              <w:left w:w="0" w:type="dxa"/>
              <w:bottom w:w="0" w:type="dxa"/>
              <w:right w:w="0" w:type="dxa"/>
            </w:tcMar>
            <w:vAlign w:val="center"/>
          </w:tcPr>
          <w:p>
            <w:pPr>
              <w:pStyle w:val="TableContents"/>
              <w:bidi w:val="0"/>
              <w:spacing w:before="0" w:after="283"/>
              <w:jc w:val="left"/>
              <w:rPr/>
            </w:pPr>
            <w:hyperlink w:anchor="utl-ex4_2.htm">
              <w:r>
                <w:rPr>
                  <w:rStyle w:val="InternetLink"/>
                  <w:rFonts w:ascii="Times New Roman" w:hAnsi="Times New Roman"/>
                  <w:color w:val="0000FF"/>
                  <w:sz w:val="20"/>
                  <w:u w:val="single"/>
                </w:rPr>
                <w:t>5.95% Senior Note, due October 21, 2031, issued by Maine Natural Gas Corporation to Lincoln National Reinsurance Company (Barbados) Limited</w:t>
              </w:r>
            </w:hyperlink>
          </w:p>
        </w:tc>
        <w:tc>
          <w:tcPr>
            <w:tcW w:w="2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044" w:type="dxa"/>
            <w:tcBorders/>
            <w:tcMar>
              <w:top w:w="0" w:type="dxa"/>
              <w:left w:w="0" w:type="dxa"/>
              <w:bottom w:w="0" w:type="dxa"/>
              <w:right w:w="0" w:type="dxa"/>
            </w:tcMar>
            <w:vAlign w:val="center"/>
          </w:tcPr>
          <w:p>
            <w:pPr>
              <w:pStyle w:val="TableContents"/>
              <w:bidi w:val="0"/>
              <w:spacing w:before="0" w:after="283"/>
              <w:jc w:val="left"/>
              <w:rPr/>
            </w:pPr>
            <w:r>
              <w:rPr/>
              <w:t> </w:t>
            </w:r>
          </w:p>
        </w:tc>
        <w:tc>
          <w:tcPr>
            <w:tcW w:w="6335" w:type="dxa"/>
            <w:tcBorders/>
            <w:tcMar>
              <w:top w:w="0" w:type="dxa"/>
              <w:left w:w="0" w:type="dxa"/>
              <w:bottom w:w="0" w:type="dxa"/>
              <w:right w:w="0" w:type="dxa"/>
            </w:tcMar>
            <w:vAlign w:val="center"/>
          </w:tcPr>
          <w:p>
            <w:pPr>
              <w:pStyle w:val="TableContents"/>
              <w:bidi w:val="0"/>
              <w:spacing w:before="0" w:after="283"/>
              <w:jc w:val="left"/>
              <w:rPr/>
            </w:pPr>
            <w:r>
              <w:rPr/>
              <w:t> </w:t>
            </w:r>
          </w:p>
        </w:tc>
        <w:tc>
          <w:tcPr>
            <w:tcW w:w="28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 (2)</w:t>
            </w:r>
          </w:p>
        </w:tc>
        <w:tc>
          <w:tcPr>
            <w:tcW w:w="633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Credit Agreement dated June 30, 2026 among Unitil Corporation, The Bank of Nova Scotia, as agent, and The Bank of Nova Scotia, as lender</w:t>
              </w:r>
            </w:hyperlink>
          </w:p>
        </w:tc>
        <w:tc>
          <w:tcPr>
            <w:tcW w:w="282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00"/>
                  <w:sz w:val="20"/>
                </w:rPr>
                <w:t>Exhibit 4.1 to Form 8-K for June 30, 2026 (SEC File No. 1-8858)</w:t>
              </w:r>
            </w:hyperlink>
          </w:p>
        </w:tc>
      </w:tr>
      <w:tr>
        <w:trPr/>
        <w:tc>
          <w:tcPr>
            <w:tcW w:w="1044" w:type="dxa"/>
            <w:tcBorders/>
            <w:tcMar>
              <w:top w:w="0" w:type="dxa"/>
              <w:left w:w="0" w:type="dxa"/>
              <w:bottom w:w="0" w:type="dxa"/>
              <w:right w:w="0" w:type="dxa"/>
            </w:tcMar>
            <w:vAlign w:val="center"/>
          </w:tcPr>
          <w:p>
            <w:pPr>
              <w:pStyle w:val="TableContents"/>
              <w:bidi w:val="0"/>
              <w:spacing w:before="0" w:after="283"/>
              <w:jc w:val="left"/>
              <w:rPr/>
            </w:pPr>
            <w:r>
              <w:rPr/>
              <w:t> </w:t>
            </w:r>
          </w:p>
        </w:tc>
        <w:tc>
          <w:tcPr>
            <w:tcW w:w="6335" w:type="dxa"/>
            <w:tcBorders/>
            <w:tcMar>
              <w:top w:w="0" w:type="dxa"/>
              <w:left w:w="0" w:type="dxa"/>
              <w:bottom w:w="0" w:type="dxa"/>
              <w:right w:w="0" w:type="dxa"/>
            </w:tcMar>
            <w:vAlign w:val="center"/>
          </w:tcPr>
          <w:p>
            <w:pPr>
              <w:pStyle w:val="TableContents"/>
              <w:bidi w:val="0"/>
              <w:spacing w:before="0" w:after="283"/>
              <w:jc w:val="left"/>
              <w:rPr/>
            </w:pPr>
            <w:r>
              <w:rPr/>
              <w:t> </w:t>
            </w:r>
          </w:p>
        </w:tc>
        <w:tc>
          <w:tcPr>
            <w:tcW w:w="28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3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w:t>
            </w:r>
          </w:p>
        </w:tc>
        <w:tc>
          <w:tcPr>
            <w:tcW w:w="2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exhibits referred to in this column by specific designations and dates have heretofore been filed with or furnished to the Securities and Exchange Commission under such designations and are hereby incorporated by reference.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accordance with Item 601(a)(5) of Regulation S-K, this exhibit omits certain of its schedules and exhibits. This exhibit’s table of contents, or the cover page of its omitted schedules and exhibits,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note is substantially identical in all material respects to other notes that are otherwise required to be filed as exhibits, except as to the</w:t>
        <w:br/>
        <w:t>registered payee of such note, the identifying number of such note, and the principal amount of such note. In accordance with instruction no. 2 to Item 601 of Regulation S-K, the Registrant has filed a copy of only one of such notes, with a schedule identifying the other notes omitted and setting forth the material details in which such notes differ from the note that was filed. The Registrant acknowledges that the Securities and Exchange Commission may at any time in its discretion require filing of copies of any notes so omitted.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549" w:type="dxa"/>
        <w:jc w:val="left"/>
        <w:tblInd w:w="0" w:type="dxa"/>
        <w:tblLayout w:type="fixed"/>
        <w:tblCellMar>
          <w:top w:w="28" w:type="dxa"/>
          <w:left w:w="28" w:type="dxa"/>
          <w:bottom w:w="28" w:type="dxa"/>
          <w:right w:w="28" w:type="dxa"/>
        </w:tblCellMar>
      </w:tblPr>
      <w:tblGrid>
        <w:gridCol w:w="556"/>
        <w:gridCol w:w="1516"/>
        <w:gridCol w:w="451"/>
        <w:gridCol w:w="502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UNITIL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0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Daniel J. Hurstak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Senior Vice President, Chief Financial Officer, and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utl-ex4_1.htm"/>
      <w:bookmarkStart w:id="3" w:name="ksutlex4_1"/>
      <w:bookmarkEnd w:id="2"/>
      <w:bookmarkEnd w:id="3"/>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4.1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NOTE 1: In accordance with Item 601(a)(5) of Regulation S-K, this exhibit omits certain of its schedules and exhibits. This exhibit’s table of contents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NOTE 2: In accordance with Item 601(b)(2)(ii) of Regulation S-K, certain information has been excluded from this exhibit because it is both not material and is of the type that the registrant treats as private or confidential. Whenever information is excluded from this exhibit, such exclusions are denoted by “[information omitted]”.</w:t>
      </w:r>
    </w:p>
    <w:p>
      <w:pPr>
        <w:pStyle w:val="TextBody"/>
        <w:bidi w:val="0"/>
        <w:jc w:val="right"/>
        <w:rPr>
          <w:rFonts w:ascii="Times New Roman" w:hAnsi="Times New Roman"/>
          <w:smallCaps/>
          <w:color w:val="000000"/>
          <w:sz w:val="24"/>
        </w:rPr>
      </w:pPr>
      <w:r>
        <w:rPr>
          <w:rFonts w:ascii="Times New Roman" w:hAnsi="Times New Roman"/>
          <w:smallCaps/>
          <w:color w:val="000000"/>
          <w:sz w:val="24"/>
        </w:rPr>
        <w:t>Execution Version</w:t>
      </w:r>
    </w:p>
    <w:p>
      <w:pPr>
        <w:pStyle w:val="TextBody"/>
        <w:pBdr>
          <w:bottom w:val="double" w:sz="6" w:space="1" w:color="000000"/>
        </w:pBdr>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80" w:after="283"/>
        <w:jc w:val="center"/>
        <w:rPr>
          <w:rFonts w:ascii="Times New Roman" w:hAnsi="Times New Roman"/>
          <w:smallCaps/>
          <w:color w:val="000000"/>
          <w:sz w:val="24"/>
        </w:rPr>
      </w:pPr>
      <w:r>
        <w:rPr>
          <w:rFonts w:ascii="Times New Roman" w:hAnsi="Times New Roman"/>
          <w:smallCaps/>
          <w:color w:val="000000"/>
          <w:sz w:val="24"/>
        </w:rPr>
        <w:t>Maine Natural Gas Corporation</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$40,000,000</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 xml:space="preserve">$40,000,000 5.95% Senior Notes, </w:t>
        <w:br/>
        <w:t>due October 21, 2031</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______________</w:t>
      </w:r>
    </w:p>
    <w:p>
      <w:pPr>
        <w:pStyle w:val="TextBody"/>
        <w:bidi w:val="0"/>
        <w:spacing w:before="360" w:after="283"/>
        <w:jc w:val="center"/>
        <w:rPr>
          <w:rFonts w:ascii="Times New Roman" w:hAnsi="Times New Roman"/>
          <w:smallCaps/>
          <w:color w:val="000000"/>
          <w:sz w:val="24"/>
        </w:rPr>
      </w:pPr>
      <w:r>
        <w:rPr>
          <w:rFonts w:ascii="Times New Roman" w:hAnsi="Times New Roman"/>
          <w:smallCaps/>
          <w:color w:val="000000"/>
          <w:sz w:val="24"/>
        </w:rPr>
        <w:t>Note Purchase Agreement</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______________</w:t>
      </w:r>
    </w:p>
    <w:p>
      <w:pPr>
        <w:pStyle w:val="TextBody"/>
        <w:bidi w:val="0"/>
        <w:jc w:val="center"/>
        <w:rPr/>
      </w:pPr>
      <w:r>
        <w:rPr/>
        <w:t> </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Dated as of October 21,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Table of Contents</w:t>
      </w:r>
    </w:p>
    <w:tbl>
      <w:tblPr>
        <w:tblW w:w="2643" w:type="dxa"/>
        <w:jc w:val="left"/>
        <w:tblInd w:w="0" w:type="dxa"/>
        <w:tblLayout w:type="fixed"/>
        <w:tblCellMar>
          <w:top w:w="28" w:type="dxa"/>
          <w:left w:w="28" w:type="dxa"/>
          <w:bottom w:w="28" w:type="dxa"/>
          <w:right w:w="28" w:type="dxa"/>
        </w:tblCellMar>
      </w:tblPr>
      <w:tblGrid>
        <w:gridCol w:w="961"/>
        <w:gridCol w:w="1006"/>
        <w:gridCol w:w="676"/>
      </w:tblGrid>
      <w:tr>
        <w:trPr/>
        <w:tc>
          <w:tcPr>
            <w:tcW w:w="9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mallCaps/>
                <w:color w:val="000000"/>
                <w:sz w:val="24"/>
              </w:rPr>
            </w:pPr>
            <w:r>
              <w:rPr>
                <w:rFonts w:ascii="Times New Roman" w:hAnsi="Times New Roman"/>
                <w:smallCaps/>
                <w:color w:val="000000"/>
                <w:sz w:val="24"/>
              </w:rPr>
              <w:t>Section</w:t>
            </w:r>
          </w:p>
        </w:tc>
        <w:tc>
          <w:tcPr>
            <w:tcW w:w="10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smallCaps/>
                <w:color w:val="000000"/>
                <w:sz w:val="24"/>
              </w:rPr>
            </w:pPr>
            <w:r>
              <w:rPr>
                <w:rFonts w:ascii="Times New Roman" w:hAnsi="Times New Roman"/>
                <w:smallCaps/>
                <w:color w:val="000000"/>
                <w:sz w:val="24"/>
              </w:rPr>
              <w:t>Heading</w:t>
            </w:r>
          </w:p>
        </w:tc>
        <w:tc>
          <w:tcPr>
            <w:tcW w:w="676"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smallCaps/>
                <w:color w:val="000000"/>
                <w:sz w:val="24"/>
              </w:rPr>
            </w:pPr>
            <w:r>
              <w:rPr>
                <w:rFonts w:ascii="Times New Roman" w:hAnsi="Times New Roman"/>
                <w:smallCaps/>
                <w:color w:val="000000"/>
                <w:sz w:val="24"/>
              </w:rPr>
              <w:t>Page</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16"/>
        <w:gridCol w:w="6277"/>
        <w:gridCol w:w="2912"/>
      </w:tblGrid>
      <w:tr>
        <w:trPr/>
        <w:tc>
          <w:tcPr>
            <w:tcW w:w="1016" w:type="dxa"/>
            <w:tcBorders/>
            <w:vAlign w:val="center"/>
          </w:tcPr>
          <w:p>
            <w:pPr>
              <w:pStyle w:val="TableContents"/>
              <w:bidi w:val="0"/>
              <w:spacing w:before="0" w:after="283"/>
              <w:jc w:val="left"/>
              <w:rPr>
                <w:sz w:val="4"/>
                <w:szCs w:val="4"/>
              </w:rPr>
            </w:pPr>
            <w:r>
              <w:rPr>
                <w:sz w:val="4"/>
                <w:szCs w:val="4"/>
              </w:rPr>
            </w:r>
          </w:p>
        </w:tc>
        <w:tc>
          <w:tcPr>
            <w:tcW w:w="6277"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w:t>
            </w:r>
          </w:p>
        </w:tc>
        <w:tc>
          <w:tcPr>
            <w:tcW w:w="627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smallCaps/>
                <w:color w:val="000000"/>
                <w:sz w:val="24"/>
              </w:rPr>
            </w:pPr>
            <w:r>
              <w:rPr>
                <w:rFonts w:ascii="Times New Roman" w:hAnsi="Times New Roman"/>
                <w:smallCaps/>
                <w:color w:val="000000"/>
                <w:sz w:val="24"/>
              </w:rPr>
              <w:t>Authorization of Notes</w:t>
            </w:r>
          </w:p>
        </w:tc>
        <w:tc>
          <w:tcPr>
            <w:tcW w:w="291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smallCaps/>
                <w:color w:val="000000"/>
                <w:sz w:val="24"/>
              </w:rPr>
            </w:pPr>
            <w:r>
              <w:rPr>
                <w:rFonts w:ascii="Times New Roman" w:hAnsi="Times New Roman"/>
                <w:smallCaps/>
                <w:color w:val="000000"/>
                <w:sz w:val="24"/>
              </w:rPr>
              <w:t>1</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w:t>
            </w:r>
          </w:p>
        </w:tc>
        <w:tc>
          <w:tcPr>
            <w:tcW w:w="62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Sale and Purchase of Notes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1</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3.</w:t>
            </w:r>
          </w:p>
        </w:tc>
        <w:tc>
          <w:tcPr>
            <w:tcW w:w="62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Closing</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2</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4.</w:t>
            </w:r>
          </w:p>
        </w:tc>
        <w:tc>
          <w:tcPr>
            <w:tcW w:w="62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Conditions to Closing</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2</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4.2.</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Performance; No Default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4.3.</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Certificates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4.4.</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Opinions of Counsel</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4.5.</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Permitted By Applicable Law,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4.6.</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Sale of Other 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4.7.</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Special Counsel Fees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4.8.</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Private Placement Number</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4.9.</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Changes in Corporate Structure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4.10.</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Funding Instructions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4.11.</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Proceedings and Documents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4.12.</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Regulatory Approvals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5.</w:t>
            </w:r>
          </w:p>
        </w:tc>
        <w:tc>
          <w:tcPr>
            <w:tcW w:w="62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Representations and Warranties of the Company</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5</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Power and Authority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5.2.</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Authorization,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5.3.</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Disclosure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5.4.</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and Ownership of Shares of the Company and Subsidiaries; Affiliates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5.5.</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Financial Statements; Material Liabilities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5.6.</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Laws, Other Instruments,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5.7.</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Governmental Authorizations,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5.8.</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Litigation; Observance of Agreements, Statutes and Orders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5.9.</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5.10.</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to Property; Leases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5.11.</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Licenses, Permits,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5.12.</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ERISA</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5.13.</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Private Offering by the Company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5.14.</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Use of Proceeds; Margin Regulations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5.15.</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Existing Indebtedness; Future Liens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5.16.</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Foreign Assets Control Regulations,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11</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5.17.</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Status under Certain Statutes</w:t>
            </w:r>
          </w:p>
        </w:tc>
        <w:tc>
          <w:tcPr>
            <w:tcW w:w="2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98" w:type="dxa"/>
        <w:jc w:val="left"/>
        <w:tblInd w:w="0" w:type="dxa"/>
        <w:tblLayout w:type="fixed"/>
        <w:tblCellMar>
          <w:top w:w="28" w:type="dxa"/>
          <w:left w:w="28" w:type="dxa"/>
          <w:bottom w:w="28" w:type="dxa"/>
          <w:right w:w="28" w:type="dxa"/>
        </w:tblCellMar>
      </w:tblPr>
      <w:tblGrid>
        <w:gridCol w:w="1366"/>
        <w:gridCol w:w="5821"/>
        <w:gridCol w:w="2911"/>
      </w:tblGrid>
      <w:tr>
        <w:trPr/>
        <w:tc>
          <w:tcPr>
            <w:tcW w:w="1366"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5.18.</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Environmental Matters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5.19.</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Notes Rank Pari Passu</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5.20.</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Solvency and Consideration.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12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6.</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Representations and Warranties of the Purchasers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12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6.1.</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for Investment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6.2.</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Source of Funds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6.3.</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Binding Effect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15</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6.4.</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Access to Information; Knowledge and Experience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15</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7.</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Information as to Company.</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15</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7.1.</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Financial and Business Information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15</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7.2.</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Officer’s Certificate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17</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7.3.</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Visitation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18</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8.</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Payment and Prepayment of the Notes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18</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8.1.</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Maturity</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18</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8.2.</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Optional Prepayments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8.3.</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Allocation of Partial Prepayments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8.4.</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Maturity; Surrender, Etc</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8.5.</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of Notes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8.6.</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Make-Whole Amount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20</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8.7.</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Payments Due on Non</w:t>
              <w:noBreakHyphen/>
              <w:t>Business Days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21</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9.</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Affirmative Covenants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22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9.1.</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Law</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Insurance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9.3.</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Maintenance of Properties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9.4.</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Taxes and Claims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9.5.</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Corporate Existence, Etc.; Ownership of Subsidiaries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9.6.</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Books and Records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9.7.</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Notes to Rank Pari Passu</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9.8.</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Guarantors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10.</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Negative Covenants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25</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10.1.</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Funded Indebtedness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25</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10.2.</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Liens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26</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10.3.</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Transactions with Affiliates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28</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10.4.</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or Consolidation; Sale or Transfer of Assets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10.5.</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Restrictions on Dividends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10.6.</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Line of Business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30</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10.7.</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Economics Sanctions Regulations</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6"/>
        <w:gridCol w:w="6177"/>
        <w:gridCol w:w="2912"/>
      </w:tblGrid>
      <w:tr>
        <w:trPr/>
        <w:tc>
          <w:tcPr>
            <w:tcW w:w="1116" w:type="dxa"/>
            <w:tcBorders/>
            <w:vAlign w:val="center"/>
          </w:tcPr>
          <w:p>
            <w:pPr>
              <w:pStyle w:val="TableContents"/>
              <w:bidi w:val="0"/>
              <w:spacing w:before="0" w:after="283"/>
              <w:jc w:val="left"/>
              <w:rPr>
                <w:sz w:val="4"/>
                <w:szCs w:val="4"/>
              </w:rPr>
            </w:pPr>
            <w:r>
              <w:rPr>
                <w:sz w:val="4"/>
                <w:szCs w:val="4"/>
              </w:rPr>
            </w:r>
          </w:p>
        </w:tc>
        <w:tc>
          <w:tcPr>
            <w:tcW w:w="6177"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11.</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Events of Default</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30</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12.</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Remedies on Default, Etc</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32</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12.1.</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Acceleration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12.2.</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Remedies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33</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12.3.</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Rescission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33</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12.4.</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Waivers or Election of Remedies, Expenses,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33</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13.</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Registration; Exchange; Substitution of Notes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34</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13.1.</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Registration of 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34</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13.2.</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Transfer and Exchange of 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34</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13.3.</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Replacement of 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34</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14.</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Payments on Notes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35</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14.1.</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Place of Payment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35</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14.2.</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Home Office Payment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35</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14.3.</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FATCA Information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36</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15.</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Expenses, Etc</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36</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15.1.</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Transaction Expenses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36</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15.2.</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Taxes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37</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15.3.</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Withholding</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37</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15.4.</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Survival</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37</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16.</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Survival of Representations and Warranties; Entire Agreement</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37</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17.</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Amendment and Waiver</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38</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17.1.</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Requirements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38</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17.2.</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Solicitation of Holders of 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38</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17.3.</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Binding Effect,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39</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17.4.</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Notes Held by Company,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39</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18.</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Notices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39</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19.</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Reproduction of Documents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39</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20.</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Confidential Information</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40</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21.</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Substitution of Purchaser</w:t>
            </w:r>
          </w:p>
        </w:tc>
        <w:tc>
          <w:tcPr>
            <w:tcW w:w="2912" w:type="dxa"/>
            <w:tcBorders/>
            <w:shd w:fill="FFFFFF" w:val="clear"/>
            <w:tcMar>
              <w:top w:w="0" w:type="dxa"/>
              <w:left w:w="0" w:type="dxa"/>
              <w:bottom w:w="0" w:type="dxa"/>
              <w:right w:w="0" w:type="dxa"/>
            </w:tcMar>
            <w:vAlign w:val="center"/>
          </w:tcPr>
          <w:p>
            <w:pPr>
              <w:pStyle w:val="TableContents"/>
              <w:bidi w:val="0"/>
              <w:spacing w:before="280" w:after="120"/>
              <w:jc w:val="right"/>
              <w:rPr>
                <w:rFonts w:ascii="Times New Roman" w:hAnsi="Times New Roman"/>
                <w:smallCaps/>
                <w:color w:val="000000"/>
                <w:sz w:val="24"/>
              </w:rPr>
            </w:pPr>
            <w:r>
              <w:rPr>
                <w:rFonts w:ascii="Times New Roman" w:hAnsi="Times New Roman"/>
                <w:smallCaps/>
                <w:color w:val="000000"/>
                <w:sz w:val="24"/>
              </w:rPr>
              <w:t>41</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63" w:type="dxa"/>
        <w:jc w:val="left"/>
        <w:tblInd w:w="0" w:type="dxa"/>
        <w:tblLayout w:type="fixed"/>
        <w:tblCellMar>
          <w:top w:w="28" w:type="dxa"/>
          <w:left w:w="28" w:type="dxa"/>
          <w:bottom w:w="28" w:type="dxa"/>
          <w:right w:w="28" w:type="dxa"/>
        </w:tblCellMar>
      </w:tblPr>
      <w:tblGrid>
        <w:gridCol w:w="1501"/>
        <w:gridCol w:w="5251"/>
        <w:gridCol w:w="2911"/>
      </w:tblGrid>
      <w:tr>
        <w:trPr/>
        <w:tc>
          <w:tcPr>
            <w:tcW w:w="1501"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22.</w:t>
            </w:r>
          </w:p>
        </w:tc>
        <w:tc>
          <w:tcPr>
            <w:tcW w:w="525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Miscellaneous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41</w:t>
            </w:r>
          </w:p>
        </w:tc>
      </w:tr>
      <w:tr>
        <w:trPr/>
        <w:tc>
          <w:tcPr>
            <w:tcW w:w="1501"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22.1.</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Successors and Assigns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41</w:t>
            </w:r>
          </w:p>
        </w:tc>
      </w:tr>
      <w:tr>
        <w:trPr/>
        <w:tc>
          <w:tcPr>
            <w:tcW w:w="1501"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22.2.</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Accounting Terms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1501"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22.3.</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1501"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22.4.</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Construction, Etc</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1501"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22.5.</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43</w:t>
            </w:r>
          </w:p>
        </w:tc>
      </w:tr>
      <w:tr>
        <w:trPr/>
        <w:tc>
          <w:tcPr>
            <w:tcW w:w="1501"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smallCaps/>
                <w:color w:val="000000"/>
                <w:sz w:val="24"/>
              </w:rPr>
            </w:pPr>
            <w:r>
              <w:rPr>
                <w:rFonts w:ascii="Times New Roman" w:hAnsi="Times New Roman"/>
                <w:smallCaps/>
                <w:color w:val="000000"/>
                <w:sz w:val="24"/>
              </w:rPr>
              <w:t>Section 22.6.</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Governing Law</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43</w:t>
            </w:r>
          </w:p>
        </w:tc>
      </w:tr>
      <w:tr>
        <w:trPr/>
        <w:tc>
          <w:tcPr>
            <w:tcW w:w="1501"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smallCaps/>
                <w:color w:val="000000"/>
                <w:sz w:val="24"/>
              </w:rPr>
            </w:pPr>
            <w:r>
              <w:rPr>
                <w:rFonts w:ascii="Times New Roman" w:hAnsi="Times New Roman"/>
                <w:smallCaps/>
                <w:color w:val="000000"/>
                <w:sz w:val="24"/>
              </w:rPr>
              <w:t>Section 22.7.</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Jurisdiction and Process; Waiver of Jury Trial</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4"/>
              </w:rPr>
            </w:pPr>
            <w:r>
              <w:rPr>
                <w:rFonts w:ascii="Times New Roman" w:hAnsi="Times New Roman"/>
                <w:color w:val="000000"/>
                <w:sz w:val="24"/>
              </w:rPr>
              <w:t>43</w:t>
            </w:r>
          </w:p>
        </w:tc>
      </w:tr>
      <w:tr>
        <w:trPr/>
        <w:tc>
          <w:tcPr>
            <w:tcW w:w="150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pPr>
            <w:r>
              <w:rPr/>
              <w:t> </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pPr>
            <w:r>
              <w:rPr/>
              <w:t> </w:t>
            </w:r>
          </w:p>
        </w:tc>
      </w:tr>
      <w:tr>
        <w:trPr/>
        <w:tc>
          <w:tcPr>
            <w:tcW w:w="150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pPr>
            <w:r>
              <w:rPr/>
              <w:t> </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pPr>
            <w:r>
              <w:rPr/>
              <w:t> </w:t>
            </w:r>
          </w:p>
        </w:tc>
      </w:tr>
      <w:tr>
        <w:trPr/>
        <w:tc>
          <w:tcPr>
            <w:tcW w:w="150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4"/>
              </w:rPr>
            </w:pPr>
            <w:r>
              <w:rPr>
                <w:rFonts w:ascii="Times New Roman" w:hAnsi="Times New Roman"/>
                <w:color w:val="000000"/>
                <w:sz w:val="24"/>
              </w:rPr>
              <w:t>Signature</w:t>
            </w:r>
          </w:p>
        </w:tc>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w:t>
            </w:r>
          </w:p>
        </w:tc>
      </w:tr>
    </w:tbl>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1"/>
        <w:gridCol w:w="2606"/>
        <w:gridCol w:w="6038"/>
      </w:tblGrid>
      <w:tr>
        <w:trPr/>
        <w:tc>
          <w:tcPr>
            <w:tcW w:w="1561"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6038" w:type="dxa"/>
            <w:tcBorders/>
            <w:vAlign w:val="center"/>
          </w:tcPr>
          <w:p>
            <w:pPr>
              <w:pStyle w:val="TableContents"/>
              <w:bidi w:val="0"/>
              <w:spacing w:before="0" w:after="283"/>
              <w:jc w:val="left"/>
              <w:rPr>
                <w:sz w:val="4"/>
                <w:szCs w:val="4"/>
              </w:rPr>
            </w:pPr>
            <w:r>
              <w:rPr>
                <w:sz w:val="4"/>
                <w:szCs w:val="4"/>
              </w:rPr>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Schedule A</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Information Relating to Purchasers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Schedule B</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Defined Terms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5.3</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Disclosure Documents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5.4</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Organization and Ownership of Shares and Subsidiaries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5.5</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Financial Statements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5.15</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Existing Indebtedness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Schedule 10.1</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Existing Funded Indebtedness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Schedule 10.2</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Existing Liens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Exhibit 1</w:t>
            </w:r>
          </w:p>
        </w:tc>
        <w:tc>
          <w:tcPr>
            <w:tcW w:w="2606" w:type="dxa"/>
            <w:tcBorders/>
            <w:tcMar>
              <w:top w:w="0" w:type="dxa"/>
              <w:left w:w="0" w:type="dxa"/>
              <w:bottom w:w="0" w:type="dxa"/>
              <w:right w:w="0" w:type="dxa"/>
            </w:tcMar>
            <w:vAlign w:val="center"/>
          </w:tcPr>
          <w:p>
            <w:pPr>
              <w:pStyle w:val="TableContents"/>
              <w:bidi w:val="0"/>
              <w:spacing w:before="280" w:after="283"/>
              <w:ind w:left="0" w:right="0" w:firstLine="2160"/>
              <w:jc w:val="left"/>
              <w:rPr>
                <w:smallCaps/>
                <w:color w:val="000000"/>
              </w:rPr>
            </w:pPr>
            <w:r>
              <w:rPr>
                <w:smallCaps/>
                <w:color w:val="000000"/>
              </w:rPr>
              <w:t xml:space="preserve"> — </w:t>
            </w:r>
          </w:p>
        </w:tc>
        <w:tc>
          <w:tcPr>
            <w:tcW w:w="6038" w:type="dxa"/>
            <w:tcBorders/>
            <w:tcMar>
              <w:top w:w="0" w:type="dxa"/>
              <w:left w:w="0" w:type="dxa"/>
              <w:bottom w:w="0" w:type="dxa"/>
              <w:right w:w="0" w:type="dxa"/>
            </w:tcMar>
            <w:vAlign w:val="center"/>
          </w:tcPr>
          <w:p>
            <w:pPr>
              <w:pStyle w:val="TableContents"/>
              <w:pBdr/>
              <w:bidi w:val="0"/>
              <w:spacing w:before="280" w:after="283"/>
              <w:ind w:left="0" w:right="0" w:hanging="2160"/>
              <w:jc w:val="left"/>
              <w:rPr>
                <w:rFonts w:ascii="Times New Roman" w:hAnsi="Times New Roman"/>
                <w:color w:val="000000"/>
                <w:sz w:val="24"/>
              </w:rPr>
            </w:pPr>
            <w:r>
              <w:rPr>
                <w:rFonts w:ascii="Times New Roman" w:hAnsi="Times New Roman"/>
                <w:color w:val="000000"/>
                <w:sz w:val="24"/>
              </w:rPr>
              <w:t>Form of 5.95% Senior Notes, due October 21, 2031</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Exhibit</w:t>
            </w:r>
            <w:r>
              <w:rPr>
                <w:rFonts w:ascii="Times New Roman" w:hAnsi="Times New Roman"/>
                <w:color w:val="000000"/>
                <w:sz w:val="23"/>
              </w:rPr>
              <w:t> 4.4(a)</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Opinion of Special Counsel for the Company</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Exhibit</w:t>
            </w:r>
            <w:r>
              <w:rPr>
                <w:rFonts w:ascii="Times New Roman" w:hAnsi="Times New Roman"/>
                <w:color w:val="000000"/>
                <w:sz w:val="23"/>
              </w:rPr>
              <w:t> 4.4(b)</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Opinion of Patrick Taylor, Chief Regulatory Counsel for Unitil Service Corp.</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4"/>
              </w:rPr>
            </w:pPr>
            <w:r>
              <w:rPr>
                <w:rFonts w:ascii="Times New Roman" w:hAnsi="Times New Roman"/>
                <w:smallCaps/>
                <w:color w:val="000000"/>
                <w:sz w:val="24"/>
              </w:rPr>
              <w:t>Exhibit</w:t>
            </w:r>
            <w:r>
              <w:rPr>
                <w:rFonts w:ascii="Times New Roman" w:hAnsi="Times New Roman"/>
                <w:color w:val="000000"/>
                <w:sz w:val="24"/>
              </w:rPr>
              <w:t> 4.4(c)</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Opinion of Special Counsel for the Purchasers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4"/>
              </w:rPr>
            </w:pPr>
            <w:r>
              <w:rPr>
                <w:rFonts w:ascii="Times New Roman" w:hAnsi="Times New Roman"/>
                <w:smallCaps/>
                <w:color w:val="000000"/>
                <w:sz w:val="24"/>
              </w:rPr>
              <w:t>Exhibit 15.3</w:t>
            </w:r>
          </w:p>
        </w:tc>
        <w:tc>
          <w:tcPr>
            <w:tcW w:w="2606"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6038"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U.S. Tax Compliance Certificate</w:t>
            </w:r>
          </w:p>
        </w:tc>
      </w:tr>
    </w:tbl>
    <w:p>
      <w:pPr>
        <w:pStyle w:val="TextBody"/>
        <w:bidi w:val="0"/>
        <w:jc w:val="left"/>
        <w:rPr/>
      </w:pPr>
      <w:r>
        <w:rPr/>
        <w:t> </w:t>
      </w:r>
    </w:p>
    <w:p>
      <w:pPr>
        <w:pStyle w:val="TextBody"/>
        <w:pBdr/>
        <w:bidi w:val="0"/>
        <w:spacing w:before="280" w:after="283"/>
        <w:ind w:left="0" w:right="0" w:hanging="2160"/>
        <w:jc w:val="both"/>
        <w:rPr/>
      </w:pPr>
      <w:r>
        <w:rPr/>
        <w:t> </w:t>
      </w:r>
    </w:p>
    <w:p>
      <w:pPr>
        <w:pStyle w:val="TextBody"/>
        <w:pBdr/>
        <w:bidi w:val="0"/>
        <w:spacing w:before="280" w:after="283"/>
        <w:ind w:left="0" w:right="0" w:hanging="216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Maine Natural Gas Corporation</w:t>
      </w:r>
    </w:p>
    <w:p>
      <w:pPr>
        <w:pStyle w:val="TextBody"/>
        <w:bidi w:val="0"/>
        <w:jc w:val="center"/>
        <w:rPr>
          <w:rFonts w:ascii="Times New Roman" w:hAnsi="Times New Roman"/>
          <w:color w:val="000000"/>
          <w:sz w:val="24"/>
        </w:rPr>
      </w:pPr>
      <w:r>
        <w:rPr>
          <w:rFonts w:ascii="Times New Roman" w:hAnsi="Times New Roman"/>
          <w:color w:val="000000"/>
          <w:sz w:val="24"/>
        </w:rPr>
        <w:t>6 Liberty Lane West</w:t>
      </w:r>
    </w:p>
    <w:p>
      <w:pPr>
        <w:pStyle w:val="TextBody"/>
        <w:bidi w:val="0"/>
        <w:jc w:val="center"/>
        <w:rPr>
          <w:rFonts w:ascii="Times New Roman" w:hAnsi="Times New Roman"/>
          <w:color w:val="000000"/>
          <w:sz w:val="24"/>
        </w:rPr>
      </w:pPr>
      <w:r>
        <w:rPr>
          <w:rFonts w:ascii="Times New Roman" w:hAnsi="Times New Roman"/>
          <w:color w:val="000000"/>
          <w:sz w:val="24"/>
        </w:rPr>
        <w:t>Hampton, New Hampshire 03842-1720</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xml:space="preserve">$40,000,000 5.95% Senior Notes, </w:t>
        <w:br/>
        <w:t>due October 21, 2031</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Dated as of October 21, 2026</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To Each of the Purchasers Listed in</w:t>
      </w:r>
    </w:p>
    <w:p>
      <w:pPr>
        <w:pStyle w:val="TextBody"/>
        <w:bidi w:val="0"/>
        <w:jc w:val="left"/>
        <w:rPr>
          <w:rFonts w:ascii="Times New Roman" w:hAnsi="Times New Roman"/>
          <w:smallCaps/>
          <w:color w:val="000000"/>
          <w:sz w:val="24"/>
        </w:rPr>
      </w:pPr>
      <w:r>
        <w:rPr>
          <w:rFonts w:ascii="Times New Roman" w:hAnsi="Times New Roman"/>
          <w:smallCaps/>
          <w:color w:val="000000"/>
          <w:sz w:val="24"/>
        </w:rPr>
        <w:t>Schedule A 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Maine Natural Gas Corporation, a Maine corporation (the “</w:t>
      </w:r>
      <w:r>
        <w:rPr>
          <w:rFonts w:ascii="Times New Roman" w:hAnsi="Times New Roman"/>
          <w:i/>
          <w:color w:val="000000"/>
          <w:sz w:val="24"/>
        </w:rPr>
        <w:t>Company”</w:t>
      </w:r>
      <w:r>
        <w:rPr>
          <w:rFonts w:ascii="Times New Roman" w:hAnsi="Times New Roman"/>
          <w:color w:val="000000"/>
          <w:sz w:val="24"/>
        </w:rPr>
        <w:t>), agrees with each of the purchasers whose names appear at the end hereof (each, a “</w:t>
      </w:r>
      <w:r>
        <w:rPr>
          <w:rFonts w:ascii="Times New Roman" w:hAnsi="Times New Roman"/>
          <w:i/>
          <w:color w:val="000000"/>
          <w:sz w:val="24"/>
        </w:rPr>
        <w:t>Purchaser”</w:t>
      </w:r>
      <w:r>
        <w:rPr>
          <w:rFonts w:ascii="Times New Roman" w:hAnsi="Times New Roman"/>
          <w:color w:val="000000"/>
          <w:sz w:val="24"/>
        </w:rPr>
        <w:t xml:space="preserve"> and, collectively, the “</w:t>
      </w:r>
      <w:r>
        <w:rPr>
          <w:rFonts w:ascii="Times New Roman" w:hAnsi="Times New Roman"/>
          <w:i/>
          <w:color w:val="000000"/>
          <w:sz w:val="24"/>
        </w:rPr>
        <w:t>Purchasers”</w:t>
      </w:r>
      <w:r>
        <w:rPr>
          <w:rFonts w:ascii="Times New Roman" w:hAnsi="Times New Roman"/>
          <w:color w:val="000000"/>
          <w:sz w:val="24"/>
        </w:rPr>
        <w:t>) as follows:</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 Authorization of Notes.</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The Company will authorize the issue and sale of $40,000,000 aggregate principal amount of its 5.95% Senior Notes, due October 21, 2031 (as amended, restated, or otherwise modified from time to time pursuant to </w:t>
      </w:r>
      <w:r>
        <w:rPr>
          <w:rFonts w:ascii="Times New Roman" w:hAnsi="Times New Roman"/>
          <w:b/>
          <w:color w:val="000000"/>
          <w:sz w:val="24"/>
        </w:rPr>
        <w:t>Section 17</w:t>
      </w:r>
      <w:r>
        <w:rPr>
          <w:rFonts w:ascii="Times New Roman" w:hAnsi="Times New Roman"/>
          <w:color w:val="000000"/>
          <w:sz w:val="24"/>
        </w:rPr>
        <w:t>, are collectively referred to as the “</w:t>
      </w:r>
      <w:r>
        <w:rPr>
          <w:rFonts w:ascii="Times New Roman" w:hAnsi="Times New Roman"/>
          <w:i/>
          <w:color w:val="000000"/>
          <w:sz w:val="24"/>
        </w:rPr>
        <w:t>Notes”</w:t>
      </w:r>
      <w:r>
        <w:rPr>
          <w:rFonts w:ascii="Times New Roman" w:hAnsi="Times New Roman"/>
          <w:color w:val="000000"/>
          <w:sz w:val="24"/>
        </w:rPr>
        <w:t xml:space="preserve">; such term to include any such notes issued in substitution therefor pursuant to </w:t>
      </w:r>
      <w:r>
        <w:rPr>
          <w:rFonts w:ascii="Times New Roman" w:hAnsi="Times New Roman"/>
          <w:b/>
          <w:color w:val="000000"/>
          <w:sz w:val="24"/>
        </w:rPr>
        <w:t>Section 13</w:t>
      </w:r>
      <w:r>
        <w:rPr>
          <w:rFonts w:ascii="Times New Roman" w:hAnsi="Times New Roman"/>
          <w:color w:val="000000"/>
          <w:sz w:val="24"/>
        </w:rPr>
        <w:t xml:space="preserve">). The Notes shall be substantially in the form set out in </w:t>
      </w:r>
      <w:r>
        <w:rPr>
          <w:rFonts w:ascii="Times New Roman" w:hAnsi="Times New Roman"/>
          <w:b/>
          <w:color w:val="000000"/>
          <w:sz w:val="24"/>
        </w:rPr>
        <w:t xml:space="preserve">Exhibit 1 </w:t>
      </w:r>
      <w:r>
        <w:rPr>
          <w:rFonts w:ascii="Times New Roman" w:hAnsi="Times New Roman"/>
          <w:color w:val="000000"/>
          <w:sz w:val="24"/>
        </w:rPr>
        <w:t xml:space="preserve">with such changes therefrom, if any, as may be approved by each Purchaser and the Company. Certain capitalized and other terms used in this Agreement are defined in </w:t>
      </w:r>
      <w:r>
        <w:rPr>
          <w:rFonts w:ascii="Times New Roman" w:hAnsi="Times New Roman"/>
          <w:b/>
          <w:color w:val="000000"/>
          <w:sz w:val="24"/>
        </w:rPr>
        <w:t>Schedule B</w:t>
      </w:r>
      <w:r>
        <w:rPr>
          <w:rFonts w:ascii="Times New Roman" w:hAnsi="Times New Roman"/>
          <w:color w:val="000000"/>
          <w:sz w:val="24"/>
        </w:rPr>
        <w:t>; and references to a “</w:t>
      </w:r>
      <w:r>
        <w:rPr>
          <w:rFonts w:ascii="Times New Roman" w:hAnsi="Times New Roman"/>
          <w:i/>
          <w:color w:val="000000"/>
          <w:sz w:val="24"/>
        </w:rPr>
        <w:t>Schedule”</w:t>
      </w:r>
      <w:r>
        <w:rPr>
          <w:rFonts w:ascii="Times New Roman" w:hAnsi="Times New Roman"/>
          <w:color w:val="000000"/>
          <w:sz w:val="24"/>
        </w:rPr>
        <w:t xml:space="preserve"> or an “</w:t>
      </w:r>
      <w:r>
        <w:rPr>
          <w:rFonts w:ascii="Times New Roman" w:hAnsi="Times New Roman"/>
          <w:i/>
          <w:color w:val="000000"/>
          <w:sz w:val="24"/>
        </w:rPr>
        <w:t>Exhibit”</w:t>
      </w:r>
      <w:r>
        <w:rPr>
          <w:rFonts w:ascii="Times New Roman" w:hAnsi="Times New Roman"/>
          <w:color w:val="000000"/>
          <w:sz w:val="24"/>
        </w:rPr>
        <w:t xml:space="preserve"> are, unless otherwise specified, to a Schedule or an Exhibit attached to this Agreement.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 Sale and Purchase of Notes.</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Subject to the terms and conditions of this Agreement, the Company will issue and sell to each Purchaser and each Purchaser will purchase from the Company, at the Closing provided for in </w:t>
      </w:r>
      <w:r>
        <w:rPr>
          <w:rFonts w:ascii="Times New Roman" w:hAnsi="Times New Roman"/>
          <w:b/>
          <w:color w:val="000000"/>
          <w:sz w:val="24"/>
        </w:rPr>
        <w:t>Section 3</w:t>
      </w:r>
      <w:r>
        <w:rPr>
          <w:rFonts w:ascii="Times New Roman" w:hAnsi="Times New Roman"/>
          <w:color w:val="000000"/>
          <w:sz w:val="24"/>
        </w:rPr>
        <w:t xml:space="preserve">, Notes in the principal amount specified opposite such Purchaser’s name in </w:t>
      </w:r>
      <w:r>
        <w:rPr>
          <w:rFonts w:ascii="Times New Roman" w:hAnsi="Times New Roman"/>
          <w:b/>
          <w:color w:val="000000"/>
          <w:sz w:val="24"/>
        </w:rPr>
        <w:t>Schedule A</w:t>
      </w:r>
      <w:r>
        <w:rPr>
          <w:rFonts w:ascii="Times New Roman" w:hAnsi="Times New Roman"/>
          <w:color w:val="000000"/>
          <w:sz w:val="24"/>
        </w:rPr>
        <w:t xml:space="preserve">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3. Closing.</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The sale and purchase of the Notes to be purchased by each Purchaser shall occur at the offices of Chapman and Cutler LLP, 320 South Canal Street, Chicago, Illinois 60606 at 10:00 a.m. </w:t>
      </w:r>
    </w:p>
    <w:p>
      <w:pPr>
        <w:pStyle w:val="TextBody"/>
        <w:bidi w:val="0"/>
        <w:jc w:val="center"/>
        <w:rPr/>
      </w:pPr>
      <w:r>
        <w:rPr/>
        <w:t> </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Central time, at a closing (the “</w:t>
      </w:r>
      <w:r>
        <w:rPr>
          <w:rFonts w:ascii="Times New Roman" w:hAnsi="Times New Roman"/>
          <w:i/>
          <w:color w:val="000000"/>
          <w:sz w:val="24"/>
        </w:rPr>
        <w:t>Closing”</w:t>
      </w:r>
      <w:r>
        <w:rPr>
          <w:rFonts w:ascii="Times New Roman" w:hAnsi="Times New Roman"/>
          <w:color w:val="000000"/>
          <w:sz w:val="24"/>
        </w:rPr>
        <w:t>) on October 21, 2026 or on such other Business Day thereafter on or prior to October 31, 2026 as may be agreed upon by the Company and the Purchasers. At the Closing the Company will deliver to each Purchaser the Notes to be purchased by such Purchaser in the form of a single Note (or such greater number of Notes in denominations of at least $</w:t>
      </w:r>
      <w:r>
        <w:rPr>
          <w:rFonts w:ascii="Times New Roman" w:hAnsi="Times New Roman"/>
          <w:b/>
          <w:color w:val="000000"/>
          <w:sz w:val="24"/>
        </w:rPr>
        <w:t>500,000</w:t>
      </w:r>
      <w:r>
        <w:rPr>
          <w:rFonts w:ascii="Times New Roman" w:hAnsi="Times New Roman"/>
          <w:color w:val="000000"/>
          <w:sz w:val="24"/>
        </w:rPr>
        <w:t xml:space="preserve">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to [information omitted]. If at the Closing the Company shall fail to tender such Notes to any Purchaser as provided above in this </w:t>
      </w:r>
      <w:r>
        <w:rPr>
          <w:rFonts w:ascii="Times New Roman" w:hAnsi="Times New Roman"/>
          <w:b/>
          <w:color w:val="000000"/>
          <w:sz w:val="24"/>
        </w:rPr>
        <w:t>Section 3</w:t>
      </w:r>
      <w:r>
        <w:rPr>
          <w:rFonts w:ascii="Times New Roman" w:hAnsi="Times New Roman"/>
          <w:color w:val="000000"/>
          <w:sz w:val="24"/>
        </w:rPr>
        <w:t xml:space="preserve">, or any of the conditions specified in </w:t>
      </w:r>
      <w:r>
        <w:rPr>
          <w:rFonts w:ascii="Times New Roman" w:hAnsi="Times New Roman"/>
          <w:b/>
          <w:color w:val="000000"/>
          <w:sz w:val="24"/>
        </w:rPr>
        <w:t>Section 4</w:t>
      </w:r>
      <w:r>
        <w:rPr>
          <w:rFonts w:ascii="Times New Roman" w:hAnsi="Times New Roman"/>
          <w:color w:val="000000"/>
          <w:sz w:val="24"/>
        </w:rPr>
        <w:t xml:space="preserve"> shall not have been fulfilled to such Purchaser’s reasonable satisfaction, such Purchaser shall, at its election, be relieved of all further obligations under this Agreement, without thereby waiving any rights such Purchaser may have by reason of such failure by the Company to tender such Notes or any of the conditions specified in </w:t>
      </w:r>
      <w:r>
        <w:rPr>
          <w:rFonts w:ascii="Times New Roman" w:hAnsi="Times New Roman"/>
          <w:b/>
          <w:color w:val="000000"/>
          <w:sz w:val="24"/>
        </w:rPr>
        <w:t>Section 4</w:t>
      </w:r>
      <w:r>
        <w:rPr>
          <w:rFonts w:ascii="Times New Roman" w:hAnsi="Times New Roman"/>
          <w:color w:val="000000"/>
          <w:sz w:val="24"/>
        </w:rPr>
        <w:t xml:space="preserve"> not having been fulfilled to such Purchaser’s reasonable satisfaction or such nonfulfillment.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4. Conditions to Closing.</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Each Purchaser’s obligation to purchase and pay for the Notes to be sold to such Purchaser at the Closing is subject to the fulfillment to such Purchaser’s reasonable satisfaction, prior to or at the Closing, of the following conditions:</w:t>
      </w:r>
    </w:p>
    <w:p>
      <w:pPr>
        <w:pStyle w:val="TextBody"/>
        <w:bidi w:val="0"/>
        <w:spacing w:before="280" w:after="283"/>
        <w:jc w:val="both"/>
        <w:rPr>
          <w:rFonts w:ascii="Times New Roman" w:hAnsi="Times New Roman"/>
          <w:sz w:val="24"/>
        </w:rPr>
      </w:pPr>
      <w:r>
        <w:rPr>
          <w:rFonts w:ascii="Times New Roman" w:hAnsi="Times New Roman"/>
          <w:i/>
          <w:color w:val="000000"/>
          <w:sz w:val="24"/>
        </w:rPr>
        <w:t>Section 4.1. Representations and Warranties</w:t>
      </w:r>
      <w:r>
        <w:rPr>
          <w:rFonts w:ascii="Times New Roman" w:hAnsi="Times New Roman"/>
          <w:color w:val="000000"/>
          <w:sz w:val="24"/>
        </w:rPr>
        <w:t>. The representations and warranties of the Company in this Agreement shall be correct when made and at the time of the Closing (except, in each case, to the extent any representation or warranty expressly relates to a different date, in which case as of such different date).</w:t>
      </w:r>
    </w:p>
    <w:p>
      <w:pPr>
        <w:pStyle w:val="TextBody"/>
        <w:bidi w:val="0"/>
        <w:spacing w:before="280" w:after="283"/>
        <w:jc w:val="both"/>
        <w:rPr>
          <w:rFonts w:ascii="Times New Roman" w:hAnsi="Times New Roman"/>
          <w:sz w:val="24"/>
        </w:rPr>
      </w:pPr>
      <w:r>
        <w:rPr>
          <w:rFonts w:ascii="Times New Roman" w:hAnsi="Times New Roman"/>
          <w:i/>
          <w:color w:val="000000"/>
          <w:sz w:val="24"/>
        </w:rPr>
        <w:t>Section 4.2. Performance; No Default</w:t>
      </w:r>
      <w:r>
        <w:rPr>
          <w:rFonts w:ascii="Times New Roman" w:hAnsi="Times New Roman"/>
          <w:color w:val="000000"/>
          <w:sz w:val="24"/>
        </w:rPr>
        <w:t xml:space="preserve">. The Company shall have performed and complied with all agreements and conditions contained in this Agreement required to be performed or complied with by it prior to or at the Closing. Before and after giving effect to the issue and sale of the Notes (and the application of the proceeds thereof as contemplated by </w:t>
      </w:r>
      <w:r>
        <w:rPr>
          <w:rFonts w:ascii="Times New Roman" w:hAnsi="Times New Roman"/>
          <w:b/>
          <w:color w:val="000000"/>
          <w:sz w:val="24"/>
        </w:rPr>
        <w:t>Section 5.14</w:t>
      </w:r>
      <w:r>
        <w:rPr>
          <w:rFonts w:ascii="Times New Roman" w:hAnsi="Times New Roman"/>
          <w:color w:val="000000"/>
          <w:sz w:val="24"/>
        </w:rPr>
        <w:t xml:space="preserve">), no Default or Event of Default shall have occurred and be continuing. Neither the Company nor any Subsidiary shall have entered into any transaction since the date of this Agreement that would have been prohibited by </w:t>
      </w:r>
      <w:r>
        <w:rPr>
          <w:rFonts w:ascii="Times New Roman" w:hAnsi="Times New Roman"/>
          <w:b/>
          <w:color w:val="000000"/>
          <w:sz w:val="24"/>
        </w:rPr>
        <w:t>Section 10</w:t>
      </w:r>
      <w:r>
        <w:rPr>
          <w:rFonts w:ascii="Times New Roman" w:hAnsi="Times New Roman"/>
          <w:color w:val="000000"/>
          <w:sz w:val="24"/>
        </w:rPr>
        <w:t xml:space="preserve"> had such Section applied since such date.</w:t>
      </w:r>
    </w:p>
    <w:p>
      <w:pPr>
        <w:pStyle w:val="TextBody"/>
        <w:bidi w:val="0"/>
        <w:spacing w:before="280" w:after="283"/>
        <w:jc w:val="both"/>
        <w:rPr>
          <w:rFonts w:ascii="Times New Roman" w:hAnsi="Times New Roman"/>
          <w:sz w:val="24"/>
        </w:rPr>
      </w:pPr>
      <w:r>
        <w:rPr>
          <w:rFonts w:ascii="Times New Roman" w:hAnsi="Times New Roman"/>
          <w:i/>
          <w:color w:val="000000"/>
          <w:sz w:val="24"/>
        </w:rPr>
        <w:t>Section 4.3. Compliance Certificates</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Officer’s Certificate</w:t>
      </w:r>
      <w:r>
        <w:rPr>
          <w:rFonts w:ascii="Times New Roman" w:hAnsi="Times New Roman"/>
          <w:color w:val="000000"/>
          <w:sz w:val="24"/>
        </w:rPr>
        <w:t xml:space="preserve">. The Company shall have delivered to such Purchaser an Officer’s Certificate, dated the date of the Closing, certifying that the conditions specified in </w:t>
      </w:r>
      <w:r>
        <w:rPr>
          <w:rFonts w:ascii="Times New Roman" w:hAnsi="Times New Roman"/>
          <w:b/>
          <w:color w:val="000000"/>
          <w:sz w:val="24"/>
        </w:rPr>
        <w:t>Sections 4.1</w:t>
      </w:r>
      <w:r>
        <w:rPr>
          <w:rFonts w:ascii="Times New Roman" w:hAnsi="Times New Roman"/>
          <w:color w:val="000000"/>
          <w:sz w:val="24"/>
        </w:rPr>
        <w:t xml:space="preserve">, </w:t>
      </w:r>
      <w:r>
        <w:rPr>
          <w:rFonts w:ascii="Times New Roman" w:hAnsi="Times New Roman"/>
          <w:b/>
          <w:color w:val="000000"/>
          <w:sz w:val="24"/>
        </w:rPr>
        <w:t>4.2</w:t>
      </w:r>
      <w:r>
        <w:rPr>
          <w:rFonts w:ascii="Times New Roman" w:hAnsi="Times New Roman"/>
          <w:color w:val="000000"/>
          <w:sz w:val="24"/>
        </w:rPr>
        <w:t xml:space="preserve">, and </w:t>
      </w:r>
      <w:r>
        <w:rPr>
          <w:rFonts w:ascii="Times New Roman" w:hAnsi="Times New Roman"/>
          <w:b/>
          <w:color w:val="000000"/>
          <w:sz w:val="24"/>
        </w:rPr>
        <w:t>4.9</w:t>
      </w:r>
      <w:r>
        <w:rPr>
          <w:rFonts w:ascii="Times New Roman" w:hAnsi="Times New Roman"/>
          <w:color w:val="000000"/>
          <w:sz w:val="24"/>
        </w:rPr>
        <w:t xml:space="preserve"> have been fulfilled.</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Secretary’s Certificate</w:t>
      </w:r>
      <w:r>
        <w:rPr>
          <w:rFonts w:ascii="Times New Roman" w:hAnsi="Times New Roman"/>
          <w:color w:val="000000"/>
          <w:sz w:val="24"/>
        </w:rPr>
        <w:t>. The Company shall have delivered to such Purchaser a certificate of its Secretary or Assistant Secretary, dated the date of Closing, certifying as to the resolutions attached thereto and other corporate proceedings relating to the authorization, execution and delivery of the Notes and this Agreement.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4.4. Opinions of Counsel</w:t>
      </w:r>
      <w:r>
        <w:rPr>
          <w:rFonts w:ascii="Times New Roman" w:hAnsi="Times New Roman"/>
          <w:color w:val="000000"/>
          <w:sz w:val="24"/>
        </w:rPr>
        <w:t xml:space="preserve">. Such Purchaser shall have received opinions in form and substance reasonably satisfactory to such Purchaser, dated the date of the Closing (a) from Dentons US LLP or another member firm of Dentons, in each case special counsel for the Company, covering the matters set forth in </w:t>
      </w:r>
      <w:r>
        <w:rPr>
          <w:rFonts w:ascii="Times New Roman" w:hAnsi="Times New Roman"/>
          <w:b/>
          <w:color w:val="000000"/>
          <w:sz w:val="24"/>
        </w:rPr>
        <w:t>Exhibit 4.4(a)</w:t>
      </w:r>
      <w:r>
        <w:rPr>
          <w:rFonts w:ascii="Times New Roman" w:hAnsi="Times New Roman"/>
          <w:color w:val="000000"/>
          <w:sz w:val="24"/>
        </w:rPr>
        <w:t xml:space="preserve"> and covering such other matters incident to the transactions contemplated hereby as such Purchaser or its counsel may reasonably request (and the Company hereby instructs its counsel to deliver such opinion to the Purchasers), (b) from Patrick Taylor, Chief Regulatory Counsel for Unitil Service Corp., covering the matters set forth in </w:t>
      </w:r>
      <w:r>
        <w:rPr>
          <w:rFonts w:ascii="Times New Roman" w:hAnsi="Times New Roman"/>
          <w:b/>
          <w:color w:val="000000"/>
          <w:sz w:val="24"/>
        </w:rPr>
        <w:t>Exhibit 4.4(b)</w:t>
      </w:r>
      <w:r>
        <w:rPr>
          <w:rFonts w:ascii="Times New Roman" w:hAnsi="Times New Roman"/>
          <w:color w:val="000000"/>
          <w:sz w:val="24"/>
        </w:rPr>
        <w:t xml:space="preserve"> and covering such other matters incident to the transactions contemplated hereby as such Purchaser or its counsel may reasonably request (and the Company hereby instructs Patrick Taylor to deliver such opinion to the Purchasers) and (c) from Chapman and Cutler LLP, the Purchasers’ special counsel in connection with such transactions, substantially in the form set forth in </w:t>
      </w:r>
      <w:r>
        <w:rPr>
          <w:rFonts w:ascii="Times New Roman" w:hAnsi="Times New Roman"/>
          <w:b/>
          <w:color w:val="000000"/>
          <w:sz w:val="24"/>
        </w:rPr>
        <w:t>Exhibit 4.4(c)</w:t>
      </w:r>
      <w:r>
        <w:rPr>
          <w:rFonts w:ascii="Times New Roman" w:hAnsi="Times New Roman"/>
          <w:color w:val="000000"/>
          <w:sz w:val="24"/>
        </w:rPr>
        <w:t xml:space="preserve"> and covering such other matters incident to such transactions as such Purchaser may reasonably request.</w:t>
      </w:r>
    </w:p>
    <w:p>
      <w:pPr>
        <w:pStyle w:val="TextBody"/>
        <w:bidi w:val="0"/>
        <w:spacing w:before="280" w:after="283"/>
        <w:jc w:val="both"/>
        <w:rPr>
          <w:rFonts w:ascii="Times New Roman" w:hAnsi="Times New Roman"/>
          <w:sz w:val="24"/>
        </w:rPr>
      </w:pPr>
      <w:r>
        <w:rPr>
          <w:rFonts w:ascii="Times New Roman" w:hAnsi="Times New Roman"/>
          <w:i/>
          <w:color w:val="000000"/>
          <w:sz w:val="24"/>
        </w:rPr>
        <w:t>Section 4.5. Purchase Permitted By Applicable Law, Etc</w:t>
      </w:r>
      <w:r>
        <w:rPr>
          <w:rFonts w:ascii="Times New Roman" w:hAnsi="Times New Roman"/>
          <w:color w:val="000000"/>
          <w:sz w:val="24"/>
        </w:rPr>
        <w:t>. On the date of the Closing such Purchaser’s 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w:t>
      </w:r>
    </w:p>
    <w:p>
      <w:pPr>
        <w:pStyle w:val="TextBody"/>
        <w:bidi w:val="0"/>
        <w:spacing w:before="280" w:after="283"/>
        <w:jc w:val="both"/>
        <w:rPr>
          <w:rFonts w:ascii="Times New Roman" w:hAnsi="Times New Roman"/>
          <w:sz w:val="24"/>
        </w:rPr>
      </w:pPr>
      <w:r>
        <w:rPr>
          <w:rFonts w:ascii="Times New Roman" w:hAnsi="Times New Roman"/>
          <w:i/>
          <w:color w:val="000000"/>
          <w:sz w:val="24"/>
        </w:rPr>
        <w:t>Section 4.6. Sale of Other Notes</w:t>
      </w:r>
      <w:r>
        <w:rPr>
          <w:rFonts w:ascii="Times New Roman" w:hAnsi="Times New Roman"/>
          <w:color w:val="000000"/>
          <w:sz w:val="24"/>
        </w:rPr>
        <w:t xml:space="preserve">. Contemporaneously with the Closing the Company shall sell to each other Purchaser and each other Purchaser shall purchase the Notes to be purchased by it at the Closing as specified in </w:t>
      </w:r>
      <w:r>
        <w:rPr>
          <w:rFonts w:ascii="Times New Roman" w:hAnsi="Times New Roman"/>
          <w:b/>
          <w:color w:val="000000"/>
          <w:sz w:val="24"/>
        </w:rPr>
        <w:t>Schedule A</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i/>
          <w:color w:val="000000"/>
          <w:sz w:val="24"/>
        </w:rPr>
        <w:t>Section 4.7. Payment of Special Counsel Fees</w:t>
      </w:r>
      <w:r>
        <w:rPr>
          <w:rFonts w:ascii="Times New Roman" w:hAnsi="Times New Roman"/>
          <w:color w:val="000000"/>
          <w:sz w:val="24"/>
        </w:rPr>
        <w:t xml:space="preserve">. Without limiting the provisions of </w:t>
      </w:r>
      <w:r>
        <w:rPr>
          <w:rFonts w:ascii="Times New Roman" w:hAnsi="Times New Roman"/>
          <w:b/>
          <w:color w:val="000000"/>
          <w:sz w:val="24"/>
        </w:rPr>
        <w:t>Section 15.1</w:t>
      </w:r>
      <w:r>
        <w:rPr>
          <w:rFonts w:ascii="Times New Roman" w:hAnsi="Times New Roman"/>
          <w:color w:val="000000"/>
          <w:sz w:val="24"/>
        </w:rPr>
        <w:t xml:space="preserve">, the Company shall have paid on or before the Closing the reasonable fees, charges and disbursements of the Purchasers’ special counsel referred to in </w:t>
      </w:r>
      <w:r>
        <w:rPr>
          <w:rFonts w:ascii="Times New Roman" w:hAnsi="Times New Roman"/>
          <w:b/>
          <w:color w:val="000000"/>
          <w:sz w:val="24"/>
        </w:rPr>
        <w:t>Section 4.4</w:t>
      </w:r>
      <w:r>
        <w:rPr>
          <w:rFonts w:ascii="Times New Roman" w:hAnsi="Times New Roman"/>
          <w:color w:val="000000"/>
          <w:sz w:val="24"/>
        </w:rPr>
        <w:t xml:space="preserve"> to the extent reflected in a statement of such counsel rendered to the Company at least one Business Day prior to the Closing, unless the Company and the Purchasers’ special counsel have agreed to make such payment due on a later date.</w:t>
      </w:r>
    </w:p>
    <w:p>
      <w:pPr>
        <w:pStyle w:val="TextBody"/>
        <w:bidi w:val="0"/>
        <w:spacing w:before="280" w:after="283"/>
        <w:jc w:val="both"/>
        <w:rPr>
          <w:rFonts w:ascii="Times New Roman" w:hAnsi="Times New Roman"/>
          <w:sz w:val="24"/>
        </w:rPr>
      </w:pPr>
      <w:r>
        <w:rPr>
          <w:rFonts w:ascii="Times New Roman" w:hAnsi="Times New Roman"/>
          <w:i/>
          <w:color w:val="000000"/>
          <w:sz w:val="24"/>
        </w:rPr>
        <w:t>Section 4.8. Private Placement Number</w:t>
      </w:r>
      <w:r>
        <w:rPr>
          <w:rFonts w:ascii="Times New Roman" w:hAnsi="Times New Roman"/>
          <w:color w:val="000000"/>
          <w:sz w:val="24"/>
        </w:rPr>
        <w:t>. A Private Placement Number issued by the PPN CUSIP Unit of CUSIP Global Services (in cooperation with the SVO) shall have been obtained for the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4.9. Changes in Corporate Structure</w:t>
      </w:r>
      <w:r>
        <w:rPr>
          <w:rFonts w:ascii="Times New Roman" w:hAnsi="Times New Roman"/>
          <w:color w:val="000000"/>
          <w:sz w:val="24"/>
        </w:rPr>
        <w:t xml:space="preserve">. The Company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w:t>
      </w:r>
      <w:r>
        <w:rPr>
          <w:rFonts w:ascii="Times New Roman" w:hAnsi="Times New Roman"/>
          <w:b/>
          <w:color w:val="000000"/>
          <w:sz w:val="24"/>
        </w:rPr>
        <w:t>Schedule 5.5</w:t>
      </w:r>
      <w:r>
        <w:rPr>
          <w:rFonts w:ascii="Times New Roman" w:hAnsi="Times New Roman"/>
          <w:color w:val="000000"/>
          <w:sz w:val="24"/>
        </w:rPr>
        <w: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4.10. Funding Instructions</w:t>
      </w:r>
      <w:r>
        <w:rPr>
          <w:rFonts w:ascii="Times New Roman" w:hAnsi="Times New Roman"/>
          <w:color w:val="000000"/>
          <w:sz w:val="24"/>
        </w:rPr>
        <w:t>. At least five (5) Business Days prior to the date of the Closing, each Purchaser shall have received written instructions signed by a Responsible Officer on letterhead of the Company confirming the information specified in Section 3, including (i) the name and address of the transferee bank, (ii) such transferee bank’s ABA number/Swift Code/IBAN, and (iii) the account name and number into which the purchase price for the Notes is to be deposited, which account shall be fully opened and able to receive micro deposits in accordance with this Section at least five (5) Business Days prior to the date of the Closing. Each Purchaser has the right, but not the obligation, upon written notice (which may be by email) to the Company, to elect to deliver a micro deposit (less than $51.00) to the account identified in the written instructions no later than two (2) Business Days prior to the date of the Closing. If a Purchaser delivers a micro deposit, a Responsible Officer must verbally verify the receipt and amount of the micro deposit to such Purchaser on a telephone call initiated by such Purchaser prior to the date of the Closing and during the business hours of the Company. The Company shall not be obligated to return the amount of the micro deposit, nor will the amount of the micro deposit be netted against the Purchaser’s purchase price of the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4.11. Proceedings and Documents</w:t>
      </w:r>
      <w:r>
        <w:rPr>
          <w:rFonts w:ascii="Times New Roman" w:hAnsi="Times New Roman"/>
          <w:color w:val="000000"/>
          <w:sz w:val="24"/>
        </w:rPr>
        <w:t>. All corporate and other proceedings in connection 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pStyle w:val="TextBody"/>
        <w:bidi w:val="0"/>
        <w:spacing w:before="280" w:after="283"/>
        <w:jc w:val="both"/>
        <w:rPr>
          <w:rFonts w:ascii="Times New Roman" w:hAnsi="Times New Roman"/>
          <w:sz w:val="24"/>
        </w:rPr>
      </w:pPr>
      <w:r>
        <w:rPr>
          <w:rFonts w:ascii="Times New Roman" w:hAnsi="Times New Roman"/>
          <w:i/>
          <w:color w:val="000000"/>
          <w:sz w:val="24"/>
        </w:rPr>
        <w:t>Section 4.12. Regulatory Approvals</w:t>
      </w:r>
      <w:r>
        <w:rPr>
          <w:rFonts w:ascii="Times New Roman" w:hAnsi="Times New Roman"/>
          <w:color w:val="000000"/>
          <w:sz w:val="24"/>
        </w:rPr>
        <w:t>. The issue and sale of the Notes shall have been duly authorized by order of the MPUC and such other regulatory authorities as may have jurisdiction, such order(s) shall be in full force and effect at the time of the Closing and any appeal periods applicable thereto shall have expired with no appeals filed during such periods.</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5. Representations and Warranties of the Company.</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The Company represents and warrants to each Purchaser that the representations and warranties contained in this </w:t>
      </w:r>
      <w:r>
        <w:rPr>
          <w:rFonts w:ascii="Times New Roman" w:hAnsi="Times New Roman"/>
          <w:b/>
          <w:color w:val="000000"/>
          <w:sz w:val="24"/>
        </w:rPr>
        <w:t>Section 5</w:t>
      </w:r>
      <w:r>
        <w:rPr>
          <w:rFonts w:ascii="Times New Roman" w:hAnsi="Times New Roman"/>
          <w:color w:val="000000"/>
          <w:sz w:val="24"/>
        </w:rPr>
        <w:t xml:space="preserve"> are true and correct as of the date of this Agreement and the Closing (except, in each case, to the extent any representation or warranty expressly relates to a different date, in which case as of such different date):</w:t>
      </w:r>
    </w:p>
    <w:p>
      <w:pPr>
        <w:pStyle w:val="TextBody"/>
        <w:bidi w:val="0"/>
        <w:spacing w:before="280" w:after="283"/>
        <w:jc w:val="both"/>
        <w:rPr>
          <w:rFonts w:ascii="Times New Roman" w:hAnsi="Times New Roman"/>
          <w:sz w:val="24"/>
        </w:rPr>
      </w:pPr>
      <w:r>
        <w:rPr>
          <w:rFonts w:ascii="Times New Roman" w:hAnsi="Times New Roman"/>
          <w:i/>
          <w:color w:val="000000"/>
          <w:sz w:val="24"/>
        </w:rPr>
        <w:t xml:space="preserve">Section 5.1. Organization; Power and Authority. </w:t>
      </w:r>
      <w:r>
        <w:rPr>
          <w:rFonts w:ascii="Times New Roman" w:hAnsi="Times New Roman"/>
          <w:color w:val="000000"/>
          <w:sz w:val="24"/>
        </w:rPr>
        <w:t>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except, in each case, as would not, individually or in the aggregate, reasonably be expected to have a Material Adverse Effect. The Company has the corporate power and authority to execute and deliver this Agreement and the Notes and to perform the provisions hereof and thereof.</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5.2. Authorization, Etc</w:t>
      </w:r>
      <w:r>
        <w:rPr>
          <w:rFonts w:ascii="Times New Roman" w:hAnsi="Times New Roman"/>
          <w:color w:val="000000"/>
          <w:sz w:val="24"/>
        </w:rPr>
        <w:t>. This Agreement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fraudulent transfer,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before="280" w:after="283"/>
        <w:jc w:val="both"/>
        <w:rPr>
          <w:rFonts w:ascii="Times New Roman" w:hAnsi="Times New Roman"/>
          <w:sz w:val="24"/>
        </w:rPr>
      </w:pPr>
      <w:r>
        <w:rPr>
          <w:rFonts w:ascii="Times New Roman" w:hAnsi="Times New Roman"/>
          <w:i/>
          <w:color w:val="000000"/>
          <w:sz w:val="24"/>
        </w:rPr>
        <w:t>Section 5.3. Disclosure</w:t>
      </w:r>
      <w:r>
        <w:rPr>
          <w:rFonts w:ascii="Times New Roman" w:hAnsi="Times New Roman"/>
          <w:color w:val="000000"/>
          <w:sz w:val="24"/>
        </w:rPr>
        <w:t xml:space="preserve">. The Company, through its agent, Scotia Capital (USA) Inc., has delivered to each Purchaser documents, certificates or other writings identified in </w:t>
      </w:r>
      <w:r>
        <w:rPr>
          <w:rFonts w:ascii="Times New Roman" w:hAnsi="Times New Roman"/>
          <w:b/>
          <w:color w:val="000000"/>
          <w:sz w:val="24"/>
        </w:rPr>
        <w:t>Schedule 5.3</w:t>
      </w:r>
      <w:r>
        <w:rPr>
          <w:rFonts w:ascii="Times New Roman" w:hAnsi="Times New Roman"/>
          <w:color w:val="000000"/>
          <w:sz w:val="24"/>
        </w:rPr>
        <w:t xml:space="preserve"> and such financial statements listed in </w:t>
      </w:r>
      <w:r>
        <w:rPr>
          <w:rFonts w:ascii="Times New Roman" w:hAnsi="Times New Roman"/>
          <w:b/>
          <w:color w:val="000000"/>
          <w:sz w:val="24"/>
        </w:rPr>
        <w:t>Schedule 5.5</w:t>
      </w:r>
      <w:r>
        <w:rPr>
          <w:rFonts w:ascii="Times New Roman" w:hAnsi="Times New Roman"/>
          <w:color w:val="000000"/>
          <w:sz w:val="24"/>
        </w:rPr>
        <w:t xml:space="preserve">, relating to the transactions contemplated hereby. The Disclosure Documents (defined below) fairly describe, in all material respects, the general nature of the business and principal properties of the Company and its Subsidiaries. This Agreement and the documents, certificates or other writings delivered to the Purchasers by or on behalf of the Company in connection with the transactions contemplated hereby and identified in </w:t>
      </w:r>
      <w:r>
        <w:rPr>
          <w:rFonts w:ascii="Times New Roman" w:hAnsi="Times New Roman"/>
          <w:b/>
          <w:color w:val="000000"/>
          <w:sz w:val="24"/>
        </w:rPr>
        <w:t>Schedule 5.3</w:t>
      </w:r>
      <w:r>
        <w:rPr>
          <w:rFonts w:ascii="Times New Roman" w:hAnsi="Times New Roman"/>
          <w:color w:val="000000"/>
          <w:sz w:val="24"/>
        </w:rPr>
        <w:t xml:space="preserve">, and the financial statements listed in </w:t>
      </w:r>
      <w:r>
        <w:rPr>
          <w:rFonts w:ascii="Times New Roman" w:hAnsi="Times New Roman"/>
          <w:b/>
          <w:color w:val="000000"/>
          <w:sz w:val="24"/>
        </w:rPr>
        <w:t>Schedule 5.5</w:t>
      </w:r>
      <w:r>
        <w:rPr>
          <w:rFonts w:ascii="Times New Roman" w:hAnsi="Times New Roman"/>
          <w:color w:val="000000"/>
          <w:sz w:val="24"/>
        </w:rPr>
        <w:t xml:space="preserve"> (this Agreement and such documents, certificates or other writings identified in </w:t>
      </w:r>
      <w:r>
        <w:rPr>
          <w:rFonts w:ascii="Times New Roman" w:hAnsi="Times New Roman"/>
          <w:b/>
          <w:color w:val="000000"/>
          <w:sz w:val="24"/>
        </w:rPr>
        <w:t>Schedule 5.3</w:t>
      </w:r>
      <w:r>
        <w:rPr>
          <w:rFonts w:ascii="Times New Roman" w:hAnsi="Times New Roman"/>
          <w:color w:val="000000"/>
          <w:sz w:val="24"/>
        </w:rPr>
        <w:t xml:space="preserve"> and such financial statements listed in </w:t>
      </w:r>
      <w:r>
        <w:rPr>
          <w:rFonts w:ascii="Times New Roman" w:hAnsi="Times New Roman"/>
          <w:b/>
          <w:color w:val="000000"/>
          <w:sz w:val="24"/>
        </w:rPr>
        <w:t>Schedule 5.5</w:t>
      </w:r>
      <w:r>
        <w:rPr>
          <w:rFonts w:ascii="Times New Roman" w:hAnsi="Times New Roman"/>
          <w:color w:val="000000"/>
          <w:sz w:val="24"/>
        </w:rPr>
        <w:t xml:space="preserve"> delivered to each Purchaser being referred to, collectively, as the “</w:t>
      </w:r>
      <w:r>
        <w:rPr>
          <w:rFonts w:ascii="Times New Roman" w:hAnsi="Times New Roman"/>
          <w:i/>
          <w:color w:val="000000"/>
          <w:sz w:val="24"/>
        </w:rPr>
        <w:t>Disclosure Documents”</w:t>
      </w:r>
      <w:r>
        <w:rPr>
          <w:rFonts w:ascii="Times New Roman" w:hAnsi="Times New Roman"/>
          <w:color w:val="000000"/>
          <w:sz w:val="24"/>
        </w:rPr>
        <w:t>), taken as a whole, do not, as of their respective dates, contain any untrue statement of a material fact or omit to state any material fact necessary to make the statements therein not misleading in light of the circumstances under which they were made. Except as disclosed in the Disclosure Documents, since September 2, 2026, there has been no change in the financial condition, operations, business or properties of the Company and its Subsidiaries (taken as a whole) except changes that individually or in the aggregate would not reasonably be expected to have a Material Adverse Effect. There is no fact known to the Company that would reasonably be expected to have a Material Adverse Effect that has not been set forth herein or in the Disclosure Documents.</w:t>
      </w:r>
    </w:p>
    <w:p>
      <w:pPr>
        <w:pStyle w:val="TextBody"/>
        <w:bidi w:val="0"/>
        <w:spacing w:before="280" w:after="283"/>
        <w:jc w:val="both"/>
        <w:rPr>
          <w:rFonts w:ascii="Times New Roman" w:hAnsi="Times New Roman"/>
          <w:sz w:val="24"/>
        </w:rPr>
      </w:pPr>
      <w:r>
        <w:rPr>
          <w:rFonts w:ascii="Times New Roman" w:hAnsi="Times New Roman"/>
          <w:i/>
          <w:color w:val="000000"/>
          <w:sz w:val="24"/>
        </w:rPr>
        <w:t>Section 5.4. Organization and Ownership of Shares of the Company and Subsidiaries; Affiliates</w:t>
      </w:r>
      <w:r>
        <w:rPr>
          <w:rFonts w:ascii="Times New Roman" w:hAnsi="Times New Roman"/>
          <w:color w:val="000000"/>
          <w:sz w:val="24"/>
        </w:rPr>
        <w:t xml:space="preserve">. (a) </w:t>
      </w:r>
      <w:r>
        <w:rPr>
          <w:rFonts w:ascii="Times New Roman" w:hAnsi="Times New Roman"/>
          <w:b/>
          <w:color w:val="000000"/>
          <w:sz w:val="24"/>
        </w:rPr>
        <w:t>Schedule 5.4</w:t>
      </w:r>
      <w:r>
        <w:rPr>
          <w:rFonts w:ascii="Times New Roman" w:hAnsi="Times New Roman"/>
          <w:color w:val="000000"/>
          <w:sz w:val="24"/>
        </w:rPr>
        <w:t xml:space="preserve"> contains (except as noted therein) complete and correct lists (i) of the Company’s Subsidiaries, showing, as to each Subsidiary, the correct name thereof, the jurisdiction of its organization, and the percentage of shares of each class of its capital stock or similar equity interests outstanding owned by the Company and each other Subsidiary, (ii) of the Company’s Affiliates, other than the Company’s directors and senior officers and other than directors, senior officers, Subsidiaries or shareholders of Unitil, and (iii) of the Company’s directors and senior officers.</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All of the outstanding shares of capital stock or similar equity interests of each Subsidiary shown in </w:t>
      </w:r>
      <w:r>
        <w:rPr>
          <w:rFonts w:ascii="Times New Roman" w:hAnsi="Times New Roman"/>
          <w:b/>
          <w:color w:val="000000"/>
          <w:sz w:val="24"/>
        </w:rPr>
        <w:t>Schedule 5.4</w:t>
      </w:r>
      <w:r>
        <w:rPr>
          <w:rFonts w:ascii="Times New Roman" w:hAnsi="Times New Roman"/>
          <w:color w:val="000000"/>
          <w:sz w:val="24"/>
        </w:rPr>
        <w:t xml:space="preserve"> as being owned by the Company and its Subsidiaries have been validly issued, are fully paid and nonassessable and are owned by the Company or another Subsidiary free and clear of any Lien prohibited by this Agreement (except as otherwise disclosed in </w:t>
      </w:r>
      <w:r>
        <w:rPr>
          <w:rFonts w:ascii="Times New Roman" w:hAnsi="Times New Roman"/>
          <w:b/>
          <w:color w:val="000000"/>
          <w:sz w:val="24"/>
        </w:rPr>
        <w:t>Schedule 5.4</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 Each Subsidiary identified in </w:t>
      </w:r>
      <w:r>
        <w:rPr>
          <w:rFonts w:ascii="Times New Roman" w:hAnsi="Times New Roman"/>
          <w:b/>
          <w:color w:val="000000"/>
          <w:sz w:val="24"/>
        </w:rPr>
        <w:t>Schedule 5.4</w:t>
      </w:r>
      <w:r>
        <w:rPr>
          <w:rFonts w:ascii="Times New Roman" w:hAnsi="Times New Roman"/>
          <w:color w:val="000000"/>
          <w:sz w:val="24"/>
        </w:rPr>
        <w:t xml:space="preserve"> is a corporation or other legal entity duly organized, validly existing and in good standing under the laws of its jurisdiction of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organization, and is duly qualified as a foreign corporation or other legal entity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in each case, as would not, individually or in the aggregate, reasonably be expected to have a Material Adverse Effect.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(d) No Subsidiary is a party to, or otherwise subject to any legal, regulatory, contractual or other restriction (other than this Agreement, the agreements listed on </w:t>
      </w:r>
      <w:r>
        <w:rPr>
          <w:rFonts w:ascii="Times New Roman" w:hAnsi="Times New Roman"/>
          <w:b/>
          <w:color w:val="000000"/>
          <w:sz w:val="24"/>
        </w:rPr>
        <w:t>Schedule 5.4</w:t>
      </w:r>
      <w:r>
        <w:rPr>
          <w:rFonts w:ascii="Times New Roman" w:hAnsi="Times New Roman"/>
          <w:color w:val="000000"/>
          <w:sz w:val="24"/>
        </w:rPr>
        <w:t xml:space="preserve"> and customary limitations imposed by corporate or utility regulatory law or similar statutes) restricting the ability of such Subsidiary to pay dividends out of profits or make any other similar distributions of profits to the Company or any of its Subsidiaries that owns outstanding shares of capital stock or similar equity interests of such Subsidiary in an amount substantially inconsistent with the past practice of such Subsidiary.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The Company is a Wholly</w:t>
        <w:noBreakHyphen/>
        <w:t>Owned Subsidiary of Unitil.</w:t>
      </w:r>
    </w:p>
    <w:p>
      <w:pPr>
        <w:pStyle w:val="TextBody"/>
        <w:bidi w:val="0"/>
        <w:spacing w:before="280" w:after="283"/>
        <w:jc w:val="both"/>
        <w:rPr>
          <w:rFonts w:ascii="Times New Roman" w:hAnsi="Times New Roman"/>
          <w:sz w:val="24"/>
        </w:rPr>
      </w:pPr>
      <w:r>
        <w:rPr>
          <w:rFonts w:ascii="Times New Roman" w:hAnsi="Times New Roman"/>
          <w:i/>
          <w:color w:val="000000"/>
          <w:sz w:val="24"/>
        </w:rPr>
        <w:t>Section 5.5. Financial Statements; Material Liabilities</w:t>
      </w:r>
      <w:r>
        <w:rPr>
          <w:rFonts w:ascii="Times New Roman" w:hAnsi="Times New Roman"/>
          <w:color w:val="000000"/>
          <w:sz w:val="24"/>
        </w:rPr>
        <w:t xml:space="preserve">. The Company has delivered to each Purchaser copies of the consolidated financial statements of the Company and its Subsidiaries listed on </w:t>
      </w:r>
      <w:r>
        <w:rPr>
          <w:rFonts w:ascii="Times New Roman" w:hAnsi="Times New Roman"/>
          <w:b/>
          <w:color w:val="000000"/>
          <w:sz w:val="24"/>
        </w:rPr>
        <w:t>Schedule 5.5</w:t>
      </w:r>
      <w:r>
        <w:rPr>
          <w:rFonts w:ascii="Times New Roman" w:hAnsi="Times New Roman"/>
          <w:color w:val="000000"/>
          <w:sz w:val="24"/>
        </w:rPr>
        <w:t>. All of said consolidated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and the potential absence of or disclosure in notes). The Company and its Subsidiaries do not have any Material liabilities that are not disclosed on such financial statements or otherwise disclosed in the Disclosure Documents except liabilities, as would not, individually or in the aggregate, be reasonably expected to have a Material Adverse Effect.</w:t>
      </w:r>
    </w:p>
    <w:p>
      <w:pPr>
        <w:pStyle w:val="TextBody"/>
        <w:bidi w:val="0"/>
        <w:spacing w:before="280" w:after="283"/>
        <w:jc w:val="both"/>
        <w:rPr>
          <w:rFonts w:ascii="Times New Roman" w:hAnsi="Times New Roman"/>
          <w:sz w:val="24"/>
        </w:rPr>
      </w:pPr>
      <w:r>
        <w:rPr>
          <w:rFonts w:ascii="Times New Roman" w:hAnsi="Times New Roman"/>
          <w:i/>
          <w:color w:val="000000"/>
          <w:sz w:val="24"/>
        </w:rPr>
        <w:t>Section 5.6. Compliance with Laws, Other Instruments, Etc</w:t>
      </w:r>
      <w:r>
        <w:rPr>
          <w:rFonts w:ascii="Times New Roman" w:hAnsi="Times New Roman"/>
          <w:color w:val="000000"/>
          <w:sz w:val="24"/>
        </w:rPr>
        <w:t>. The execution, delivery and performance by the Company of this Agreement and the Notes will not (i) contravene, result in any breach of, or constitute a default under, or result in the creation of any Lien prohibited by this Agreement in respect of any property of the Company or any Subsidiary under, any indenture, mortgage, deed of trust, loan, purchase or credit agreement, lease, corporate charter or by-laws, members agreement or any other Material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 except, in each case, as would not reasonably be expected to have a Material Adverse Effect.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5.7. Governmental Authorizations, Etc</w:t>
      </w:r>
      <w:r>
        <w:rPr>
          <w:rFonts w:ascii="Times New Roman" w:hAnsi="Times New Roman"/>
          <w:color w:val="000000"/>
          <w:sz w:val="24"/>
        </w:rPr>
        <w:t>. The Company is subject to regulation by the MPUC with respect to retail rates, adequacy of service, issuance of securities, accounting and other matters and to regulation by FERC under the Energy Policy Act of 2005 in regards to certain bookkeeping, accounting and reporting requirements. The issuance and sale of the Notes have been authorized by an order of the MPUC, which orders have each become final and the applicable waiting or appeal periods (including any extension thereof) have expired with no appeals filed during such periods. No consent, approval or authorization of, or registration, filing or declaration with, any Governmental Authority is required in connection with the execution, delivery or performance by the Company of this Agreement or the Notes other than (i) the order of the MPUC referenced above or (ii) as may be required under applicable state securities or blue sky laws.</w:t>
      </w:r>
    </w:p>
    <w:p>
      <w:pPr>
        <w:pStyle w:val="TextBody"/>
        <w:bidi w:val="0"/>
        <w:spacing w:before="280" w:after="283"/>
        <w:jc w:val="both"/>
        <w:rPr>
          <w:rFonts w:ascii="Times New Roman" w:hAnsi="Times New Roman"/>
          <w:sz w:val="24"/>
        </w:rPr>
      </w:pPr>
      <w:r>
        <w:rPr>
          <w:rFonts w:ascii="Times New Roman" w:hAnsi="Times New Roman"/>
          <w:i/>
          <w:color w:val="000000"/>
          <w:sz w:val="24"/>
        </w:rPr>
        <w:t>Section 5.8. Litigation; Observance of Agreements, Statutes and Orders</w:t>
      </w:r>
      <w:r>
        <w:rPr>
          <w:rFonts w:ascii="Times New Roman" w:hAnsi="Times New Roman"/>
          <w:color w:val="000000"/>
          <w:sz w:val="24"/>
        </w:rPr>
        <w:t xml:space="preserve">. (a) Other than as described below and except as disclosed in the Disclosure Documents, there are no actions, 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Except as disclosed in the Disclosure Documents, neither the Company nor any Subsidiary is (i) in default under any term of any agreement or instrument to which it is a party or by which it is bound, (ii) in violation of any order, judgment, decree or ruling of any court, arbitrator or Governmental Authority or (iii) in violation of any applicable law, ordinance, rule or regulation of any Governmental Authority (including, without limitation Environmental Laws, the USA Patriot Act or any of the other laws and regulations that are referred to in </w:t>
      </w:r>
      <w:r>
        <w:rPr>
          <w:rFonts w:ascii="Times New Roman" w:hAnsi="Times New Roman"/>
          <w:b/>
          <w:color w:val="000000"/>
          <w:sz w:val="24"/>
        </w:rPr>
        <w:t>Section 5.16</w:t>
      </w:r>
      <w:r>
        <w:rPr>
          <w:rFonts w:ascii="Times New Roman" w:hAnsi="Times New Roman"/>
          <w:color w:val="000000"/>
          <w:sz w:val="24"/>
        </w:rPr>
        <w:t xml:space="preserve">), in each case which default or violation, individually or in the aggregate, would reasonably be expected to have a Material Adverse Effect.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5.9. Taxes</w:t>
      </w:r>
      <w:r>
        <w:rPr>
          <w:rFonts w:ascii="Times New Roman" w:hAnsi="Times New Roman"/>
          <w:color w:val="000000"/>
          <w:sz w:val="24"/>
        </w:rPr>
        <w:t xml:space="preserve">. The Company and its Subsidiaries have filed all income, franchise and other Material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 assessment that could, individually or in the aggregate, reasonably be expected to have a Material Adverse Effect. The charges, accruals and reserves on the books of the Company and its Subsidiaries in respect of income taxes for all fiscal periods are recognized in accordance with GAAP, and, except as disclosed in the Disclosure Documents, the Company knows of no Material unpaid assessment for additional income taxes for any fiscal period or any reasonable basis therefor. As of the date of this Agreement, the federal income tax liabilities of the Company and its Subsidiaries have been finally determined (whether by reason of completed audits or the statute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of limitations having run) for all fiscal years up to and including the fiscal year ended December 31, 2022.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5.10. Title to Property; Leases</w:t>
      </w:r>
      <w:r>
        <w:rPr>
          <w:rFonts w:ascii="Times New Roman" w:hAnsi="Times New Roman"/>
          <w:color w:val="000000"/>
          <w:sz w:val="24"/>
        </w:rPr>
        <w:t xml:space="preserve">. The Company and its Subsidiaries have good and sufficient title to their respective properties that individually or in the aggregate are Material, including all such properties reflected in the most recent audited balance sheet referred to in </w:t>
      </w:r>
      <w:r>
        <w:rPr>
          <w:rFonts w:ascii="Times New Roman" w:hAnsi="Times New Roman"/>
          <w:b/>
          <w:color w:val="000000"/>
          <w:sz w:val="24"/>
        </w:rPr>
        <w:t>Section 5.5</w:t>
      </w:r>
      <w:r>
        <w:rPr>
          <w:rFonts w:ascii="Times New Roman" w:hAnsi="Times New Roman"/>
          <w:color w:val="000000"/>
          <w:sz w:val="24"/>
        </w:rPr>
        <w:t xml:space="preserve"> (other than leases relating to property not owned by the Company and required to be reflected on a balance sheet in accordance with GAAP) or purported to have been acquired by the Company or any Subsidiary after said date (except as sold or otherwise disposed of in the ordinary course of business), in each case free and clear of Liens prohibited by this Agreement, except for those defects in title and Liens that, individually or in the aggregate, would not reasonably be expected to have a Material Adverse Effect. All leases that individually or in the aggregate are Material are valid and subsisting and are in full force and effect in all material respects.</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5.11. Licenses, Permits, Etc</w:t>
      </w:r>
      <w:r>
        <w:rPr>
          <w:rFonts w:ascii="Times New Roman" w:hAnsi="Times New Roman"/>
          <w:color w:val="000000"/>
          <w:sz w:val="24"/>
        </w:rPr>
        <w:t>. (a)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 except in each case for such lack of ownership or possession or for those conflicts that, individually or in the aggregate, would not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To the knowledge of the Company, there is no Material violation by any Person of any right of the Company or any of its Subsidiaries with respect to any patent, copyright, proprietary software, service mark, trademark, trade name or other right owned or used by the Company or any of its Subsidiaries that would reasonably be expected to have a Material Adverse Effect.</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5.12. Compliance with ERISA</w:t>
      </w:r>
      <w:r>
        <w:rPr>
          <w:rFonts w:ascii="Times New Roman" w:hAnsi="Times New Roman"/>
          <w:color w:val="000000"/>
          <w:sz w:val="24"/>
        </w:rPr>
        <w:t>. (a) The Company and each ERISA Affiliate have operated and administered each Plan in compliance with all applicable laws except for such instances of noncompliance as have not resulted in and would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individually or in the aggregate, reasonably be expected to result in the incurrence of any such liability by the Company or any ERISA Affiliate, or in the imposition of any Lien prohibited by this Agreement on any of the rights, properties or assets of the Company or any ERISA Affiliate, in either case pursuant to Title I or IV of ERISA to section 430(k) of the Code or to any such penalty or excise tax provisions under the Code or federal law or section 4068 of ERISA or by the granting of a security interest in connection with the amendment of a Plan, other than such liabilities or Liens (i) as would not be individually or in the aggregate Material or (ii) that have been discharged.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 None of the Plans that are subject to the minimum funding requirements of section 412 of the Code or section 302 of ERISA, nor any trust established thereunder, have incurred any “accumulated funding deficiency” or “liquidity shortfall” (as those terms are defined in section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302 of ERISA or section 412 of the Code), whether or not waived, other than those that have been remedied.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The Company and its ERISA Affiliates have not incurred withdrawal liabilities (and are not subject to contingent withdrawal liabilities) under section 4201 or 4204 of ERISA in respect of Multiemployer Plans that individually or in the aggregate are Material, other than such liabilities that have been discharged.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postretirement benefit obligations (determined as of the last day of the Company’s most recently ended fiscal year in accordance with Financial Accounting Standards Board Accounting Standards Codification Topic 715</w:t>
        <w:noBreakHyphen/>
        <w:t>60, without regard to liabilities attributable to continuation coverage mandated by section 4980B of the Code) of the Company and its Subsidiaries have been determined in accordance with GAAP.</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(e) 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to each Purchaser in the first sentence of this </w:t>
      </w:r>
      <w:r>
        <w:rPr>
          <w:rFonts w:ascii="Times New Roman" w:hAnsi="Times New Roman"/>
          <w:b/>
          <w:color w:val="000000"/>
          <w:sz w:val="24"/>
        </w:rPr>
        <w:t>Section 5.12(e)</w:t>
      </w:r>
      <w:r>
        <w:rPr>
          <w:rFonts w:ascii="Times New Roman" w:hAnsi="Times New Roman"/>
          <w:color w:val="000000"/>
          <w:sz w:val="24"/>
        </w:rPr>
        <w:t xml:space="preserve"> is made in reliance upon and subject to the accuracy of such Purchaser’s representation in </w:t>
      </w:r>
      <w:r>
        <w:rPr>
          <w:rFonts w:ascii="Times New Roman" w:hAnsi="Times New Roman"/>
          <w:b/>
          <w:color w:val="000000"/>
          <w:sz w:val="24"/>
        </w:rPr>
        <w:t>Section 6.2</w:t>
      </w:r>
      <w:r>
        <w:rPr>
          <w:rFonts w:ascii="Times New Roman" w:hAnsi="Times New Roman"/>
          <w:color w:val="000000"/>
          <w:sz w:val="24"/>
        </w:rPr>
        <w:t xml:space="preserve"> as to the sources of the funds used to pay the purchase price of the Notes to be purchased by such Purchaser.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 The Company and its Subsidiaries do not have any Non</w:t>
        <w:noBreakHyphen/>
        <w:t>U.S. Plans.</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5.13. Private Offering by the Company</w:t>
      </w:r>
      <w:r>
        <w:rPr>
          <w:rFonts w:ascii="Times New Roman" w:hAnsi="Times New Roman"/>
          <w:color w:val="000000"/>
          <w:sz w:val="24"/>
        </w:rPr>
        <w:t xml:space="preserve">. Neither the Company nor anyone acting on its behalf has offered the Notes or any similar securities for sale to, solicited any offer to buy any of the same from, or otherwise approached or negotiated in respect thereof with, any Person other than not more than twelve (12) Institutional Investors (including the Purchasers, treating all Purchasers that are affiliated with each other as one Institutional Investor),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The representation and warranty by the Company to each Purchaser in the second sentence of this </w:t>
      </w:r>
      <w:r>
        <w:rPr>
          <w:rFonts w:ascii="Times New Roman" w:hAnsi="Times New Roman"/>
          <w:b/>
          <w:color w:val="000000"/>
          <w:sz w:val="24"/>
        </w:rPr>
        <w:t>Section 5.13</w:t>
      </w:r>
      <w:r>
        <w:rPr>
          <w:rFonts w:ascii="Times New Roman" w:hAnsi="Times New Roman"/>
          <w:color w:val="000000"/>
          <w:sz w:val="24"/>
        </w:rPr>
        <w:t xml:space="preserve"> is made in reliance upon and subject to the accuracy of the Purchasers’ representations in </w:t>
      </w:r>
      <w:r>
        <w:rPr>
          <w:rFonts w:ascii="Times New Roman" w:hAnsi="Times New Roman"/>
          <w:b/>
          <w:color w:val="000000"/>
          <w:sz w:val="24"/>
        </w:rPr>
        <w:t>Section 6.1</w:t>
      </w:r>
      <w:r>
        <w:rPr>
          <w:rFonts w:ascii="Times New Roman" w:hAnsi="Times New Roman"/>
          <w:color w:val="000000"/>
          <w:sz w:val="24"/>
        </w:rPr>
        <w:t xml:space="preserve"> and </w:t>
      </w:r>
      <w:r>
        <w:rPr>
          <w:rFonts w:ascii="Times New Roman" w:hAnsi="Times New Roman"/>
          <w:b/>
          <w:color w:val="000000"/>
          <w:sz w:val="24"/>
        </w:rPr>
        <w:t>Section 6.4</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5.14. Use of Proceeds; Margin Regulations</w:t>
      </w:r>
      <w:r>
        <w:rPr>
          <w:rFonts w:ascii="Times New Roman" w:hAnsi="Times New Roman"/>
          <w:color w:val="000000"/>
          <w:sz w:val="24"/>
        </w:rPr>
        <w:t>. The Company will apply the proceeds of the sale of the Notes to refinance existing debt of Unitil (on a consolidated basis) and/or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The Company does not own or carry any margin stock. As used in this Section, the terms “</w:t>
      </w:r>
      <w:r>
        <w:rPr>
          <w:rFonts w:ascii="Times New Roman" w:hAnsi="Times New Roman"/>
          <w:i/>
          <w:color w:val="000000"/>
          <w:sz w:val="24"/>
        </w:rPr>
        <w:t>margin stock”</w:t>
      </w:r>
      <w:r>
        <w:rPr>
          <w:rFonts w:ascii="Times New Roman" w:hAnsi="Times New Roman"/>
          <w:color w:val="000000"/>
          <w:sz w:val="24"/>
        </w:rPr>
        <w:t xml:space="preserve"> and “</w:t>
      </w:r>
      <w:r>
        <w:rPr>
          <w:rFonts w:ascii="Times New Roman" w:hAnsi="Times New Roman"/>
          <w:i/>
          <w:color w:val="000000"/>
          <w:sz w:val="24"/>
        </w:rPr>
        <w:t>purpose of buying or carrying”</w:t>
      </w:r>
      <w:r>
        <w:rPr>
          <w:rFonts w:ascii="Times New Roman" w:hAnsi="Times New Roman"/>
          <w:color w:val="000000"/>
          <w:sz w:val="24"/>
        </w:rPr>
        <w:t xml:space="preserve"> shall have the meanings assigned to them in said Regulation U.</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5.15. Existing Indebtedness; Future Liens.</w:t>
      </w:r>
      <w:r>
        <w:rPr>
          <w:rFonts w:ascii="Times New Roman" w:hAnsi="Times New Roman"/>
          <w:color w:val="000000"/>
          <w:sz w:val="24"/>
        </w:rPr>
        <w:t xml:space="preserve"> (a) Except as described therein, </w:t>
      </w:r>
      <w:r>
        <w:rPr>
          <w:rFonts w:ascii="Times New Roman" w:hAnsi="Times New Roman"/>
          <w:b/>
          <w:color w:val="000000"/>
          <w:sz w:val="24"/>
        </w:rPr>
        <w:t>Schedule 5.15</w:t>
      </w:r>
      <w:r>
        <w:rPr>
          <w:rFonts w:ascii="Times New Roman" w:hAnsi="Times New Roman"/>
          <w:color w:val="000000"/>
          <w:sz w:val="24"/>
        </w:rPr>
        <w:t xml:space="preserve"> sets forth a complete and correct list of all outstanding Indebtedness of the Company and its Subsidiaries as of August 30, 2026 (including a description of the obligors and obligees, principal amount outstanding and collateral therefor, if any, and Guaranty thereof, if any),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with an outstanding principal amount in excess of $2,000,000 that would permit (or that with notice or the lapse of time, or both, would permit) one or more Persons to cause such Indebtedness to become due and payable before its stated maturity or before its regularly scheduled dates of payment.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Neither the Company nor any Subsidiary has agreed or consented to cause or permit in the future (upon the happening of a contingency or otherwise) any of its property, whether now owned or hereafter acquired, to be subject to a Lien not permitted by </w:t>
      </w:r>
      <w:r>
        <w:rPr>
          <w:rFonts w:ascii="Times New Roman" w:hAnsi="Times New Roman"/>
          <w:b/>
          <w:color w:val="000000"/>
          <w:sz w:val="24"/>
        </w:rPr>
        <w:t>Section 10.2</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 Except as disclosed in </w:t>
      </w:r>
      <w:r>
        <w:rPr>
          <w:rFonts w:ascii="Times New Roman" w:hAnsi="Times New Roman"/>
          <w:b/>
          <w:color w:val="000000"/>
          <w:sz w:val="24"/>
        </w:rPr>
        <w:t>Schedule 5.15</w:t>
      </w:r>
      <w:r>
        <w:rPr>
          <w:rFonts w:ascii="Times New Roman" w:hAnsi="Times New Roman"/>
          <w:color w:val="000000"/>
          <w:sz w:val="24"/>
        </w:rPr>
        <w:t>, neither the Company nor any Subsidiary is a party to, or otherwise subject to any provision contained in, any instrument evidencing Funded Indebtedness of the Company or such Subsidiary, any agreement relating thereto or any other agreement (including, but not limited to, its charter or other organizational document) which limits the amount of, or otherwise imposes restrictions on the incurring of, Funded Indebtedness of the Company.</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5.16. Foreign Assets Control Regulations, Etc</w:t>
      </w:r>
      <w:r>
        <w:rPr>
          <w:rFonts w:ascii="Times New Roman" w:hAnsi="Times New Roman"/>
          <w:color w:val="000000"/>
          <w:sz w:val="24"/>
        </w:rPr>
        <w:t>. (a) Neither the Company nor any Controlled Entity (i) is a Blocked Person, (ii) has been notified that its name appears or may in the future appear on a State Sanctions List or (iii) is a target of sanctions that have been imposed by the United Nations or the European Union.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Neither the Company nor any Controlled Entity (i) has violated, been found in violation of, or been charged or convicted under, any applicable U.S. Economic Sanctions Laws, Anti</w:t>
        <w:noBreakHyphen/>
        <w:t>Money Laundering Laws or Anti</w:t>
        <w:noBreakHyphen/>
        <w:t>Corruption Laws or (ii) to the Company’s knowledge, is under investigation by any Governmental Authority for possible violation of any U.S. Economic Sanctions Laws, Anti</w:t>
        <w:noBreakHyphen/>
        <w:t>Money Laundering Laws or Anti</w:t>
        <w:noBreakHyphen/>
        <w:t>Corruption Laws.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No part of the proceeds from the sale of the Notes hereunder:</w:t>
      </w:r>
    </w:p>
    <w:p>
      <w:pPr>
        <w:pStyle w:val="TextBody"/>
        <w:bidi w:val="0"/>
        <w:spacing w:before="280" w:after="283"/>
        <w:ind w:left="720" w:right="0" w:firstLine="540"/>
        <w:jc w:val="both"/>
        <w:rPr>
          <w:rFonts w:ascii="Times New Roman" w:hAnsi="Times New Roman"/>
          <w:color w:val="000000"/>
          <w:sz w:val="24"/>
        </w:rPr>
      </w:pPr>
      <w:r>
        <w:rPr>
          <w:rFonts w:ascii="Times New Roman" w:hAnsi="Times New Roman"/>
          <w:color w:val="000000"/>
          <w:sz w:val="24"/>
        </w:rPr>
        <w:t>(i) constitutes or will constitute funds obtained on behalf of any Blocked Person or will otherwise be used by the Company or any Controlled Entity, directly or indirectly, (A) in connection with any investment in, or, to the knowledge of the Company, any transactions or dealings with, any Blocked Person, (B) for any purpose that, to the knowledge of the Company, would cause any Purchaser to be in violation of any U.S. Economic Sanctions Laws or (C) to the knowledge of the Company, otherwise in violation of any U.S. Economic Sanctions Laws;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firstLine="540"/>
        <w:jc w:val="both"/>
        <w:rPr>
          <w:rFonts w:ascii="Times New Roman" w:hAnsi="Times New Roman"/>
          <w:color w:val="000000"/>
          <w:sz w:val="24"/>
        </w:rPr>
      </w:pPr>
      <w:r>
        <w:rPr>
          <w:rFonts w:ascii="Times New Roman" w:hAnsi="Times New Roman"/>
          <w:color w:val="000000"/>
          <w:sz w:val="24"/>
        </w:rPr>
        <w:t>(ii) to the knowledge of the Company, will be used, directly or indirectly, in violation of, or cause any Purchaser to be in violation of, any applicable Anti</w:t>
        <w:noBreakHyphen/>
        <w:t>Money Laundering Laws; or</w:t>
      </w:r>
    </w:p>
    <w:p>
      <w:pPr>
        <w:pStyle w:val="TextBody"/>
        <w:bidi w:val="0"/>
        <w:spacing w:before="280" w:after="283"/>
        <w:ind w:left="720" w:right="0" w:firstLine="540"/>
        <w:jc w:val="both"/>
        <w:rPr>
          <w:rFonts w:ascii="Times New Roman" w:hAnsi="Times New Roman"/>
          <w:color w:val="000000"/>
          <w:sz w:val="24"/>
        </w:rPr>
      </w:pPr>
      <w:r>
        <w:rPr>
          <w:rFonts w:ascii="Times New Roman" w:hAnsi="Times New Roman"/>
          <w:color w:val="000000"/>
          <w:sz w:val="24"/>
        </w:rPr>
        <w:t>(iii) 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to the knowledge of the Company, cause any Purchaser to be in violation of, any applicable Anti</w:t>
        <w:noBreakHyphen/>
        <w:t>Corruption Laws.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(d) 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noBreakHyphen/>
        <w:t>Money Laundering Laws and Anti</w:t>
        <w:noBreakHyphen/>
        <w:t xml:space="preserve">Corruption Laws.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5.17. Status under Certain Statutes</w:t>
      </w:r>
      <w:r>
        <w:rPr>
          <w:rFonts w:ascii="Times New Roman" w:hAnsi="Times New Roman"/>
          <w:color w:val="000000"/>
          <w:sz w:val="24"/>
        </w:rPr>
        <w:t>. Neither the Company nor any Subsidiary is subject to regulation under the Investment Company Act of 1940, as amended, the ICC Termination Act of 1995, as amended, or the Federal Power Act, as amended. The Company is subject to regulation under the Public Utility Holding Company Act of 2005, as amended, and the Energy Policy Act of 2005, as amended.</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5.18. Environmental Matters</w:t>
      </w:r>
      <w:r>
        <w:rPr>
          <w:rFonts w:ascii="Times New Roman" w:hAnsi="Times New Roman"/>
          <w:color w:val="000000"/>
          <w:sz w:val="24"/>
        </w:rPr>
        <w:t xml:space="preserve">. (a) Except as disclosed in the Disclosure Documents, neither the Company nor any Subsidiary has knowledge of any claim or has received any notice of any claim, and no proceeding has been instituted raising any claim against the Company or any of its Subsidiaries or any of their respective real properties now or formerly owned, leased or operated by any of them or other assets, alleging any damage to the environment or violation of any Environmental Laws, except, in each case, such as would not reasonably be expected to result in a Material Adverse Effect.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 Except as disclosed in the Disclosure Documents, all buildings on all real properties now owned, leased or operated by the Company or any Subsidiary are in compliance with applicable Environmental Laws, except where failure to comply would not reasonably be expected to result in a Material Adverse Effect.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5.19. Notes Rank Pari Passu.</w:t>
      </w:r>
      <w:r>
        <w:rPr>
          <w:rFonts w:ascii="Times New Roman" w:hAnsi="Times New Roman"/>
          <w:color w:val="000000"/>
          <w:sz w:val="24"/>
        </w:rPr>
        <w:t xml:space="preserve"> The obligations of the Company under this Agreement and the Notes rank </w:t>
      </w:r>
      <w:r>
        <w:rPr>
          <w:rFonts w:ascii="Times New Roman" w:hAnsi="Times New Roman"/>
          <w:i/>
          <w:color w:val="000000"/>
          <w:sz w:val="24"/>
        </w:rPr>
        <w:t>pari passu</w:t>
      </w:r>
      <w:r>
        <w:rPr>
          <w:rFonts w:ascii="Times New Roman" w:hAnsi="Times New Roman"/>
          <w:color w:val="000000"/>
          <w:sz w:val="24"/>
        </w:rPr>
        <w:t xml:space="preserve"> in right of payment with all other senior unsecured Funded Indebtedness (actual or contingent) of the Company.</w:t>
      </w:r>
    </w:p>
    <w:p>
      <w:pPr>
        <w:pStyle w:val="TextBody"/>
        <w:bidi w:val="0"/>
        <w:spacing w:before="280" w:after="283"/>
        <w:jc w:val="both"/>
        <w:rPr>
          <w:rFonts w:ascii="Times New Roman" w:hAnsi="Times New Roman"/>
          <w:sz w:val="24"/>
        </w:rPr>
      </w:pPr>
      <w:r>
        <w:rPr>
          <w:rFonts w:ascii="Times New Roman" w:hAnsi="Times New Roman"/>
          <w:i/>
          <w:color w:val="000000"/>
          <w:sz w:val="24"/>
        </w:rPr>
        <w:t>Section 5.20. Solvency and Consideration.</w:t>
      </w:r>
      <w:r>
        <w:rPr>
          <w:rFonts w:ascii="Times New Roman" w:hAnsi="Times New Roman"/>
          <w:color w:val="000000"/>
          <w:sz w:val="24"/>
        </w:rPr>
        <w:t xml:space="preserve"> On the date of Closing, after giving effect to the issue and sale of the Notes and the application of the proceeds as contemplated by </w:t>
      </w:r>
      <w:r>
        <w:rPr>
          <w:rFonts w:ascii="Times New Roman" w:hAnsi="Times New Roman"/>
          <w:b/>
          <w:color w:val="000000"/>
          <w:sz w:val="24"/>
        </w:rPr>
        <w:t>Section</w:t>
      </w:r>
      <w:r>
        <w:rPr>
          <w:rFonts w:ascii="Times New Roman" w:hAnsi="Times New Roman"/>
          <w:color w:val="000000"/>
          <w:sz w:val="24"/>
        </w:rPr>
        <w:t xml:space="preserve"> </w:t>
      </w:r>
      <w:r>
        <w:rPr>
          <w:rFonts w:ascii="Times New Roman" w:hAnsi="Times New Roman"/>
          <w:b/>
          <w:color w:val="000000"/>
          <w:sz w:val="24"/>
        </w:rPr>
        <w:t xml:space="preserve">5.14 </w:t>
      </w:r>
      <w:r>
        <w:rPr>
          <w:rFonts w:ascii="Times New Roman" w:hAnsi="Times New Roman"/>
          <w:color w:val="000000"/>
          <w:sz w:val="24"/>
        </w:rPr>
        <w:t xml:space="preserve">hereof, the Company is solvent, has capital not unreasonably small in relation to its business or any contemplated or undertaken transaction and has assets having a value both at fair valuation and a present fair salable value greater than the amount required to pay its debts as they become due and greater than the amount that will be required to pay its probable liability on its existing debts as they become due and matured. The Company does not intend to incur, nor does it believe, nor should it believe that it will incur, debts beyond its ability to pay such debts as they become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due. The Company will not be rendered insolvent by the execution, delivery and performance of its obligations under or in respect of the Notes or this Agreement. The Company does not intend to hinder, delay or defraud its creditors by or through the execution, delivery or performance of its obligations under or in respect of the Notes or this Agreement. </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6. Representations and Warranties of the Purchasers.</w:t>
      </w:r>
    </w:p>
    <w:p>
      <w:pPr>
        <w:pStyle w:val="TextBody"/>
        <w:bidi w:val="0"/>
        <w:spacing w:before="280" w:after="283"/>
        <w:jc w:val="both"/>
        <w:rPr>
          <w:rFonts w:ascii="Times New Roman" w:hAnsi="Times New Roman"/>
          <w:sz w:val="24"/>
        </w:rPr>
      </w:pPr>
      <w:r>
        <w:rPr>
          <w:rFonts w:ascii="Times New Roman" w:hAnsi="Times New Roman"/>
          <w:i/>
          <w:color w:val="000000"/>
          <w:sz w:val="24"/>
        </w:rPr>
        <w:t>Section 6.1. Purchase for Investment</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(a) Each Purchaser severally represents and warrants that it (i) is an institutional “accredited investor” as defined in Rule 501(a)(1), (2), (3), or (7) under the Securities Act, (ii) is not an “underwriter” as defined in section 2(a)(11) of the Securities Act, and (iii) is purchasing the Notes for its own account or for one or more separate accounts maintained by such Purchaser or for the account of one or more pension or trust funds and not with a view to the distribution thereof, </w:t>
      </w:r>
      <w:r>
        <w:rPr>
          <w:rFonts w:ascii="Times New Roman" w:hAnsi="Times New Roman"/>
          <w:i/>
          <w:color w:val="000000"/>
          <w:sz w:val="24"/>
        </w:rPr>
        <w:t>provided</w:t>
      </w:r>
      <w:r>
        <w:rPr>
          <w:rFonts w:ascii="Times New Roman" w:hAnsi="Times New Roman"/>
          <w:color w:val="000000"/>
          <w:sz w:val="24"/>
        </w:rPr>
        <w:t xml:space="preserve"> that the disposition of such Purchaser’s or their property shall at all times be within such Purchaser’s or their control.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and does not intend to register the Notes.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Each Purchaser understands that the Notes will bear a legend, prominently stamped or printed thereon, reading substantially as follows: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spacing w:before="280" w:after="283"/>
        <w:jc w:val="both"/>
        <w:rPr>
          <w:rFonts w:ascii="Times New Roman" w:hAnsi="Times New Roman"/>
          <w:sz w:val="24"/>
        </w:rPr>
      </w:pPr>
      <w:r>
        <w:rPr>
          <w:rFonts w:ascii="Times New Roman" w:hAnsi="Times New Roman"/>
          <w:i/>
          <w:color w:val="000000"/>
          <w:sz w:val="24"/>
        </w:rPr>
        <w:t>Section 6.2. Source of Funds</w:t>
      </w:r>
      <w:r>
        <w:rPr>
          <w:rFonts w:ascii="Times New Roman" w:hAnsi="Times New Roman"/>
          <w:color w:val="000000"/>
          <w:sz w:val="24"/>
        </w:rPr>
        <w:t>. Each Purchaser severally represents and warrants that at least one of the following statements is an accurate representation as to each source of funds (a “</w:t>
      </w:r>
      <w:r>
        <w:rPr>
          <w:rFonts w:ascii="Times New Roman" w:hAnsi="Times New Roman"/>
          <w:i/>
          <w:color w:val="000000"/>
          <w:sz w:val="24"/>
        </w:rPr>
        <w:t>Source”</w:t>
      </w:r>
      <w:r>
        <w:rPr>
          <w:rFonts w:ascii="Times New Roman" w:hAnsi="Times New Roman"/>
          <w:color w:val="000000"/>
          <w:sz w:val="24"/>
        </w:rPr>
        <w:t>) to be used by such Purchaser to pay the purchase price of the Notes to be purchased by such Purchaser hereunder: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(a) the Source is an “insurance company general account” (as the term is defined in the United States Department of Labor’s Prohibited Transaction Exemption (“</w:t>
      </w:r>
      <w:r>
        <w:rPr>
          <w:rFonts w:ascii="Times New Roman" w:hAnsi="Times New Roman"/>
          <w:i/>
          <w:color w:val="000000"/>
          <w:sz w:val="24"/>
        </w:rPr>
        <w:t>PTE”</w:t>
      </w:r>
      <w:r>
        <w:rPr>
          <w:rFonts w:ascii="Times New Roman" w:hAnsi="Times New Roman"/>
          <w:color w:val="000000"/>
          <w:sz w:val="24"/>
        </w:rPr>
        <w:t>) 95-60) in respect of which the reserves and liabilities (as defined by the annual statement for life insurance companies approved by the NAIC (the “</w:t>
      </w:r>
      <w:r>
        <w:rPr>
          <w:rFonts w:ascii="Times New Roman" w:hAnsi="Times New Roman"/>
          <w:i/>
          <w:color w:val="000000"/>
          <w:sz w:val="24"/>
        </w:rPr>
        <w:t>NAIC Annual Statement”</w:t>
      </w:r>
      <w:r>
        <w:rPr>
          <w:rFonts w:ascii="Times New Roman" w:hAnsi="Times New Roman"/>
          <w:color w:val="000000"/>
          <w:sz w:val="24"/>
        </w:rPr>
        <w:t xml:space="preserve">)) for the general account contract(s) held by or on behalf of any employee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(d) the Source constitutes assets of an “investment fund” (within the meaning of Part VI of PTE 84</w:t>
        <w:noBreakHyphen/>
        <w:t>14 (the “</w:t>
      </w:r>
      <w:r>
        <w:rPr>
          <w:rFonts w:ascii="Times New Roman" w:hAnsi="Times New Roman"/>
          <w:i/>
          <w:color w:val="000000"/>
          <w:sz w:val="24"/>
        </w:rPr>
        <w:t>QPAM Exemption”</w:t>
      </w:r>
      <w:r>
        <w:rPr>
          <w:rFonts w:ascii="Times New Roman" w:hAnsi="Times New Roman"/>
          <w:color w:val="000000"/>
          <w:sz w:val="24"/>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(e) the Source constitutes assets of a “plan(s)” (within the meaning of Part IV(h) of PTE 96</w:t>
        <w:noBreakHyphen/>
        <w:t>23 (the “</w:t>
      </w:r>
      <w:r>
        <w:rPr>
          <w:rFonts w:ascii="Times New Roman" w:hAnsi="Times New Roman"/>
          <w:i/>
          <w:color w:val="000000"/>
          <w:sz w:val="24"/>
        </w:rPr>
        <w:t>INHAM Exemption”</w:t>
      </w:r>
      <w:r>
        <w:rPr>
          <w:rFonts w:ascii="Times New Roman" w:hAnsi="Times New Roman"/>
          <w:color w:val="000000"/>
          <w:sz w:val="24"/>
        </w:rPr>
        <w:t>)) managed by an “in</w:t>
        <w:noBreakHyphen/>
        <w:t xml:space="preserve">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the identity of such INHAM and (ii) the name(s) of the employee benefit plan(s) whose assets constitute the Source have been disclosed to the Company in writing pursuant to this clause (e);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(f) the Source is a governmental plan;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(g) the Source is one or more employee benefit plans, or a separate account or trust fund comprised of one or more employee benefit plans, each of which has been identified to the Company in writing pursuant to this clause (g);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(h) the Source does not include assets of any employee benefit plan, other than a plan exempt from the coverage of ERISA.</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As used in this </w:t>
      </w:r>
      <w:r>
        <w:rPr>
          <w:rFonts w:ascii="Times New Roman" w:hAnsi="Times New Roman"/>
          <w:b/>
          <w:color w:val="000000"/>
          <w:sz w:val="24"/>
        </w:rPr>
        <w:t>Section 6.2</w:t>
      </w:r>
      <w:r>
        <w:rPr>
          <w:rFonts w:ascii="Times New Roman" w:hAnsi="Times New Roman"/>
          <w:color w:val="000000"/>
          <w:sz w:val="24"/>
        </w:rPr>
        <w:t>, the terms “employee benefit plan,” “governmental plan,” and “separate account” shall have the respective meanings assigned to such terms in section 3 of ERISA.</w:t>
      </w:r>
    </w:p>
    <w:p>
      <w:pPr>
        <w:pStyle w:val="TextBody"/>
        <w:bidi w:val="0"/>
        <w:spacing w:before="280" w:after="283"/>
        <w:jc w:val="both"/>
        <w:rPr>
          <w:rFonts w:ascii="Times New Roman" w:hAnsi="Times New Roman"/>
          <w:sz w:val="24"/>
        </w:rPr>
      </w:pPr>
      <w:r>
        <w:rPr>
          <w:rFonts w:ascii="Times New Roman" w:hAnsi="Times New Roman"/>
          <w:i/>
          <w:color w:val="000000"/>
          <w:sz w:val="24"/>
        </w:rPr>
        <w:t>Section 6.3. Binding Effect.</w:t>
      </w:r>
      <w:r>
        <w:rPr>
          <w:rFonts w:ascii="Times New Roman" w:hAnsi="Times New Roman"/>
          <w:color w:val="000000"/>
          <w:sz w:val="24"/>
        </w:rPr>
        <w:t xml:space="preserve"> Each Purchaser severally represents and warrants that this Agreement has been duly executed and delivered by it and this Agreement constitutes its valid and legally binding obligation, enforceable against it in accordance with its terms.</w:t>
      </w:r>
    </w:p>
    <w:p>
      <w:pPr>
        <w:pStyle w:val="TextBody"/>
        <w:bidi w:val="0"/>
        <w:spacing w:before="280" w:after="283"/>
        <w:jc w:val="both"/>
        <w:rPr>
          <w:rFonts w:ascii="Times New Roman" w:hAnsi="Times New Roman"/>
          <w:sz w:val="24"/>
        </w:rPr>
      </w:pPr>
      <w:r>
        <w:rPr>
          <w:rFonts w:ascii="Times New Roman" w:hAnsi="Times New Roman"/>
          <w:i/>
          <w:color w:val="000000"/>
          <w:sz w:val="24"/>
        </w:rPr>
        <w:t xml:space="preserve">Section 6.4. Access to Information; Knowledge and Experience. </w:t>
      </w:r>
      <w:r>
        <w:rPr>
          <w:rFonts w:ascii="Times New Roman" w:hAnsi="Times New Roman"/>
          <w:color w:val="000000"/>
          <w:sz w:val="24"/>
        </w:rPr>
        <w:t>Each Purchaser severally represents and warrants that it (i) has been furnished with or has had access to the information requested from the Company, (ii) has had an opportunity to discuss with management of the Company the business and financial affairs of the Company and (iii) has such knowledge and experience in business and financial matters and with respect to investments in securities similar to the Notes that it is capable of evaluating the risks and merits of this investment.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7. Information as to Company.</w:t>
      </w:r>
    </w:p>
    <w:p>
      <w:pPr>
        <w:pStyle w:val="TextBody"/>
        <w:bidi w:val="0"/>
        <w:spacing w:before="280" w:after="283"/>
        <w:jc w:val="both"/>
        <w:rPr>
          <w:rFonts w:ascii="Times New Roman" w:hAnsi="Times New Roman"/>
          <w:sz w:val="24"/>
        </w:rPr>
      </w:pPr>
      <w:r>
        <w:rPr>
          <w:rFonts w:ascii="Times New Roman" w:hAnsi="Times New Roman"/>
          <w:i/>
          <w:color w:val="000000"/>
          <w:sz w:val="24"/>
        </w:rPr>
        <w:t>Section 7.1. Financial and Business Information</w:t>
      </w:r>
      <w:r>
        <w:rPr>
          <w:rFonts w:ascii="Times New Roman" w:hAnsi="Times New Roman"/>
          <w:color w:val="000000"/>
          <w:sz w:val="24"/>
        </w:rPr>
        <w:t>. From the date of the Closing and thereafter, so long as any of the Notes are outstanding, the Company shall deliver to each holder of Notes that is an Institutional Investor: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Quarterly Statements —</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 within 90 days after the end of each quarterly fiscal period in each fiscal year of the Company (other than the last quarterly fiscal period of each such fiscal year), electronic or duplicate paper copies of,</w:t>
      </w:r>
    </w:p>
    <w:p>
      <w:pPr>
        <w:pStyle w:val="TextBody"/>
        <w:bidi w:val="0"/>
        <w:spacing w:before="280" w:after="283"/>
        <w:ind w:left="2160" w:right="0" w:hanging="0"/>
        <w:jc w:val="both"/>
        <w:rPr>
          <w:rFonts w:ascii="Times New Roman" w:hAnsi="Times New Roman"/>
          <w:color w:val="000000"/>
          <w:sz w:val="24"/>
        </w:rPr>
      </w:pPr>
      <w:r>
        <w:rPr>
          <w:rFonts w:ascii="Times New Roman" w:hAnsi="Times New Roman"/>
          <w:color w:val="000000"/>
          <w:sz w:val="24"/>
        </w:rPr>
        <w:t>(A) an unaudited consolidated balance sheet of the Company and its Subsidiaries as at the end of such quarter, and</w:t>
      </w:r>
    </w:p>
    <w:p>
      <w:pPr>
        <w:pStyle w:val="TextBody"/>
        <w:bidi w:val="0"/>
        <w:spacing w:before="280" w:after="283"/>
        <w:ind w:left="2160" w:right="0" w:hanging="0"/>
        <w:jc w:val="both"/>
        <w:rPr>
          <w:rFonts w:ascii="Times New Roman" w:hAnsi="Times New Roman"/>
          <w:color w:val="000000"/>
          <w:sz w:val="24"/>
        </w:rPr>
      </w:pPr>
      <w:r>
        <w:rPr>
          <w:rFonts w:ascii="Times New Roman" w:hAnsi="Times New Roman"/>
          <w:color w:val="000000"/>
          <w:sz w:val="24"/>
        </w:rPr>
        <w:t>(B) unaudited consolidated statements of income, changes in shareholders’ equity and cash flows of the Company and its Subsidiaries, for such quarter and (in the case of the second and third quarters) for the portion of the fiscal year ending with such quarter,</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(ii) within 90 days after the end of each quarterly fiscal period in each fiscal year of Unitil (other than the last quarterly fiscal period of each such fiscal year), electronic or duplicate paper copies of,</w:t>
      </w:r>
    </w:p>
    <w:p>
      <w:pPr>
        <w:pStyle w:val="TextBody"/>
        <w:bidi w:val="0"/>
        <w:spacing w:before="280" w:after="283"/>
        <w:ind w:left="2160" w:right="0" w:hanging="0"/>
        <w:jc w:val="both"/>
        <w:rPr>
          <w:rFonts w:ascii="Times New Roman" w:hAnsi="Times New Roman"/>
          <w:color w:val="000000"/>
          <w:sz w:val="24"/>
        </w:rPr>
      </w:pPr>
      <w:r>
        <w:rPr>
          <w:rFonts w:ascii="Times New Roman" w:hAnsi="Times New Roman"/>
          <w:color w:val="000000"/>
          <w:sz w:val="24"/>
        </w:rPr>
        <w:t>(A) an unaudited consolidated balance sheet of Unitil and its Subsidiaries as at the end of such quarter, and</w:t>
      </w:r>
    </w:p>
    <w:p>
      <w:pPr>
        <w:pStyle w:val="TextBody"/>
        <w:bidi w:val="0"/>
        <w:spacing w:before="280" w:after="283"/>
        <w:ind w:left="2160" w:right="0" w:hanging="0"/>
        <w:jc w:val="both"/>
        <w:rPr>
          <w:rFonts w:ascii="Times New Roman" w:hAnsi="Times New Roman"/>
          <w:color w:val="000000"/>
          <w:sz w:val="24"/>
        </w:rPr>
      </w:pPr>
      <w:r>
        <w:rPr>
          <w:rFonts w:ascii="Times New Roman" w:hAnsi="Times New Roman"/>
          <w:color w:val="000000"/>
          <w:sz w:val="24"/>
        </w:rPr>
        <w:t>(B) unaudited consolidated statements of income, changes in shareholders’ equity and cash flows of Unitil and its Subsidiaries, for such quarter and (in the case of the second and third quarters) for the portion of the fiscal year ending with such quarter,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w:t>
      </w:r>
      <w:r>
        <w:rPr>
          <w:rFonts w:ascii="Times New Roman" w:hAnsi="Times New Roman"/>
          <w:i/>
          <w:color w:val="000000"/>
          <w:sz w:val="24"/>
        </w:rPr>
        <w:t>provided</w:t>
      </w:r>
      <w:r>
        <w:rPr>
          <w:rFonts w:ascii="Times New Roman" w:hAnsi="Times New Roman"/>
          <w:color w:val="000000"/>
          <w:sz w:val="24"/>
        </w:rPr>
        <w:t xml:space="preserve"> that delivery within the time period specified above of copies of Unitil’s Quarterly Report on Form 10-Q (the “</w:t>
      </w:r>
      <w:r>
        <w:rPr>
          <w:rFonts w:ascii="Times New Roman" w:hAnsi="Times New Roman"/>
          <w:i/>
          <w:color w:val="000000"/>
          <w:sz w:val="24"/>
        </w:rPr>
        <w:t>Form 10-Q”</w:t>
      </w:r>
      <w:r>
        <w:rPr>
          <w:rFonts w:ascii="Times New Roman" w:hAnsi="Times New Roman"/>
          <w:color w:val="000000"/>
          <w:sz w:val="24"/>
        </w:rPr>
        <w:t xml:space="preserve">) prepared in material compliance with the requirements therefor and filed with the SEC shall be deemed to satisfy the requirements of </w:t>
      </w:r>
      <w:r>
        <w:rPr>
          <w:rFonts w:ascii="Times New Roman" w:hAnsi="Times New Roman"/>
          <w:b/>
          <w:color w:val="000000"/>
          <w:sz w:val="24"/>
        </w:rPr>
        <w:t>Section 7.1(a)(ii)</w:t>
      </w:r>
      <w:r>
        <w:rPr>
          <w:rFonts w:ascii="Times New Roman" w:hAnsi="Times New Roman"/>
          <w:color w:val="000000"/>
          <w:sz w:val="24"/>
        </w:rPr>
        <w:t xml:space="preserve">, </w:t>
      </w:r>
      <w:r>
        <w:rPr>
          <w:rFonts w:ascii="Times New Roman" w:hAnsi="Times New Roman"/>
          <w:i/>
          <w:color w:val="000000"/>
          <w:sz w:val="24"/>
        </w:rPr>
        <w:t>provided, further,</w:t>
      </w:r>
      <w:r>
        <w:rPr>
          <w:rFonts w:ascii="Times New Roman" w:hAnsi="Times New Roman"/>
          <w:color w:val="000000"/>
          <w:sz w:val="24"/>
        </w:rPr>
        <w:t xml:space="preserve"> that the Company shall be deemed to have made such delivery of such Form 10</w:t>
        <w:noBreakHyphen/>
        <w:t>Q if Unitil shall have timely made such Form 10</w:t>
        <w:noBreakHyphen/>
        <w:t>Q available on EDGAR or on its home page on the worldwide web (at the date of this Agreement located at http://www.unitil.com) (such availability being referred to as “</w:t>
      </w:r>
      <w:r>
        <w:rPr>
          <w:rFonts w:ascii="Times New Roman" w:hAnsi="Times New Roman"/>
          <w:i/>
          <w:color w:val="000000"/>
          <w:sz w:val="24"/>
        </w:rPr>
        <w:t>Electronic Delivery”</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Annual Statements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within 120 days after the end of each fiscal year of the Company, electronic or duplicate paper copies of</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(A) a consolidated balance sheet of the Company and its Subsidiaries as at the end of such year, and</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(B) consolidated statements of income, changes in shareholders’ equity and cash flows of the Company and its Subsidiaries for such year;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within 120 days after the end of each fiscal year of Unitil, electronic or duplicate paper copies of</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(A) a consolidated balance sheet of Unitil and its Subsidiaries as at the end of such year, and</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(B) consolidated statements of income, changes in shareholders’ equity and cash flows of Unitil and its Subsidiaries for such year,</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setting forth in each case above in </w:t>
      </w:r>
      <w:r>
        <w:rPr>
          <w:rFonts w:ascii="Times New Roman" w:hAnsi="Times New Roman"/>
          <w:b/>
          <w:color w:val="000000"/>
          <w:sz w:val="24"/>
        </w:rPr>
        <w:t>Section 7.1(b)(i)</w:t>
      </w:r>
      <w:r>
        <w:rPr>
          <w:rFonts w:ascii="Times New Roman" w:hAnsi="Times New Roman"/>
          <w:color w:val="000000"/>
          <w:sz w:val="24"/>
        </w:rPr>
        <w:t xml:space="preserve"> and </w:t>
      </w:r>
      <w:r>
        <w:rPr>
          <w:rFonts w:ascii="Times New Roman" w:hAnsi="Times New Roman"/>
          <w:b/>
          <w:color w:val="000000"/>
          <w:sz w:val="24"/>
        </w:rPr>
        <w:t>Section 7.1(b)(ii)</w:t>
      </w:r>
      <w:r>
        <w:rPr>
          <w:rFonts w:ascii="Times New Roman" w:hAnsi="Times New Roman"/>
          <w:color w:val="000000"/>
          <w:sz w:val="24"/>
        </w:rPr>
        <w:t xml:space="preserve"> in comparative form the figures for the previous fiscal year, all in reasonable detail, prepared in accordance with GAAP, and accompanied by a report thereon of independent public accountants of recognized national standing, to the effect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report in the circumstances, </w:t>
      </w:r>
      <w:r>
        <w:rPr>
          <w:rFonts w:ascii="Times New Roman" w:hAnsi="Times New Roman"/>
          <w:i/>
          <w:color w:val="000000"/>
          <w:sz w:val="24"/>
        </w:rPr>
        <w:t>provided</w:t>
      </w:r>
      <w:r>
        <w:rPr>
          <w:rFonts w:ascii="Times New Roman" w:hAnsi="Times New Roman"/>
          <w:color w:val="000000"/>
          <w:sz w:val="24"/>
        </w:rPr>
        <w:t xml:space="preserve"> that the delivery within the time period specified above of Unitil’s Form 10</w:t>
        <w:noBreakHyphen/>
        <w:t>K (the “</w:t>
      </w:r>
      <w:r>
        <w:rPr>
          <w:rFonts w:ascii="Times New Roman" w:hAnsi="Times New Roman"/>
          <w:i/>
          <w:color w:val="000000"/>
          <w:sz w:val="24"/>
        </w:rPr>
        <w:t>Form 10-K”</w:t>
      </w:r>
      <w:r>
        <w:rPr>
          <w:rFonts w:ascii="Times New Roman" w:hAnsi="Times New Roman"/>
          <w:color w:val="000000"/>
          <w:sz w:val="24"/>
        </w:rPr>
        <w:t>) for such fiscal year (together with Unitil’s annual report to shareholders, if any, prepared pursuant to Rule 14a</w:t>
        <w:noBreakHyphen/>
        <w:t xml:space="preserve">3 under the Exchange Act) prepared in material compliance with the requirements therefor and filed with the SEC, shall be deemed to satisfy the requirements of </w:t>
      </w:r>
      <w:r>
        <w:rPr>
          <w:rFonts w:ascii="Times New Roman" w:hAnsi="Times New Roman"/>
          <w:b/>
          <w:color w:val="000000"/>
          <w:sz w:val="24"/>
        </w:rPr>
        <w:t>Section 7.1(b)(ii)</w:t>
      </w:r>
      <w:r>
        <w:rPr>
          <w:rFonts w:ascii="Times New Roman" w:hAnsi="Times New Roman"/>
          <w:color w:val="000000"/>
          <w:sz w:val="24"/>
        </w:rPr>
        <w:t xml:space="preserve">, </w:t>
      </w:r>
      <w:r>
        <w:rPr>
          <w:rFonts w:ascii="Times New Roman" w:hAnsi="Times New Roman"/>
          <w:i/>
          <w:color w:val="000000"/>
          <w:sz w:val="24"/>
        </w:rPr>
        <w:t>provided, further,</w:t>
      </w:r>
      <w:r>
        <w:rPr>
          <w:rFonts w:ascii="Times New Roman" w:hAnsi="Times New Roman"/>
          <w:color w:val="000000"/>
          <w:sz w:val="24"/>
        </w:rPr>
        <w:t xml:space="preserve"> that the Company shall be deemed to have made such delivery of such Form 10</w:t>
        <w:noBreakHyphen/>
        <w:t>K if Unitil shall have timely made Electronic Delivery thereof;</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rPr>
        <w:t>SEC and Other Reports</w:t>
      </w:r>
      <w:r>
        <w:rPr>
          <w:rFonts w:ascii="Times New Roman" w:hAnsi="Times New Roman"/>
          <w:color w:val="000000"/>
          <w:sz w:val="24"/>
        </w:rPr>
        <w:t xml:space="preserve"> — promptly upon their becoming available, one copy of (i) each proxy statement, financial statement, or report sent by the Company, Unitil or any Subsidiary to its public securities holders generally, and (ii) each regular or periodic report, each registration statement (without exhibits), and each prospectus and all amendments thereto filed by the Company, Unitil or any Subsidiary with the SEC; </w:t>
      </w:r>
      <w:r>
        <w:rPr>
          <w:rFonts w:ascii="Times New Roman" w:hAnsi="Times New Roman"/>
          <w:i/>
          <w:color w:val="000000"/>
          <w:sz w:val="24"/>
        </w:rPr>
        <w:t>provided</w:t>
      </w:r>
      <w:r>
        <w:rPr>
          <w:rFonts w:ascii="Times New Roman" w:hAnsi="Times New Roman"/>
          <w:color w:val="000000"/>
          <w:sz w:val="24"/>
        </w:rPr>
        <w:t xml:space="preserve"> that copies of any such documents required to be delivered pursuant to this clause (c) may be delivered by Electronic Delivery;</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(d) </w:t>
      </w:r>
      <w:r>
        <w:rPr>
          <w:rFonts w:ascii="Times New Roman" w:hAnsi="Times New Roman"/>
          <w:i/>
          <w:color w:val="000000"/>
          <w:sz w:val="24"/>
        </w:rPr>
        <w:t>Notice of Default or Event of Default</w:t>
      </w:r>
      <w:r>
        <w:rPr>
          <w:rFonts w:ascii="Times New Roman" w:hAnsi="Times New Roman"/>
          <w:color w:val="000000"/>
          <w:sz w:val="24"/>
        </w:rPr>
        <w:t xml:space="preserve"> — promptly, and in any event within five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w:t>
      </w:r>
      <w:r>
        <w:rPr>
          <w:rFonts w:ascii="Times New Roman" w:hAnsi="Times New Roman"/>
          <w:b/>
          <w:color w:val="000000"/>
          <w:sz w:val="24"/>
        </w:rPr>
        <w:t>Section 11(e)</w:t>
      </w:r>
      <w:r>
        <w:rPr>
          <w:rFonts w:ascii="Times New Roman" w:hAnsi="Times New Roman"/>
          <w:color w:val="000000"/>
          <w:sz w:val="24"/>
        </w:rPr>
        <w:t>, a written notice specifying the nature and period of existence thereof and what action the Company is taking or proposes to take with respect thereto;</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(e) </w:t>
      </w:r>
      <w:r>
        <w:rPr>
          <w:rFonts w:ascii="Times New Roman" w:hAnsi="Times New Roman"/>
          <w:i/>
          <w:color w:val="000000"/>
          <w:sz w:val="24"/>
        </w:rPr>
        <w:t>Material Adverse Events</w:t>
      </w:r>
      <w:r>
        <w:rPr>
          <w:rFonts w:ascii="Times New Roman" w:hAnsi="Times New Roman"/>
          <w:color w:val="000000"/>
          <w:sz w:val="24"/>
        </w:rPr>
        <w:t xml:space="preserve"> — promptly upon the occurrence thereof, notice of any event, circumstance or condition which would reasonably be expected to materially and adversely affect the ability of the Company to perform its obligations under this Agreement and the Notes; and</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(f) </w:t>
      </w:r>
      <w:r>
        <w:rPr>
          <w:rFonts w:ascii="Times New Roman" w:hAnsi="Times New Roman"/>
          <w:i/>
          <w:color w:val="000000"/>
          <w:sz w:val="24"/>
        </w:rPr>
        <w:t>Requested Information</w:t>
      </w:r>
      <w:r>
        <w:rPr>
          <w:rFonts w:ascii="Times New Roman" w:hAnsi="Times New Roman"/>
          <w:color w:val="000000"/>
          <w:sz w:val="24"/>
        </w:rPr>
        <w:t xml:space="preserve"> — with reasonable promptness, such other data and information relating to the business, operations, affairs, financial condition, assets or properties of the Company, Unitil or any of their respective Subsidiaries (including, but without limitation, actual copies of Unitil’s Form 10</w:t>
        <w:noBreakHyphen/>
        <w:t>Q and Form 10</w:t>
        <w:noBreakHyphen/>
        <w:t>K) or relating to the ability of the Company to perform its obligations hereunder and under the Notes as from time to time may be reasonably requested by any such holder of a Note.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7.2. Officer’s Certificate</w:t>
      </w:r>
      <w:r>
        <w:rPr>
          <w:rFonts w:ascii="Times New Roman" w:hAnsi="Times New Roman"/>
          <w:color w:val="000000"/>
          <w:sz w:val="24"/>
        </w:rPr>
        <w:t xml:space="preserve">. Each set of financial statements delivered to a holder of a Note pursuant to </w:t>
      </w:r>
      <w:r>
        <w:rPr>
          <w:rFonts w:ascii="Times New Roman" w:hAnsi="Times New Roman"/>
          <w:b/>
          <w:color w:val="000000"/>
          <w:sz w:val="24"/>
        </w:rPr>
        <w:t>Section 7.1(a)</w:t>
      </w:r>
      <w:r>
        <w:rPr>
          <w:rFonts w:ascii="Times New Roman" w:hAnsi="Times New Roman"/>
          <w:color w:val="000000"/>
          <w:sz w:val="24"/>
        </w:rPr>
        <w:t xml:space="preserve"> or </w:t>
      </w:r>
      <w:r>
        <w:rPr>
          <w:rFonts w:ascii="Times New Roman" w:hAnsi="Times New Roman"/>
          <w:b/>
          <w:color w:val="000000"/>
          <w:sz w:val="24"/>
        </w:rPr>
        <w:t>Section 7.1(b)</w:t>
      </w:r>
      <w:r>
        <w:rPr>
          <w:rFonts w:ascii="Times New Roman" w:hAnsi="Times New Roman"/>
          <w:color w:val="000000"/>
          <w:sz w:val="24"/>
        </w:rPr>
        <w:t xml:space="preserve"> shall be accompanied by a certificate of a Senior Financial Officer setting forth:</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Covenant Compliance</w:t>
      </w:r>
      <w:r>
        <w:rPr>
          <w:rFonts w:ascii="Times New Roman" w:hAnsi="Times New Roman"/>
          <w:color w:val="000000"/>
          <w:sz w:val="24"/>
        </w:rPr>
        <w:t xml:space="preserve"> — the information (including detailed calculations) required in order to establish whether the Company was in compliance with the requirements of </w:t>
      </w:r>
      <w:r>
        <w:rPr>
          <w:rFonts w:ascii="Times New Roman" w:hAnsi="Times New Roman"/>
          <w:b/>
          <w:color w:val="000000"/>
          <w:sz w:val="24"/>
        </w:rPr>
        <w:t xml:space="preserve">Sections 10.1 </w:t>
      </w:r>
      <w:r>
        <w:rPr>
          <w:rFonts w:ascii="Times New Roman" w:hAnsi="Times New Roman"/>
          <w:color w:val="000000"/>
          <w:sz w:val="24"/>
        </w:rPr>
        <w:t xml:space="preserve">(to the extent Funded Indebtedness is incurred during the period covered by such certificate) and </w:t>
      </w:r>
      <w:r>
        <w:rPr>
          <w:rFonts w:ascii="Times New Roman" w:hAnsi="Times New Roman"/>
          <w:b/>
          <w:color w:val="000000"/>
          <w:sz w:val="24"/>
        </w:rPr>
        <w:t>10.5</w:t>
      </w:r>
      <w:r>
        <w:rPr>
          <w:rFonts w:ascii="Times New Roman" w:hAnsi="Times New Roman"/>
          <w:color w:val="000000"/>
          <w:sz w:val="24"/>
        </w:rPr>
        <w:t xml:space="preserve">,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w:t>
      </w:r>
      <w:r>
        <w:rPr>
          <w:rFonts w:ascii="Times New Roman" w:hAnsi="Times New Roman"/>
          <w:b/>
          <w:color w:val="000000"/>
          <w:sz w:val="24"/>
        </w:rPr>
        <w:t>Section 22.2</w:t>
      </w:r>
      <w:r>
        <w:rPr>
          <w:rFonts w:ascii="Times New Roman" w:hAnsi="Times New Roman"/>
          <w:color w:val="000000"/>
          <w:sz w:val="24"/>
        </w:rPr>
        <w:t xml:space="preserve">) as to the period covered by any such financial statement, such Senior Financial Officer’s certificate as to such period shall include a reconciliation from GAAP with respect to such election; and </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Event of Default</w:t>
      </w:r>
      <w:r>
        <w:rPr>
          <w:rFonts w:ascii="Times New Roman" w:hAnsi="Times New Roman"/>
          <w:color w:val="000000"/>
          <w:sz w:val="24"/>
        </w:rPr>
        <w:t xml:space="preserve"> — a statement that such Senior Financial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pStyle w:val="TextBody"/>
        <w:bidi w:val="0"/>
        <w:spacing w:before="280" w:after="283"/>
        <w:jc w:val="both"/>
        <w:rPr>
          <w:rFonts w:ascii="Times New Roman" w:hAnsi="Times New Roman"/>
          <w:sz w:val="24"/>
        </w:rPr>
      </w:pPr>
      <w:r>
        <w:rPr>
          <w:rFonts w:ascii="Times New Roman" w:hAnsi="Times New Roman"/>
          <w:i/>
          <w:color w:val="000000"/>
          <w:sz w:val="24"/>
        </w:rPr>
        <w:t>Section 7.3. Visitation</w:t>
      </w:r>
      <w:r>
        <w:rPr>
          <w:rFonts w:ascii="Times New Roman" w:hAnsi="Times New Roman"/>
          <w:color w:val="000000"/>
          <w:sz w:val="24"/>
        </w:rPr>
        <w:t>. The Company shall permit the representatives of each holder of a Note that is an Institutional Investor: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No Default</w:t>
      </w:r>
      <w:r>
        <w:rPr>
          <w:rFonts w:ascii="Times New Roman" w:hAnsi="Times New Roman"/>
          <w:color w:val="000000"/>
          <w:sz w:val="24"/>
        </w:rPr>
        <w:t xml:space="preserve"> — if no Default or Event of Default then exists, at the expense of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Default</w:t>
      </w:r>
      <w:r>
        <w:rPr>
          <w:rFonts w:ascii="Times New Roman" w:hAnsi="Times New Roman"/>
          <w:color w:val="000000"/>
          <w:sz w:val="24"/>
        </w:rPr>
        <w:t xml:space="preserve"> — if a Default or Event of Default then exists, at the expense of the Company to visit and inspect any of the offices or properties of the Company or any Subsidiary, to examine all their respective books of account, records, reports and other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papers, to make copies and extracts therefrom, and to discuss their respective affairs, finances and accounts with their respective officers and (with the consent of the Company, which consent will not be unreasonably withheld) independent public accountants, all at such times and as often as may be requested.</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Each holder of the Notes agrees to keep confidential any Confidential Information received as a result of the rights granted in this </w:t>
      </w:r>
      <w:r>
        <w:rPr>
          <w:rFonts w:ascii="Times New Roman" w:hAnsi="Times New Roman"/>
          <w:b/>
          <w:color w:val="000000"/>
          <w:sz w:val="24"/>
        </w:rPr>
        <w:t>Section 7</w:t>
      </w:r>
      <w:r>
        <w:rPr>
          <w:rFonts w:ascii="Times New Roman" w:hAnsi="Times New Roman"/>
          <w:color w:val="000000"/>
          <w:sz w:val="24"/>
        </w:rPr>
        <w:t xml:space="preserve"> in the manner provided in </w:t>
      </w:r>
      <w:r>
        <w:rPr>
          <w:rFonts w:ascii="Times New Roman" w:hAnsi="Times New Roman"/>
          <w:b/>
          <w:color w:val="000000"/>
          <w:sz w:val="24"/>
        </w:rPr>
        <w:t>Section 20</w:t>
      </w:r>
      <w:r>
        <w:rPr>
          <w:rFonts w:ascii="Times New Roman" w:hAnsi="Times New Roman"/>
          <w:color w:val="000000"/>
          <w:sz w:val="24"/>
        </w:rPr>
        <w: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8. Payment and Prepayment of the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8.1. Maturity</w:t>
      </w:r>
      <w:r>
        <w:rPr>
          <w:rFonts w:ascii="Times New Roman" w:hAnsi="Times New Roman"/>
          <w:color w:val="000000"/>
          <w:sz w:val="24"/>
        </w:rPr>
        <w:t xml:space="preserve">. </w:t>
      </w:r>
    </w:p>
    <w:p>
      <w:pPr>
        <w:pStyle w:val="TextBody"/>
        <w:bidi w:val="0"/>
        <w:spacing w:before="280" w:after="283"/>
        <w:ind w:left="0" w:right="0" w:firstLine="630"/>
        <w:jc w:val="both"/>
        <w:rPr>
          <w:rFonts w:ascii="Times New Roman" w:hAnsi="Times New Roman"/>
          <w:color w:val="000000"/>
          <w:sz w:val="24"/>
        </w:rPr>
      </w:pPr>
      <w:r>
        <w:rPr>
          <w:rFonts w:ascii="Times New Roman" w:hAnsi="Times New Roman"/>
          <w:color w:val="000000"/>
          <w:sz w:val="24"/>
        </w:rPr>
        <w:t>As provided therein, the entire unpaid principal balance of the Notes shall be due and payable on October 21, 2031.</w:t>
      </w:r>
    </w:p>
    <w:p>
      <w:pPr>
        <w:pStyle w:val="TextBody"/>
        <w:bidi w:val="0"/>
        <w:spacing w:before="280" w:after="283"/>
        <w:jc w:val="both"/>
        <w:rPr>
          <w:rFonts w:ascii="Times New Roman" w:hAnsi="Times New Roman"/>
          <w:sz w:val="24"/>
        </w:rPr>
      </w:pPr>
      <w:r>
        <w:rPr>
          <w:rFonts w:ascii="Times New Roman" w:hAnsi="Times New Roman"/>
          <w:i/>
          <w:color w:val="000000"/>
          <w:sz w:val="24"/>
        </w:rPr>
        <w:t>Section 8.2. Optional Prepayments</w:t>
      </w:r>
      <w:r>
        <w:rPr>
          <w:rFonts w:ascii="Times New Roman" w:hAnsi="Times New Roman"/>
          <w:color w:val="000000"/>
          <w:sz w:val="24"/>
        </w:rPr>
        <w:t xml:space="preserve">. Prior to September 21, 2031, the Company may, at its option, upon notice as provided below, prepay at any time all, or from time to time any part of, the Notes (but if in part then in a minimum aggregate principal amount of $100,000), at 100% of the principal amount so prepaid, together with interest accrued thereon to the date of such prepayment, </w:t>
      </w:r>
      <w:r>
        <w:rPr>
          <w:rFonts w:ascii="Times New Roman" w:hAnsi="Times New Roman"/>
          <w:i/>
          <w:color w:val="000000"/>
          <w:sz w:val="24"/>
        </w:rPr>
        <w:t>plus</w:t>
      </w:r>
      <w:r>
        <w:rPr>
          <w:rFonts w:ascii="Times New Roman" w:hAnsi="Times New Roman"/>
          <w:color w:val="000000"/>
          <w:sz w:val="24"/>
        </w:rPr>
        <w:t xml:space="preserve"> the Make-Whole Amount determined for the prepayment date with respect to such principal amount. On and after September 21, 2031, the Company may, at its option, upon notice as provided below, prepay at any time all the Notes, at 100% of the principal amount so prepaid, together with interest accrued thereon to the date of such prepayment, but without payment of the Make-Whole Amount.</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The Company will give each holder of Notes written notice of each optional prepayment under this </w:t>
      </w:r>
      <w:r>
        <w:rPr>
          <w:rFonts w:ascii="Times New Roman" w:hAnsi="Times New Roman"/>
          <w:b/>
          <w:color w:val="000000"/>
          <w:sz w:val="24"/>
        </w:rPr>
        <w:t>Section 8.2</w:t>
      </w:r>
      <w:r>
        <w:rPr>
          <w:rFonts w:ascii="Times New Roman" w:hAnsi="Times New Roman"/>
          <w:color w:val="000000"/>
          <w:sz w:val="24"/>
        </w:rPr>
        <w:t xml:space="preserve"> not less than 15 days and not more than 45 days prior to the date fixed for such prepayment unless the Company and the Required Holders agree to another time period pursuant to </w:t>
      </w:r>
      <w:r>
        <w:rPr>
          <w:rFonts w:ascii="Times New Roman" w:hAnsi="Times New Roman"/>
          <w:b/>
          <w:color w:val="000000"/>
          <w:sz w:val="24"/>
        </w:rPr>
        <w:t>Section 17</w:t>
      </w:r>
      <w:r>
        <w:rPr>
          <w:rFonts w:ascii="Times New Roman" w:hAnsi="Times New Roman"/>
          <w:color w:val="000000"/>
          <w:sz w:val="24"/>
        </w:rPr>
        <w:t xml:space="preserve">. Each such notice shall specify such date (which shall be a Business Day), the aggregate principal amount of the Notes to be prepaid on such date, the principal amount of each Note held by such holder to be prepaid (determined in accordance with </w:t>
      </w:r>
      <w:r>
        <w:rPr>
          <w:rFonts w:ascii="Times New Roman" w:hAnsi="Times New Roman"/>
          <w:b/>
          <w:color w:val="000000"/>
          <w:sz w:val="24"/>
        </w:rPr>
        <w:t>Section 8.3</w:t>
      </w:r>
      <w:r>
        <w:rPr>
          <w:rFonts w:ascii="Times New Roman" w:hAnsi="Times New Roman"/>
          <w:color w:val="000000"/>
          <w:sz w:val="24"/>
        </w:rPr>
        <w:t>), and the interest to be paid on the prepayment date with respect to such principal amount being prepaid, and shall be accompanied by a certificate of a Senior Financial Officer as to the estimated Make-Whole Amount, if any, due in connection with such prepayment (calculated as if the date of such notice were the date of the prepayment), setting forth the details of such computation. Two Business Days prior to such prepayment, the Company shall deliver to each holder of Notes a certificate of a Senior Financial Officer specifying the calculation of such Make</w:t>
        <w:noBreakHyphen/>
        <w:t>Whole Amount, if any, as of the specified prepayment date.</w:t>
      </w:r>
    </w:p>
    <w:p>
      <w:pPr>
        <w:pStyle w:val="TextBody"/>
        <w:bidi w:val="0"/>
        <w:spacing w:before="280" w:after="283"/>
        <w:jc w:val="both"/>
        <w:rPr>
          <w:rFonts w:ascii="Times New Roman" w:hAnsi="Times New Roman"/>
          <w:sz w:val="24"/>
        </w:rPr>
      </w:pPr>
      <w:r>
        <w:rPr>
          <w:rFonts w:ascii="Times New Roman" w:hAnsi="Times New Roman"/>
          <w:i/>
          <w:color w:val="000000"/>
          <w:sz w:val="24"/>
        </w:rPr>
        <w:t>Section 8.3. Allocation of Partial Prepayments</w:t>
      </w:r>
      <w:r>
        <w:rPr>
          <w:rFonts w:ascii="Times New Roman" w:hAnsi="Times New Roman"/>
          <w:color w:val="000000"/>
          <w:sz w:val="24"/>
        </w:rPr>
        <w:t xml:space="preserve">. In the case of each partial prepayment of the Notes pursuant to </w:t>
      </w:r>
      <w:r>
        <w:rPr>
          <w:rFonts w:ascii="Times New Roman" w:hAnsi="Times New Roman"/>
          <w:b/>
          <w:color w:val="000000"/>
          <w:sz w:val="24"/>
        </w:rPr>
        <w:t xml:space="preserve">Section 8.1 </w:t>
      </w:r>
      <w:r>
        <w:rPr>
          <w:rFonts w:ascii="Times New Roman" w:hAnsi="Times New Roman"/>
          <w:color w:val="000000"/>
          <w:sz w:val="24"/>
        </w:rPr>
        <w:t xml:space="preserve">or </w:t>
      </w:r>
      <w:r>
        <w:rPr>
          <w:rFonts w:ascii="Times New Roman" w:hAnsi="Times New Roman"/>
          <w:b/>
          <w:color w:val="000000"/>
          <w:sz w:val="24"/>
        </w:rPr>
        <w:t>Section 8.2</w:t>
      </w:r>
      <w:r>
        <w:rPr>
          <w:rFonts w:ascii="Times New Roman" w:hAnsi="Times New Roman"/>
          <w:color w:val="000000"/>
          <w:sz w:val="24"/>
        </w:rPr>
        <w:t>, the aggregate principal amount of the Notes to be prepaid shall be allocated among all of the Notes at the time outstanding in proportion, as nearly as practicable, to the respective unpaid principal amounts thereof not theretofore called for prepayment.</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8.4. Maturity; Surrender, Etc</w:t>
      </w:r>
      <w:r>
        <w:rPr>
          <w:rFonts w:ascii="Times New Roman" w:hAnsi="Times New Roman"/>
          <w:color w:val="000000"/>
          <w:sz w:val="24"/>
        </w:rPr>
        <w:t xml:space="preserve">. In the case of each optional prepayment of Notes pursuant to this </w:t>
      </w:r>
      <w:r>
        <w:rPr>
          <w:rFonts w:ascii="Times New Roman" w:hAnsi="Times New Roman"/>
          <w:b/>
          <w:color w:val="000000"/>
          <w:sz w:val="24"/>
        </w:rPr>
        <w:t>Section 8</w:t>
      </w:r>
      <w:r>
        <w:rPr>
          <w:rFonts w:ascii="Times New Roman" w:hAnsi="Times New Roman"/>
          <w:color w:val="000000"/>
          <w:sz w:val="24"/>
        </w:rPr>
        <w:t>, the principal amount of each Note to be prepaid shall mature and become due and payable on the date fixed for such prepayment (which shall be a Business Day),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pStyle w:val="TextBody"/>
        <w:bidi w:val="0"/>
        <w:spacing w:before="280" w:after="283"/>
        <w:jc w:val="both"/>
        <w:rPr>
          <w:rFonts w:ascii="Times New Roman" w:hAnsi="Times New Roman"/>
          <w:sz w:val="24"/>
        </w:rPr>
      </w:pPr>
      <w:r>
        <w:rPr>
          <w:rFonts w:ascii="Times New Roman" w:hAnsi="Times New Roman"/>
          <w:i/>
          <w:color w:val="000000"/>
          <w:sz w:val="24"/>
        </w:rPr>
        <w:t>Section 8.5. Purchase of Notes</w:t>
      </w:r>
      <w:r>
        <w:rPr>
          <w:rFonts w:ascii="Times New Roman" w:hAnsi="Times New Roman"/>
          <w:color w:val="000000"/>
          <w:sz w:val="24"/>
        </w:rPr>
        <w:t>. The Company will not and will not permit any Affiliate Controlled by the Company to purchase, redeem, prepay or otherwise acquire, directly or indirectly, any of the outstanding Notes except (a) upon the payment or prepayment of the Notes in accordance with the terms of this Agreement and the Notes or (b) pursuant to a written offer to purchase a specified principal amount of Notes made by the Company or an Affiliate Controlled by the Company pro rata to the holders of all Notes at the time outstanding upon the same terms and conditions. Any such offer shall provide each holder of Notes with reasonably sufficient information to enable it to make an informed decision with respect to such offer, and shall remain open for at least 20 Business Days. If the holders of more than 25% of the principal amount of the Notes then outstanding accept such offer, the Company shall promptly notify the remaining holders of such fact and the expiration date for the acceptance by holders of Notes of such offer shall be extended by the number of days necessary to give each such remaining holder at least ten Business Days from its receipt of such notice to accept such offer. The Company will promptly cancel all Notes acquired by it or any Affiliate Controlled by the Company pursuant to any payment, prepayment or purchase of Notes pursuant to any provision of this Agreement and no Notes may be issued in substitution or exchange for any such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8.6. Make-Whole Amount</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Make</w:t>
        <w:noBreakHyphen/>
        <w:t>Whole Amount”</w:t>
      </w:r>
      <w:r>
        <w:rPr>
          <w:rFonts w:ascii="Times New Roman" w:hAnsi="Times New Roman"/>
          <w:color w:val="000000"/>
          <w:sz w:val="24"/>
        </w:rPr>
        <w:t xml:space="preserve"> means, with respect to any Note, an amount equal to the excess, if any, of the Discounted Value of the Remaining Scheduled Payments with respect to the Called Principal of such Note over the amount of such Called Principal, </w:t>
      </w:r>
      <w:r>
        <w:rPr>
          <w:rFonts w:ascii="Times New Roman" w:hAnsi="Times New Roman"/>
          <w:i/>
          <w:color w:val="000000"/>
          <w:sz w:val="24"/>
        </w:rPr>
        <w:t>provided</w:t>
      </w:r>
      <w:r>
        <w:rPr>
          <w:rFonts w:ascii="Times New Roman" w:hAnsi="Times New Roman"/>
          <w:color w:val="000000"/>
          <w:sz w:val="24"/>
        </w:rPr>
        <w:t xml:space="preserve"> that the Make</w:t>
        <w:noBreakHyphen/>
        <w:t>Whole Amount may in no event be less than zero. For the purposes of determining the Make</w:t>
        <w:noBreakHyphen/>
        <w:t>Whole Amount, the following terms have the following meanings:</w:t>
      </w:r>
    </w:p>
    <w:p>
      <w:pPr>
        <w:pStyle w:val="TextBody"/>
        <w:bidi w:val="0"/>
        <w:spacing w:before="280" w:after="283"/>
        <w:ind w:left="0" w:right="0" w:firstLine="720"/>
        <w:jc w:val="both"/>
        <w:rPr/>
      </w:pPr>
      <w:r>
        <w:rPr>
          <w:color w:val="000000"/>
        </w:rPr>
        <w:t>“</w:t>
      </w:r>
      <w:r>
        <w:rPr>
          <w:rFonts w:ascii="Times New Roman" w:hAnsi="Times New Roman"/>
          <w:i/>
          <w:color w:val="000000"/>
          <w:sz w:val="24"/>
        </w:rPr>
        <w:t>Called Principal”</w:t>
      </w:r>
      <w:r>
        <w:rPr>
          <w:rFonts w:ascii="Times New Roman" w:hAnsi="Times New Roman"/>
          <w:color w:val="000000"/>
          <w:sz w:val="24"/>
        </w:rPr>
        <w:t xml:space="preserve"> means, with respect to any Note, the principal of such Note that is to be prepaid pursuant to </w:t>
      </w:r>
      <w:r>
        <w:rPr>
          <w:rFonts w:ascii="Times New Roman" w:hAnsi="Times New Roman"/>
          <w:b/>
          <w:color w:val="000000"/>
          <w:sz w:val="24"/>
        </w:rPr>
        <w:t>Section 8.2</w:t>
      </w:r>
      <w:r>
        <w:rPr>
          <w:rFonts w:ascii="Times New Roman" w:hAnsi="Times New Roman"/>
          <w:color w:val="000000"/>
          <w:sz w:val="24"/>
        </w:rPr>
        <w:t xml:space="preserve"> or has become or is declared to be immediately due and payable pursuant to </w:t>
      </w:r>
      <w:r>
        <w:rPr>
          <w:rFonts w:ascii="Times New Roman" w:hAnsi="Times New Roman"/>
          <w:b/>
          <w:color w:val="000000"/>
          <w:sz w:val="24"/>
        </w:rPr>
        <w:t>Section 12.1</w:t>
      </w:r>
      <w:r>
        <w:rPr>
          <w:rFonts w:ascii="Times New Roman" w:hAnsi="Times New Roman"/>
          <w:color w:val="000000"/>
          <w:sz w:val="24"/>
        </w:rPr>
        <w:t>, as the context requires.</w:t>
      </w:r>
    </w:p>
    <w:p>
      <w:pPr>
        <w:pStyle w:val="TextBody"/>
        <w:bidi w:val="0"/>
        <w:spacing w:before="280" w:after="283"/>
        <w:ind w:left="0" w:right="0" w:firstLine="720"/>
        <w:jc w:val="both"/>
        <w:rPr/>
      </w:pPr>
      <w:r>
        <w:rPr>
          <w:color w:val="000000"/>
        </w:rPr>
        <w:t>“</w:t>
      </w:r>
      <w:r>
        <w:rPr>
          <w:rFonts w:ascii="Times New Roman" w:hAnsi="Times New Roman"/>
          <w:i/>
          <w:color w:val="000000"/>
          <w:sz w:val="24"/>
        </w:rPr>
        <w:t>Discounted Value”</w:t>
      </w:r>
      <w:r>
        <w:rPr>
          <w:rFonts w:ascii="Times New Roman" w:hAnsi="Times New Roman"/>
          <w:color w:val="000000"/>
          <w:sz w:val="24"/>
        </w:rPr>
        <w:t xml:space="preserv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Reinvestment Yield”</w:t>
      </w:r>
      <w:r>
        <w:rPr>
          <w:rFonts w:ascii="Times New Roman" w:hAnsi="Times New Roman"/>
          <w:color w:val="000000"/>
          <w:sz w:val="24"/>
        </w:rPr>
        <w:t xml:space="preserve"> means, with respect to the Called Principal of any Note, 0.50% over the yield to maturity implied by the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w:t>
        <w:noBreakHyphen/>
        <w:t>the</w:t>
        <w:noBreakHyphen/>
        <w:t xml:space="preserve">run U.S. Treasury securities </w:t>
      </w:r>
      <w:r>
        <w:rPr>
          <w:rFonts w:ascii="Times New Roman" w:hAnsi="Times New Roman"/>
          <w:b/>
          <w:color w:val="000000"/>
          <w:sz w:val="24"/>
        </w:rPr>
        <w:t>(</w:t>
      </w:r>
      <w:r>
        <w:rPr>
          <w:rFonts w:ascii="Times New Roman" w:hAnsi="Times New Roman"/>
          <w:color w:val="000000"/>
          <w:sz w:val="24"/>
        </w:rPr>
        <w:t>“</w:t>
      </w:r>
      <w:r>
        <w:rPr>
          <w:rFonts w:ascii="Times New Roman" w:hAnsi="Times New Roman"/>
          <w:i/>
          <w:color w:val="000000"/>
          <w:sz w:val="24"/>
        </w:rPr>
        <w:t>Reported”</w:t>
      </w:r>
      <w:r>
        <w:rPr>
          <w:rFonts w:ascii="Times New Roman" w:hAnsi="Times New Roman"/>
          <w:b/>
          <w:color w:val="000000"/>
          <w:sz w:val="24"/>
        </w:rPr>
        <w:t>)</w:t>
      </w:r>
      <w:r>
        <w:rPr>
          <w:rFonts w:ascii="Times New Roman" w:hAnsi="Times New Roman"/>
          <w:color w:val="000000"/>
          <w:sz w:val="24"/>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(a) converting U.S. Treasury bill quotations to bond equivalent yields in accordance with accepted financial practice and (b) interpolating linearly between the yields Reported for the applicable most recently issued actively traded on</w:t>
        <w:noBreakHyphen/>
        <w:t>the</w:t>
        <w:noBreakHyphen/>
        <w:t xml:space="preserv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If such yields are not Reported or the yields Reported as of such time are not ascertainable (including by way of interpolation), then “</w:t>
      </w:r>
      <w:r>
        <w:rPr>
          <w:rFonts w:ascii="Times New Roman" w:hAnsi="Times New Roman"/>
          <w:i/>
          <w:color w:val="000000"/>
          <w:sz w:val="24"/>
        </w:rPr>
        <w:t>Reinvestment Yield”</w:t>
      </w:r>
      <w:r>
        <w:rPr>
          <w:rFonts w:ascii="Times New Roman" w:hAnsi="Times New Roman"/>
          <w:color w:val="000000"/>
          <w:sz w:val="24"/>
        </w:rPr>
        <w:t xml:space="preserve"> means, with respect to the Called Principal of any Note, 0.50% over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pStyle w:val="TextBody"/>
        <w:bidi w:val="0"/>
        <w:spacing w:before="280" w:after="283"/>
        <w:ind w:left="0" w:right="0" w:firstLine="720"/>
        <w:jc w:val="both"/>
        <w:rPr/>
      </w:pPr>
      <w:r>
        <w:rPr>
          <w:color w:val="000000"/>
        </w:rPr>
        <w:t>“</w:t>
      </w:r>
      <w:r>
        <w:rPr>
          <w:rFonts w:ascii="Times New Roman" w:hAnsi="Times New Roman"/>
          <w:i/>
          <w:color w:val="000000"/>
          <w:sz w:val="24"/>
        </w:rPr>
        <w:t>Remaining Average Life”</w:t>
      </w:r>
      <w:r>
        <w:rPr>
          <w:rFonts w:ascii="Times New Roman" w:hAnsi="Times New Roman"/>
          <w:color w:val="000000"/>
          <w:sz w:val="24"/>
        </w:rPr>
        <w:t xml:space="preserv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w:t>
        <w:noBreakHyphen/>
        <w:t>day year composed of twelve 30</w:t>
        <w:noBreakHyphen/>
        <w:t>day months and calculated to two decimal places, that will elapse between the Settlement Date with respect to such Called Principal and the scheduled due date of such Remaining Scheduled Payment.</w:t>
      </w:r>
    </w:p>
    <w:p>
      <w:pPr>
        <w:pStyle w:val="TextBody"/>
        <w:bidi w:val="0"/>
        <w:spacing w:before="280" w:after="283"/>
        <w:ind w:left="0" w:right="0" w:firstLine="720"/>
        <w:jc w:val="both"/>
        <w:rPr/>
      </w:pPr>
      <w:r>
        <w:rPr>
          <w:color w:val="000000"/>
        </w:rPr>
        <w:t>“</w:t>
      </w:r>
      <w:r>
        <w:rPr>
          <w:rFonts w:ascii="Times New Roman" w:hAnsi="Times New Roman"/>
          <w:i/>
          <w:color w:val="000000"/>
          <w:sz w:val="24"/>
        </w:rPr>
        <w:t>Remaining Scheduled Payments”</w:t>
      </w:r>
      <w:r>
        <w:rPr>
          <w:rFonts w:ascii="Times New Roman" w:hAnsi="Times New Roman"/>
          <w:color w:val="000000"/>
          <w:sz w:val="24"/>
        </w:rPr>
        <w:t xml:space="preserve"> means, with respect to the Called Principal of any Note, all payments of such Called Principal and interest thereon that would be due after the Settlement Date with respect to such Called Principal if no payment of such Called Principal were made prior to its scheduled due date, </w:t>
      </w:r>
      <w:r>
        <w:rPr>
          <w:rFonts w:ascii="Times New Roman" w:hAnsi="Times New Roman"/>
          <w:i/>
          <w:color w:val="000000"/>
          <w:sz w:val="24"/>
        </w:rPr>
        <w:t>provided</w:t>
      </w:r>
      <w:r>
        <w:rPr>
          <w:rFonts w:ascii="Times New Roman" w:hAnsi="Times New Roman"/>
          <w:color w:val="000000"/>
          <w:sz w:val="24"/>
        </w:rPr>
        <w:t xml:space="preserve">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w:t>
      </w:r>
      <w:r>
        <w:rPr>
          <w:rFonts w:ascii="Times New Roman" w:hAnsi="Times New Roman"/>
          <w:b/>
          <w:color w:val="000000"/>
          <w:sz w:val="24"/>
        </w:rPr>
        <w:t>Section 8.2</w:t>
      </w:r>
      <w:r>
        <w:rPr>
          <w:rFonts w:ascii="Times New Roman" w:hAnsi="Times New Roman"/>
          <w:color w:val="000000"/>
          <w:sz w:val="24"/>
        </w:rPr>
        <w:t xml:space="preserve"> or </w:t>
      </w:r>
      <w:r>
        <w:rPr>
          <w:rFonts w:ascii="Times New Roman" w:hAnsi="Times New Roman"/>
          <w:b/>
          <w:color w:val="000000"/>
          <w:sz w:val="24"/>
        </w:rPr>
        <w:t>Section 12.1</w:t>
      </w:r>
      <w:r>
        <w:rPr>
          <w:rFonts w:ascii="Times New Roman" w:hAnsi="Times New Roman"/>
          <w:color w:val="000000"/>
          <w:sz w:val="24"/>
        </w:rPr>
        <w:t>.</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Settlement Date”</w:t>
      </w:r>
      <w:r>
        <w:rPr>
          <w:rFonts w:ascii="Times New Roman" w:hAnsi="Times New Roman"/>
          <w:color w:val="000000"/>
          <w:sz w:val="24"/>
        </w:rPr>
        <w:t xml:space="preserve"> means, with respect to the Called Principal of any Note, the date on which such Called Principal is to be prepaid pursuant to </w:t>
      </w:r>
      <w:r>
        <w:rPr>
          <w:rFonts w:ascii="Times New Roman" w:hAnsi="Times New Roman"/>
          <w:b/>
          <w:color w:val="000000"/>
          <w:sz w:val="24"/>
        </w:rPr>
        <w:t>Section 8.2</w:t>
      </w:r>
      <w:r>
        <w:rPr>
          <w:rFonts w:ascii="Times New Roman" w:hAnsi="Times New Roman"/>
          <w:color w:val="000000"/>
          <w:sz w:val="24"/>
        </w:rPr>
        <w:t xml:space="preserve"> or has become or is declared to be immediately due and payable pursuant to </w:t>
      </w:r>
      <w:r>
        <w:rPr>
          <w:rFonts w:ascii="Times New Roman" w:hAnsi="Times New Roman"/>
          <w:b/>
          <w:color w:val="000000"/>
          <w:sz w:val="24"/>
        </w:rPr>
        <w:t>Section 12.1</w:t>
      </w:r>
      <w:r>
        <w:rPr>
          <w:rFonts w:ascii="Times New Roman" w:hAnsi="Times New Roman"/>
          <w:color w:val="000000"/>
          <w:sz w:val="24"/>
        </w:rPr>
        <w:t>, as the context requires.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8.7. Payments Due on Non</w:t>
        <w:noBreakHyphen/>
        <w:t>Business Days.</w:t>
      </w:r>
      <w:r>
        <w:rPr>
          <w:rFonts w:ascii="Times New Roman" w:hAnsi="Times New Roman"/>
          <w:color w:val="000000"/>
          <w:sz w:val="24"/>
        </w:rPr>
        <w:t xml:space="preserve"> Anything in this Agreement or the Notes to the contrary notwithstanding, (x) except as 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t>
        <w:noBreakHyphen/>
        <w:t>Whole Amount on any Note (including principal due on the Maturity Date of such Note) that is due on a date that is not a Business Day shall be made on the next succeeding Business Day and shall include the additional days elapsed in the computation of interest payable on such next succeeding Business Day.</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9. Affirmative Covenants.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Company covenants that so long as any of the Notes are outstanding:</w:t>
      </w:r>
    </w:p>
    <w:p>
      <w:pPr>
        <w:pStyle w:val="TextBody"/>
        <w:bidi w:val="0"/>
        <w:spacing w:before="280" w:after="283"/>
        <w:jc w:val="both"/>
        <w:rPr>
          <w:rFonts w:ascii="Times New Roman" w:hAnsi="Times New Roman"/>
          <w:sz w:val="24"/>
        </w:rPr>
      </w:pPr>
      <w:r>
        <w:rPr>
          <w:rFonts w:ascii="Times New Roman" w:hAnsi="Times New Roman"/>
          <w:i/>
          <w:color w:val="000000"/>
          <w:sz w:val="24"/>
        </w:rPr>
        <w:t>Section 9.1. Compliance with Law</w:t>
      </w:r>
      <w:r>
        <w:rPr>
          <w:rFonts w:ascii="Times New Roman" w:hAnsi="Times New Roman"/>
          <w:color w:val="000000"/>
          <w:sz w:val="24"/>
        </w:rPr>
        <w:t xml:space="preserve">. Without limiting </w:t>
      </w:r>
      <w:r>
        <w:rPr>
          <w:rFonts w:ascii="Times New Roman" w:hAnsi="Times New Roman"/>
          <w:b/>
          <w:color w:val="000000"/>
          <w:sz w:val="24"/>
        </w:rPr>
        <w:t>Section 10.7</w:t>
      </w:r>
      <w:r>
        <w:rPr>
          <w:rFonts w:ascii="Times New Roman" w:hAnsi="Times New Roman"/>
          <w:color w:val="000000"/>
          <w:sz w:val="24"/>
        </w:rPr>
        <w:t xml:space="preserve">, the Company will, and will cause each of its Subsidiaries to, comply with all laws, ordinances or governmental rules or regulations to which each of them is subject, including, without limitation, ERISA, Environmental Laws, the USA Patriot Act and the other laws and regulations that are referred to in </w:t>
      </w:r>
      <w:r>
        <w:rPr>
          <w:rFonts w:ascii="Times New Roman" w:hAnsi="Times New Roman"/>
          <w:b/>
          <w:color w:val="000000"/>
          <w:sz w:val="24"/>
        </w:rPr>
        <w:t>Section 5.16</w:t>
      </w:r>
      <w:r>
        <w:rPr>
          <w:rFonts w:ascii="Times New Roman" w:hAnsi="Times New Roman"/>
          <w:color w:val="000000"/>
          <w:sz w:val="24"/>
        </w:rPr>
        <w:t>,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the failure to obtain or maintain in effect such licenses, certificates, permits, franchises and other governmental authorizations would not, individually or in the aggregate, reasonably be expected to have a Material Adverse Effect.</w:t>
      </w:r>
    </w:p>
    <w:p>
      <w:pPr>
        <w:pStyle w:val="TextBody"/>
        <w:bidi w:val="0"/>
        <w:spacing w:before="280" w:after="283"/>
        <w:jc w:val="both"/>
        <w:rPr>
          <w:rFonts w:ascii="Times New Roman" w:hAnsi="Times New Roman"/>
          <w:sz w:val="24"/>
        </w:rPr>
      </w:pPr>
      <w:r>
        <w:rPr>
          <w:rFonts w:ascii="Times New Roman" w:hAnsi="Times New Roman"/>
          <w:i/>
          <w:color w:val="000000"/>
          <w:sz w:val="24"/>
        </w:rPr>
        <w:t>Section 9.2. Insurance.</w:t>
      </w:r>
      <w:r>
        <w:rPr>
          <w:rFonts w:ascii="Times New Roman" w:hAnsi="Times New Roman"/>
          <w:color w:val="000000"/>
          <w:sz w:val="24"/>
        </w:rPr>
        <w:t xml:space="preserve"> The Company will insure and keep insured, and will cause every Subsidiary to insure and keep insured, to a reasonable amount with reputable insurance companies, so much of their respective properties as companies engaged in a similar business and to the extent such companies in accordance with good business practice customarily insure properties of a similar character against loss by fire and from other causes or, in lieu thereof, in the case of itself or its Subsidiaries, the Company will maintain or cause to be maintained a system or systems of self-insurance which will accord with the approved practices of companies owning or operating properties of a similar character and maintaining such systems, and of a size similar to that of the Company and its direct and indirect Subsidiaries on a consolidated basis.</w:t>
      </w:r>
    </w:p>
    <w:p>
      <w:pPr>
        <w:pStyle w:val="TextBody"/>
        <w:bidi w:val="0"/>
        <w:spacing w:before="280" w:after="283"/>
        <w:jc w:val="both"/>
        <w:rPr>
          <w:rFonts w:ascii="Times New Roman" w:hAnsi="Times New Roman"/>
          <w:sz w:val="24"/>
        </w:rPr>
      </w:pPr>
      <w:r>
        <w:rPr>
          <w:rFonts w:ascii="Times New Roman" w:hAnsi="Times New Roman"/>
          <w:i/>
          <w:color w:val="000000"/>
          <w:sz w:val="24"/>
        </w:rPr>
        <w:t>Section 9.3. Maintenance of Properties</w:t>
      </w:r>
      <w:r>
        <w:rPr>
          <w:rFonts w:ascii="Times New Roman" w:hAnsi="Times New Roman"/>
          <w:color w:val="000000"/>
          <w:sz w:val="24"/>
        </w:rPr>
        <w:t xml:space="preserve">. 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hAnsi="Times New Roman"/>
          <w:i/>
          <w:color w:val="000000"/>
          <w:sz w:val="24"/>
        </w:rPr>
        <w:t>provided</w:t>
      </w:r>
      <w:r>
        <w:rPr>
          <w:rFonts w:ascii="Times New Roman" w:hAnsi="Times New Roman"/>
          <w:color w:val="000000"/>
          <w:sz w:val="24"/>
        </w:rPr>
        <w:t xml:space="preserve"> that this Section shall not prevent the Company or any Subsidiary from discontinuing the operation and the maintenance of any of its properties if such discontinuance is desirable in the conduct of its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business and the Company has concluded that such discontinuance would not, individually or in the aggregate, reasonably be expected to have a Material Adverse Effect.</w:t>
      </w:r>
    </w:p>
    <w:p>
      <w:pPr>
        <w:pStyle w:val="TextBody"/>
        <w:bidi w:val="0"/>
        <w:spacing w:before="280" w:after="283"/>
        <w:jc w:val="both"/>
        <w:rPr>
          <w:rFonts w:ascii="Times New Roman" w:hAnsi="Times New Roman"/>
          <w:sz w:val="24"/>
        </w:rPr>
      </w:pPr>
      <w:r>
        <w:rPr>
          <w:rFonts w:ascii="Times New Roman" w:hAnsi="Times New Roman"/>
          <w:i/>
          <w:color w:val="000000"/>
          <w:sz w:val="24"/>
        </w:rPr>
        <w:t>Section 9.4. Payment of Taxes and Claims</w:t>
      </w:r>
      <w:r>
        <w:rPr>
          <w:rFonts w:ascii="Times New Roman" w:hAnsi="Times New Roman"/>
          <w:color w:val="000000"/>
          <w:sz w:val="24"/>
        </w:rPr>
        <w:t xml:space="preserve">. The Company will, and will cause each of its Subsidiaries to, file all income tax or similar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prohibited by this Agreement on properties or assets of the Company or any Subsidiary, </w:t>
      </w:r>
      <w:r>
        <w:rPr>
          <w:rFonts w:ascii="Times New Roman" w:hAnsi="Times New Roman"/>
          <w:i/>
          <w:color w:val="000000"/>
          <w:sz w:val="24"/>
        </w:rPr>
        <w:t>provided</w:t>
      </w:r>
      <w:r>
        <w:rPr>
          <w:rFonts w:ascii="Times New Roman" w:hAnsi="Times New Roman"/>
          <w:color w:val="000000"/>
          <w:sz w:val="24"/>
        </w:rPr>
        <w:t xml:space="preserve"> that neither the Company nor any Subsidiary need file any such return or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non-filing of any such return or the nonpayment of all such taxes, assessments, charges, levies and claims would not, individually or in the aggregate, reasonably be expected to have a Material Adverse Effect.</w:t>
      </w:r>
    </w:p>
    <w:p>
      <w:pPr>
        <w:pStyle w:val="TextBody"/>
        <w:bidi w:val="0"/>
        <w:spacing w:before="280" w:after="283"/>
        <w:jc w:val="both"/>
        <w:rPr>
          <w:rFonts w:ascii="Times New Roman" w:hAnsi="Times New Roman"/>
          <w:sz w:val="24"/>
        </w:rPr>
      </w:pPr>
      <w:r>
        <w:rPr>
          <w:rFonts w:ascii="Times New Roman" w:hAnsi="Times New Roman"/>
          <w:i/>
          <w:color w:val="000000"/>
          <w:sz w:val="24"/>
        </w:rPr>
        <w:t>Section 9.5. Corporate Existence, Etc.; Ownership of Subsidiaries</w:t>
      </w:r>
      <w:r>
        <w:rPr>
          <w:rFonts w:ascii="Times New Roman" w:hAnsi="Times New Roman"/>
          <w:color w:val="000000"/>
          <w:sz w:val="24"/>
        </w:rPr>
        <w:t xml:space="preserve">. (a) Subject to </w:t>
      </w:r>
      <w:r>
        <w:rPr>
          <w:rFonts w:ascii="Times New Roman" w:hAnsi="Times New Roman"/>
          <w:b/>
          <w:color w:val="000000"/>
          <w:sz w:val="24"/>
        </w:rPr>
        <w:t>Section 10.4(ii)</w:t>
      </w:r>
      <w:r>
        <w:rPr>
          <w:rFonts w:ascii="Times New Roman" w:hAnsi="Times New Roman"/>
          <w:color w:val="000000"/>
          <w:sz w:val="24"/>
        </w:rPr>
        <w:t xml:space="preserve"> the Company will at all times preserve and keep in full force and effect its corporate existence. Subject to </w:t>
      </w:r>
      <w:r>
        <w:rPr>
          <w:rFonts w:ascii="Times New Roman" w:hAnsi="Times New Roman"/>
          <w:b/>
          <w:color w:val="000000"/>
          <w:sz w:val="24"/>
        </w:rPr>
        <w:t>Section 10.4</w:t>
      </w:r>
      <w:r>
        <w:rPr>
          <w:rFonts w:ascii="Times New Roman" w:hAnsi="Times New Roman"/>
          <w:color w:val="000000"/>
          <w:sz w:val="24"/>
        </w:rPr>
        <w:t>, the Company will at all times preserve and keep in full force and effect the legal existence of each of its Subsidiaries (unless merged into the Company or a Wholly-Owned Subsidiary) and all rights and franchises of the Company and its Subsidiaries unless, in the good faith judgment of the Company, the termination of or failure to preserve and keep in full force and effect such legal existence, right or franchise would not, individually or in the aggregate,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Notwithstanding anything to the contrary contained herein, except pursuant to an action or order by a Governmental Authority, one hundred percent of all of the equity interests (except directors’ qualifying shares) and voting interests of the Company shall at all times be and remain owned (directly or indirectly) by Unitil.</w:t>
      </w:r>
    </w:p>
    <w:p>
      <w:pPr>
        <w:pStyle w:val="TextBody"/>
        <w:bidi w:val="0"/>
        <w:spacing w:before="280" w:after="283"/>
        <w:jc w:val="both"/>
        <w:rPr>
          <w:rFonts w:ascii="Times New Roman" w:hAnsi="Times New Roman"/>
          <w:sz w:val="24"/>
        </w:rPr>
      </w:pPr>
      <w:r>
        <w:rPr>
          <w:rFonts w:ascii="Times New Roman" w:hAnsi="Times New Roman"/>
          <w:i/>
          <w:color w:val="000000"/>
          <w:sz w:val="24"/>
        </w:rPr>
        <w:t>Section 9.6. Books and Records</w:t>
      </w:r>
      <w:r>
        <w:rPr>
          <w:rFonts w:ascii="Times New Roman" w:hAnsi="Times New Roman"/>
          <w:color w:val="000000"/>
          <w:sz w:val="24"/>
        </w:rPr>
        <w:t>. 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w:t>
      </w:r>
    </w:p>
    <w:p>
      <w:pPr>
        <w:pStyle w:val="TextBody"/>
        <w:bidi w:val="0"/>
        <w:spacing w:before="280" w:after="283"/>
        <w:jc w:val="both"/>
        <w:rPr>
          <w:rFonts w:ascii="Times New Roman" w:hAnsi="Times New Roman"/>
          <w:sz w:val="24"/>
        </w:rPr>
      </w:pPr>
      <w:r>
        <w:rPr>
          <w:rFonts w:ascii="Times New Roman" w:hAnsi="Times New Roman"/>
          <w:i/>
          <w:color w:val="000000"/>
          <w:sz w:val="24"/>
        </w:rPr>
        <w:t>Section 9.7. Notes to Rank Pari Passu</w:t>
      </w:r>
      <w:r>
        <w:rPr>
          <w:rFonts w:ascii="Times New Roman" w:hAnsi="Times New Roman"/>
          <w:color w:val="000000"/>
          <w:sz w:val="24"/>
        </w:rPr>
        <w:t xml:space="preserve">. The Company will ensure that its payment obligations under this Agreement and the Notes will at all times rank at least </w:t>
      </w:r>
      <w:r>
        <w:rPr>
          <w:rFonts w:ascii="Times New Roman" w:hAnsi="Times New Roman"/>
          <w:i/>
          <w:color w:val="000000"/>
          <w:sz w:val="24"/>
        </w:rPr>
        <w:t>pari passu</w:t>
      </w:r>
      <w:r>
        <w:rPr>
          <w:rFonts w:ascii="Times New Roman" w:hAnsi="Times New Roman"/>
          <w:color w:val="000000"/>
          <w:sz w:val="24"/>
        </w:rPr>
        <w:t>, without preference or priority, with all other senior unsecured Funded Indebtedness of the Company.</w:t>
      </w:r>
    </w:p>
    <w:p>
      <w:pPr>
        <w:pStyle w:val="TextBody"/>
        <w:bidi w:val="0"/>
        <w:spacing w:before="280" w:after="283"/>
        <w:jc w:val="both"/>
        <w:rPr>
          <w:rFonts w:ascii="Times New Roman" w:hAnsi="Times New Roman"/>
          <w:sz w:val="24"/>
        </w:rPr>
      </w:pPr>
      <w:r>
        <w:rPr>
          <w:rFonts w:ascii="Times New Roman" w:hAnsi="Times New Roman"/>
          <w:i/>
          <w:color w:val="000000"/>
          <w:sz w:val="24"/>
        </w:rPr>
        <w:t>Section 9.8. Guarantors</w:t>
      </w:r>
      <w:r>
        <w:rPr>
          <w:rFonts w:ascii="Times New Roman" w:hAnsi="Times New Roman"/>
          <w:color w:val="000000"/>
          <w:sz w:val="24"/>
        </w:rPr>
        <w:t>. (a) The Company will cause any Person that guarantees or otherwise becomes liable at any time, whether as a borrower or an additional or co</w:t>
        <w:noBreakHyphen/>
        <w:t>borrower or otherwise, for or in respect of any Indebtedness under any Material Credit Facility to concurrently therewith:</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(i) enter into an agreement in form and substance satisfactory to the Required Holders providing for the guaranty by such Person, on a joint and several basis with all other such Persons, of (x) the prompt payment in full when due of all amounts payable by the Company pursuant to the Notes (whether for principal, interest, Make</w:t>
        <w:noBreakHyphen/>
        <w:t>Whole Amount or otherwise) and this Agreement, including all indemnities, fees and expenses payable by the Company thereunder and (y) the prompt, full and faithful performance, observance and discharge by the Company of each and every covenant, agreement, undertaking and provision required pursuant to the Notes or this Agreement to be performed, observed or discharged by it (a “</w:t>
      </w:r>
      <w:r>
        <w:rPr>
          <w:rFonts w:ascii="Times New Roman" w:hAnsi="Times New Roman"/>
          <w:i/>
          <w:color w:val="000000"/>
          <w:sz w:val="24"/>
        </w:rPr>
        <w:t>Guaranty Agreement”</w:t>
      </w:r>
      <w:r>
        <w:rPr>
          <w:rFonts w:ascii="Times New Roman" w:hAnsi="Times New Roman"/>
          <w:color w:val="000000"/>
          <w:sz w:val="24"/>
        </w:rPr>
        <w:t xml:space="preserve">); and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deliver the following to each holder of a Note:</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(A) an executed counterpart of such Guaranty;</w:t>
      </w:r>
    </w:p>
    <w:p>
      <w:pPr>
        <w:pStyle w:val="TextBody"/>
        <w:bidi w:val="0"/>
        <w:spacing w:before="280" w:after="283"/>
        <w:ind w:left="1440" w:right="0" w:hanging="0"/>
        <w:jc w:val="both"/>
        <w:rPr>
          <w:rFonts w:ascii="Times New Roman" w:hAnsi="Times New Roman"/>
          <w:sz w:val="24"/>
        </w:rPr>
      </w:pPr>
      <w:r>
        <w:rPr>
          <w:rFonts w:ascii="Times New Roman" w:hAnsi="Times New Roman"/>
          <w:color w:val="000000"/>
          <w:sz w:val="24"/>
        </w:rPr>
        <w:t xml:space="preserve">(B) a certificate signed by an authorized responsible officer of such Person containing representations and warranties on behalf of such Person to the same effect, </w:t>
      </w:r>
      <w:r>
        <w:rPr>
          <w:rFonts w:ascii="Times New Roman" w:hAnsi="Times New Roman"/>
          <w:i/>
          <w:color w:val="000000"/>
          <w:sz w:val="24"/>
        </w:rPr>
        <w:t>mutatis mutandis</w:t>
      </w:r>
      <w:r>
        <w:rPr>
          <w:rFonts w:ascii="Times New Roman" w:hAnsi="Times New Roman"/>
          <w:color w:val="000000"/>
          <w:sz w:val="24"/>
        </w:rPr>
        <w:t xml:space="preserve">, as those contained in </w:t>
      </w:r>
      <w:r>
        <w:rPr>
          <w:rFonts w:ascii="Times New Roman" w:hAnsi="Times New Roman"/>
          <w:b/>
          <w:color w:val="000000"/>
          <w:sz w:val="24"/>
        </w:rPr>
        <w:t>Sections 5.1</w:t>
      </w:r>
      <w:r>
        <w:rPr>
          <w:rFonts w:ascii="Times New Roman" w:hAnsi="Times New Roman"/>
          <w:color w:val="000000"/>
          <w:sz w:val="24"/>
        </w:rPr>
        <w:t xml:space="preserve">, </w:t>
      </w:r>
      <w:r>
        <w:rPr>
          <w:rFonts w:ascii="Times New Roman" w:hAnsi="Times New Roman"/>
          <w:b/>
          <w:color w:val="000000"/>
          <w:sz w:val="24"/>
        </w:rPr>
        <w:t>5.2</w:t>
      </w:r>
      <w:r>
        <w:rPr>
          <w:rFonts w:ascii="Times New Roman" w:hAnsi="Times New Roman"/>
          <w:color w:val="000000"/>
          <w:sz w:val="24"/>
        </w:rPr>
        <w:t xml:space="preserve">, </w:t>
      </w:r>
      <w:r>
        <w:rPr>
          <w:rFonts w:ascii="Times New Roman" w:hAnsi="Times New Roman"/>
          <w:b/>
          <w:color w:val="000000"/>
          <w:sz w:val="24"/>
        </w:rPr>
        <w:t>5.6</w:t>
      </w:r>
      <w:r>
        <w:rPr>
          <w:rFonts w:ascii="Times New Roman" w:hAnsi="Times New Roman"/>
          <w:color w:val="000000"/>
          <w:sz w:val="24"/>
        </w:rPr>
        <w:t xml:space="preserve">, and </w:t>
      </w:r>
      <w:r>
        <w:rPr>
          <w:rFonts w:ascii="Times New Roman" w:hAnsi="Times New Roman"/>
          <w:b/>
          <w:color w:val="000000"/>
          <w:sz w:val="24"/>
        </w:rPr>
        <w:t xml:space="preserve">5.7 </w:t>
      </w:r>
      <w:r>
        <w:rPr>
          <w:rFonts w:ascii="Times New Roman" w:hAnsi="Times New Roman"/>
          <w:color w:val="000000"/>
          <w:sz w:val="24"/>
        </w:rPr>
        <w:t>of this Agreement (but with respect to such Person and such Guaranty rather than the Company);</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(C) all documents as may be reasonably requested by the Required Holders to evidence the due organization, continuing existence and, where applicable, good standing of such Person and the due authorization by all requisite action on the part of such Person of the execution and delivery of such Guaranty and the performance by such Person of its obligations thereunder; and</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(D) an opinion of counsel reasonably satisfactory to the Required Holders covering such matters relating to such Person and such Guaranty as the Required Holders may reasonably request.</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In addition to the foregoing, if the Bank Credit Agreement shall contain (or be amended to contain) covenants, reporting obligations or events of default related to a Bank Guarantor, then the Company shall deliver an amendment to this Agreement to add similar covenants, reporting obligations and events of default related to such Bank Guarantor for the benefit of the holders of the Notes, and until such time as such amendment is delivered, this Agreement shall be deemed, without any action on the part of the parties hereto, to be amended to include such additional covenants, reporting obligations and events of default as if set forth herein in full. If the Bank Credit Agreement shall cease to contain such covenants, reporting obligations or events of default related to such Bank Guarantor, then the Company and the holders of the Notes shall deliver an amendment to this Agreement to remove such similar covenants, reporting obligations and events of default related to such Bank Guarantor, and until such time as such amendment is delivered, this Agreement shall be deemed, without any action on the part of the parties hereto, to be amended to exclude such covenants, reporting obligations and events of default as if set forth herein in full.</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At the election of the Company and by written notice to each holder of Notes, any Guarantor that has provided a Guaranty under subparagraph (a) of this </w:t>
      </w:r>
      <w:r>
        <w:rPr>
          <w:rFonts w:ascii="Times New Roman" w:hAnsi="Times New Roman"/>
          <w:b/>
          <w:color w:val="000000"/>
          <w:sz w:val="24"/>
        </w:rPr>
        <w:t>Section 9.8</w:t>
      </w:r>
      <w:r>
        <w:rPr>
          <w:rFonts w:ascii="Times New Roman" w:hAnsi="Times New Roman"/>
          <w:color w:val="000000"/>
          <w:sz w:val="20"/>
        </w:rPr>
        <w:t xml:space="preserve"> </w:t>
      </w:r>
      <w:r>
        <w:rPr>
          <w:rFonts w:ascii="Times New Roman" w:hAnsi="Times New Roman"/>
          <w:color w:val="000000"/>
          <w:sz w:val="24"/>
        </w:rPr>
        <w:t>may be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discharged from all of its obligations and liabilities under its Guaranty and shall be automatically released from its obligations thereunder without the need for the execution or delivery of any other document by the holders, </w:t>
      </w:r>
      <w:r>
        <w:rPr>
          <w:rFonts w:ascii="Times New Roman" w:hAnsi="Times New Roman"/>
          <w:i/>
          <w:color w:val="000000"/>
          <w:sz w:val="24"/>
        </w:rPr>
        <w:t>provided</w:t>
      </w:r>
      <w:r>
        <w:rPr>
          <w:rFonts w:ascii="Times New Roman" w:hAnsi="Times New Roman"/>
          <w:color w:val="000000"/>
          <w:sz w:val="24"/>
        </w:rPr>
        <w:t xml:space="preserve"> that (i) if such Guarantor is a guarantor or is otherwise liable for or in respect of any Material Credit Facility, then such Guarantor has been released and discharged (or will be released and discharged concurrently with the release of such Guarantor under its Guaranty) under such Material Credit Facility, (ii) at the time of, and after giving effect to, such release and discharge, no Default or Event of Default shall be existing, (iii) no amount is then due and payable under such Guaranty, (iv) if in connection with such Guarantor being released and discharged under any Material Credit Facility, any fee or other form of consideration is given to any holder of Indebtedness under such Material Credit Facility for such release, the holders of the Notes shall receive equivalent consideration substantially concurrently therewith, and (v) each holder shall have received a certificate of a Responsible Officer certifying as to the matters set forth in clauses (i) through (iv). In the event of any such release, for purposes of </w:t>
      </w:r>
      <w:r>
        <w:rPr>
          <w:rFonts w:ascii="Times New Roman" w:hAnsi="Times New Roman"/>
          <w:b/>
          <w:color w:val="000000"/>
          <w:sz w:val="24"/>
        </w:rPr>
        <w:t>Section 10.1</w:t>
      </w:r>
      <w:r>
        <w:rPr>
          <w:rFonts w:ascii="Times New Roman" w:hAnsi="Times New Roman"/>
          <w:color w:val="000000"/>
          <w:sz w:val="24"/>
        </w:rPr>
        <w:t>, all Indebtedness of such Subsidiary shall be deemed to have been incurred concurrently with such release.</w:t>
      </w:r>
    </w:p>
    <w:p>
      <w:pPr>
        <w:pStyle w:val="TextBody"/>
        <w:pBdr/>
        <w:bidi w:val="0"/>
        <w:spacing w:before="48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10. Negative Covenants.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Company covenants that so long as any of the Notes are outstanding:</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10.1. Limitation on Funded Indebtedness.</w:t>
      </w:r>
      <w:r>
        <w:rPr>
          <w:rFonts w:ascii="Times New Roman" w:hAnsi="Times New Roman"/>
          <w:color w:val="000000"/>
          <w:sz w:val="24"/>
        </w:rPr>
        <w:t xml:space="preserve"> (a) The Company will not, and will not permit any Subsidiary to create, incur, assume or otherwise become liable for any Funded Indebtedness other than: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Funded Indebtedness evidenced by the Notes;</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(ii) Funded Indebtedness of the Company or any Subsidiary outstanding as of the Closing and reflected in </w:t>
      </w:r>
      <w:r>
        <w:rPr>
          <w:rFonts w:ascii="Times New Roman" w:hAnsi="Times New Roman"/>
          <w:b/>
          <w:color w:val="000000"/>
          <w:sz w:val="24"/>
        </w:rPr>
        <w:t>Schedule 10.1</w:t>
      </w:r>
      <w:r>
        <w:rPr>
          <w:rFonts w:ascii="Times New Roman" w:hAnsi="Times New Roman"/>
          <w:color w:val="000000"/>
          <w:sz w:val="24"/>
        </w:rPr>
        <w:t>; and</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(iii) additional Funded Indebtedness, so long as the aggregate outstanding principal amount of such Funded Indebtedness, after giving effect to the application of the proceeds thereof (subject to the proviso set forth hereafter) and when added to all other Funded Indebtedness of the Company and its Subsidiaries (determined on a consolidated basis) then outstanding, does not exceed 65% of the Total Capitalization; </w:t>
      </w:r>
      <w:r>
        <w:rPr>
          <w:rFonts w:ascii="Times New Roman" w:hAnsi="Times New Roman"/>
          <w:i/>
          <w:color w:val="000000"/>
          <w:sz w:val="24"/>
        </w:rPr>
        <w:t>provided,</w:t>
      </w:r>
      <w:r>
        <w:rPr>
          <w:rFonts w:ascii="Times New Roman" w:hAnsi="Times New Roman"/>
          <w:color w:val="000000"/>
          <w:sz w:val="24"/>
        </w:rPr>
        <w:t xml:space="preserve"> that in giving effect to the application of such proceeds, only applications which are substantially contemporaneous with the incurrence of such additional Funded Indebtedness shall be given such effect, except that if the application of such proceeds involves the redemption of other securities of the Company, and such redemption cannot be made substantially contemporaneously with the incurrence of such additional Funded Indebtedness, then such intended redemption shall nevertheless be given effect for purposes hereof if either (1) the Company shall have given irrevocable written notice of redemption of such other securities to the holders thereof at or prior to the time of the incurrence of such additional Funded Indebtedness and such redemption is thereafter made in accordance with the terms of such notice, or (2) if such notice was not permitted to be given at or prior to the time of the incurrence of such additional Funded Indebtedness and the redemption will occur within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180 days after such incurrence, then (A) the proceeds of such Funded Indebtedness to be used for such redemption shall have been set aside in an escrow or trust account with a United States bank or other financial institution having capital and surplus of at least $35,000,000, together with written instructions to the escrow agent or trustee to send notice of redemption of such securities provided by the Company to the holders thereof in accordance with the terms of such securities and thereafter to use such proceeds for such redemption in accordance with the terms of such notice, such escrow or trust account to also provide (x) that the funds set aside therein are not to be released to or for the benefit of the Company except for the purpose of accomplishing the redemption contemplated thereby, or with the prior written consent of all holders of Notes then outstanding, and (y) that if the funds set aside therein are invested in securities by such bank or financial institution, they shall be invested only in direct obligations of the United States of America maturing in not more than 180 days, and (B) unless otherwise agreed to in writing by all of the holders of Notes then outstanding, the redemption to be funded from such escrow or trust account is actually made in accordance with the terms under which such escrow or trust account is established.</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In addition to the limitations contained in </w:t>
      </w:r>
      <w:r>
        <w:rPr>
          <w:rFonts w:ascii="Times New Roman" w:hAnsi="Times New Roman"/>
          <w:b/>
          <w:color w:val="000000"/>
          <w:sz w:val="24"/>
        </w:rPr>
        <w:t>Section 10.1(a)</w:t>
      </w:r>
      <w:r>
        <w:rPr>
          <w:rFonts w:ascii="Times New Roman" w:hAnsi="Times New Roman"/>
          <w:color w:val="000000"/>
          <w:sz w:val="24"/>
        </w:rPr>
        <w:t>, no Subsidiary shall create, incur, assume or become liable for, or have outstanding any Funded Indebtedness if, after giving effect thereto and to any concurrent transaction, the aggregate amount of all Funded Indebtedness of all Subsidiaries would exceed 20% of Total Shareholders’ Equity.</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 For the purposes of this </w:t>
      </w:r>
      <w:r>
        <w:rPr>
          <w:rFonts w:ascii="Times New Roman" w:hAnsi="Times New Roman"/>
          <w:b/>
          <w:color w:val="000000"/>
          <w:sz w:val="24"/>
        </w:rPr>
        <w:t>Section 10.1</w:t>
      </w:r>
      <w:r>
        <w:rPr>
          <w:rFonts w:ascii="Times New Roman" w:hAnsi="Times New Roman"/>
          <w:color w:val="000000"/>
          <w:sz w:val="24"/>
        </w:rPr>
        <w:t>, any Person becoming a Subsidiary after the date hereof shall be deemed, at the time it becomes a Subsidiary, to have incurred all of its then outstanding Indebtedness, and any Person extending, renewing or refunding any Indebtedness shall be deemed to have incurred such Indebtedness at the time of such extension, renewal or refunding.</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10.2. Limitation on Liens.</w:t>
      </w:r>
      <w:r>
        <w:rPr>
          <w:rFonts w:ascii="Times New Roman" w:hAnsi="Times New Roman"/>
          <w:color w:val="000000"/>
          <w:sz w:val="24"/>
        </w:rPr>
        <w:t xml:space="preserve"> Except as hereinafter in this Section expressly permitted, the Company will not at any time, nor will it permit any Subsidiary to, directly or indirectly, create, assume or suffer to exist, except in favor of the Company or any Subsidiary, any Lien upon any of its properties or assets, real or personal, whether now owned or hereafter acquired, or of or upon any income or profits therefrom, without making effective provision, and the Company covenants that in any such case it will make or cause to be made effective provision, whereby the Notes then outstanding shall be secured by such Lien equally and ratably with any and all other Indebtedness to be secured thereby pursuant to documentation reasonably acceptable to the Required Holders in substance and in form, including, without limitation, an intercreditor agreement and opinions of counsel to the Company and/or any such Subsidiary, as the case may be, from counsel that is reasonably acceptable to the Required Holders, so long as any such other Indebtedness shall be so secured.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Nothing in this Section shall be construed to prevent the Company or a Subsidiary from creating, assuming or suffering to exist, and the Company and its Subsidiaries are hereby expressly permitted to create, assume or suffer to exist, without securing the Notes as hereinabove provided, Liens of the following character:</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(a) any purchase money mortgage or other Lien existing on any property of the Company or a Subsidiary at the time of acquisition, whether or not assumed, or created contemporaneously with the acquisition or construction of property, to secure or provide for the payment of the purchase or construction price of such property, and any conditional sales agreement or other title retention agreement with respect to any property hereafter acquired; </w:t>
      </w:r>
      <w:r>
        <w:rPr>
          <w:rFonts w:ascii="Times New Roman" w:hAnsi="Times New Roman"/>
          <w:i/>
          <w:color w:val="000000"/>
          <w:sz w:val="24"/>
        </w:rPr>
        <w:t>provided, however,</w:t>
      </w:r>
      <w:r>
        <w:rPr>
          <w:rFonts w:ascii="Times New Roman" w:hAnsi="Times New Roman"/>
          <w:color w:val="000000"/>
          <w:sz w:val="24"/>
        </w:rPr>
        <w:t xml:space="preserve"> that (i) the aggregate principal amount of the Indebtedness secured by all such mortgages and other Liens on a particular parcel of property shall not exceed 100% of the lesser of the total cost or fair market value at the time of the acquisition or construction of such property, including the improvements thereon (as determined in good faith by the Board of Directors of the Company or the relevant Subsidiary) and (ii) all such Indebtedness shall have been incurred within the applicable limitations provided in </w:t>
      </w:r>
      <w:r>
        <w:rPr>
          <w:rFonts w:ascii="Times New Roman" w:hAnsi="Times New Roman"/>
          <w:b/>
          <w:color w:val="000000"/>
          <w:sz w:val="24"/>
        </w:rPr>
        <w:t>Section 10.1</w:t>
      </w:r>
      <w:r>
        <w:rPr>
          <w:rFonts w:ascii="Times New Roman" w:hAnsi="Times New Roman"/>
          <w:color w:val="000000"/>
          <w:sz w:val="24"/>
        </w:rPr>
        <w:t>;</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(b) refundings or extensions of any Lien permitted by this </w:t>
      </w:r>
      <w:r>
        <w:rPr>
          <w:rFonts w:ascii="Times New Roman" w:hAnsi="Times New Roman"/>
          <w:b/>
          <w:color w:val="000000"/>
          <w:sz w:val="24"/>
        </w:rPr>
        <w:t>Section 10.2</w:t>
      </w:r>
      <w:r>
        <w:rPr>
          <w:rFonts w:ascii="Times New Roman" w:hAnsi="Times New Roman"/>
          <w:color w:val="000000"/>
          <w:sz w:val="24"/>
        </w:rPr>
        <w:t xml:space="preserve"> for amounts not exceeding the principal amount of the Indebtedness so refunded or extended at the time of the refunding or extension thereof, and covering only the same property theretofore securing the same;</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deposits, Liens or pledges to enable the Company or a Subsidiary to exercise any privilege or license, or to secure payment of worker’s compensation, unemployment insurance, old age pensions or other social security, or to secure the performance of bids, tenders, contracts or leases to which the Company or a Subsidiary is a party, or to secure public or statutory obligations of the Company or a Subsidiary, or to secure surety, stay or appeal bonds to which the Company or a Subsidiary is a party; or other similar deposits or pledges made in the ordinary course of business;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mechanics’, workmen’s, repairmen’s, materialmen’s or carrier’s liens or other similar Liens arising in the ordinary course of business; or deposits or pledges to obtain the release of any such Liens;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 Liens arising out of judgments or awards against the Company or a Subsidiary (i) which judgments or awards are discharged by the Company within 60 days after entry thereof (or such shorter period of time in which a judgment creditor may execute upon any such judgment or award); (ii) with respect to which the Company or a Subsidiary shall in good faith be prosecuting an appeal or proceedings for review and in respect of which a stay of execution pending such appeal or proceeding for review shall have been secured; or (iii) Liens incurred by the Company or a Subsidiary for the purpose of obtaining a stay or discharge in the course of any legal proceeding to which the Company or a Subsidiary is a party;</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(f) Liens for taxes (i) not yet subject to penalties for non</w:t>
        <w:noBreakHyphen/>
        <w:t xml:space="preserve">payment or (ii) being contested, </w:t>
      </w:r>
      <w:r>
        <w:rPr>
          <w:rFonts w:ascii="Times New Roman" w:hAnsi="Times New Roman"/>
          <w:i/>
          <w:color w:val="000000"/>
          <w:sz w:val="24"/>
        </w:rPr>
        <w:t>provided,</w:t>
      </w:r>
      <w:r>
        <w:rPr>
          <w:rFonts w:ascii="Times New Roman" w:hAnsi="Times New Roman"/>
          <w:color w:val="000000"/>
          <w:sz w:val="24"/>
        </w:rPr>
        <w:t xml:space="preserve"> payment thereof is not required by </w:t>
      </w:r>
      <w:r>
        <w:rPr>
          <w:rFonts w:ascii="Times New Roman" w:hAnsi="Times New Roman"/>
          <w:b/>
          <w:color w:val="000000"/>
          <w:sz w:val="24"/>
        </w:rPr>
        <w:t>Section 9.4</w:t>
      </w:r>
      <w:r>
        <w:rPr>
          <w:rFonts w:ascii="Times New Roman" w:hAnsi="Times New Roman"/>
          <w:color w:val="000000"/>
          <w:sz w:val="24"/>
        </w:rPr>
        <w:t>;</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(g) minor survey exceptions, or minor encumbrances, easements or reservations of, or rights of others for, rights of way, sewers, electric lines, telegraph and telephone lines and other similar purposes, or zoning or other restrictions as to the use of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real properties, which encumbrances, easements, reservations, rights and restrictions do not in the aggregate Materially detract from the value of said properties or Materially impair their use in the operation of the business of the Company or a Subsidiary;</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(h) Liens incurred in connection with the lease of conversion burners and water heaters to customers;</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(i) Liens on property acquired through the merger or consolidation of another utility company with or into, or the purchase of all or substantially all of the assets of another utility company by, the Company or a Subsidiary, </w:t>
      </w:r>
      <w:r>
        <w:rPr>
          <w:rFonts w:ascii="Times New Roman" w:hAnsi="Times New Roman"/>
          <w:i/>
          <w:color w:val="000000"/>
          <w:sz w:val="24"/>
        </w:rPr>
        <w:t>provided</w:t>
      </w:r>
      <w:r>
        <w:rPr>
          <w:rFonts w:ascii="Times New Roman" w:hAnsi="Times New Roman"/>
          <w:color w:val="000000"/>
          <w:sz w:val="24"/>
        </w:rPr>
        <w:t xml:space="preserve"> that such Lien does not extend to other property of the Company or a Subsidiary;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(j) pledges, assignments and other security devices entered into in connection with the financing or refinancing of customers’ conditional sales contracts;</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(k) Liens securing Indebtedness incurred in connection with the purchase and sale of gas and/or energy supply (including transportation or transmission charges) or Guaranties in respect of obligations under such contracts; </w:t>
      </w:r>
      <w:r>
        <w:rPr>
          <w:rFonts w:ascii="Times New Roman" w:hAnsi="Times New Roman"/>
          <w:i/>
          <w:color w:val="000000"/>
          <w:sz w:val="24"/>
        </w:rPr>
        <w:t>provided that</w:t>
      </w:r>
      <w:r>
        <w:rPr>
          <w:rFonts w:ascii="Times New Roman" w:hAnsi="Times New Roman"/>
          <w:color w:val="000000"/>
          <w:sz w:val="24"/>
        </w:rPr>
        <w:t>, such Liens attach solely to such gas or energy supply;</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(l) contractual rights of the Company and its Subsidiaries in connection with funds contributed and borrowed under the Cash Pooling and Loan Agreement; </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(m) Liens existing on the date hereof and not reflected on </w:t>
      </w:r>
      <w:r>
        <w:rPr>
          <w:rFonts w:ascii="Times New Roman" w:hAnsi="Times New Roman"/>
          <w:b/>
          <w:color w:val="000000"/>
          <w:sz w:val="24"/>
        </w:rPr>
        <w:t>Schedule 10.2</w:t>
      </w:r>
      <w:r>
        <w:rPr>
          <w:rFonts w:ascii="Times New Roman" w:hAnsi="Times New Roman"/>
          <w:color w:val="000000"/>
          <w:sz w:val="24"/>
        </w:rPr>
        <w:t xml:space="preserve"> hereto and Liens created or incurred after the date of Closing, in addition to those otherwise permitted by this </w:t>
      </w:r>
      <w:r>
        <w:rPr>
          <w:rFonts w:ascii="Times New Roman" w:hAnsi="Times New Roman"/>
          <w:b/>
          <w:color w:val="000000"/>
          <w:sz w:val="24"/>
        </w:rPr>
        <w:t>Section 10.2</w:t>
      </w:r>
      <w:r>
        <w:rPr>
          <w:rFonts w:ascii="Times New Roman" w:hAnsi="Times New Roman"/>
          <w:color w:val="000000"/>
          <w:sz w:val="24"/>
        </w:rPr>
        <w:t xml:space="preserve">, securing Indebtedness (other than Indebtedness in respect of the principal credit facilities of the Company and its Subsidiaries (including any Bank Credit Agreement) or any Indebtedness outstanding under or pursuant to any private placement document pursuant to which the Company or any Subsidiary has issued senior notes, in each case, whether now existing or existing in the future) which does not exceed in the aggregate $10,000,000 at any one time outstanding; </w:t>
      </w:r>
      <w:r>
        <w:rPr>
          <w:rFonts w:ascii="Times New Roman" w:hAnsi="Times New Roman"/>
          <w:i/>
          <w:color w:val="000000"/>
          <w:sz w:val="24"/>
        </w:rPr>
        <w:t>provided</w:t>
      </w:r>
      <w:r>
        <w:rPr>
          <w:rFonts w:ascii="Times New Roman" w:hAnsi="Times New Roman"/>
          <w:color w:val="000000"/>
          <w:sz w:val="24"/>
        </w:rPr>
        <w:t xml:space="preserve"> that all such Indebtedness shall have been incurred within the applicable limitations provided in </w:t>
      </w:r>
      <w:r>
        <w:rPr>
          <w:rFonts w:ascii="Times New Roman" w:hAnsi="Times New Roman"/>
          <w:b/>
          <w:color w:val="000000"/>
          <w:sz w:val="24"/>
        </w:rPr>
        <w:t>Section 10.1</w:t>
      </w:r>
      <w:r>
        <w:rPr>
          <w:rFonts w:ascii="Times New Roman" w:hAnsi="Times New Roman"/>
          <w:color w:val="000000"/>
          <w:sz w:val="24"/>
        </w:rPr>
        <w:t>;</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(n) Liens existing on the date hereof and listed on </w:t>
      </w:r>
      <w:r>
        <w:rPr>
          <w:rFonts w:ascii="Times New Roman" w:hAnsi="Times New Roman"/>
          <w:b/>
          <w:color w:val="000000"/>
          <w:sz w:val="24"/>
        </w:rPr>
        <w:t>Schedule 10.2</w:t>
      </w:r>
      <w:r>
        <w:rPr>
          <w:rFonts w:ascii="Times New Roman" w:hAnsi="Times New Roman"/>
          <w:color w:val="000000"/>
          <w:sz w:val="24"/>
        </w:rPr>
        <w:t xml:space="preserve"> hereto;</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(o) Liens securing Indebtedness issued to finance or refinance the Company’s operation center buildings in Maine or any property acquired in replacement thereof which do not at any time exceed an aggregate principal amount of $25,000,000;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(p) Liens arising out of security interests in, and pledges by, the Company’s and its Subsidiaries’ rights and benefits under contracts required to be entered into pursuant to applicable law, regulation or rule.</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If at any time the Company or a Subsidiary shall create or assume any Lien not permitted by this Section, to which the covenant to secure the Notes in the first paragraph of this </w:t>
      </w:r>
      <w:r>
        <w:rPr>
          <w:rFonts w:ascii="Times New Roman" w:hAnsi="Times New Roman"/>
          <w:b/>
          <w:color w:val="000000"/>
          <w:sz w:val="24"/>
        </w:rPr>
        <w:t>Section</w:t>
      </w:r>
      <w:r>
        <w:rPr>
          <w:rFonts w:ascii="Times New Roman" w:hAnsi="Times New Roman"/>
          <w:color w:val="000000"/>
          <w:sz w:val="24"/>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b/>
          <w:color w:val="000000"/>
          <w:sz w:val="24"/>
        </w:rPr>
        <w:t>10.2</w:t>
      </w:r>
      <w:r>
        <w:rPr>
          <w:rFonts w:ascii="Times New Roman" w:hAnsi="Times New Roman"/>
          <w:color w:val="000000"/>
          <w:sz w:val="24"/>
        </w:rPr>
        <w:t xml:space="preserve"> is applicable, the Company will promptly deliver to each holder of record of the Notes then outstanding:</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(x) an Officers’ Certificate stating that the covenant of the Company contained in the first paragraph of this </w:t>
      </w:r>
      <w:r>
        <w:rPr>
          <w:rFonts w:ascii="Times New Roman" w:hAnsi="Times New Roman"/>
          <w:b/>
          <w:color w:val="000000"/>
          <w:sz w:val="24"/>
        </w:rPr>
        <w:t>Section 10.2</w:t>
      </w:r>
      <w:r>
        <w:rPr>
          <w:rFonts w:ascii="Times New Roman" w:hAnsi="Times New Roman"/>
          <w:color w:val="000000"/>
          <w:sz w:val="24"/>
        </w:rPr>
        <w:t xml:space="preserve"> has been complied with;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(y) an opinion of counsel addressed to such holders to the effect that such covenant has been complied with, and that any instruments executed by the Company in the performance of such covenant comply with the requirements of such covenant.</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10.3. Transactions with Affiliates</w:t>
      </w:r>
      <w:r>
        <w:rPr>
          <w:rFonts w:ascii="Times New Roman" w:hAnsi="Times New Roman"/>
          <w:color w:val="000000"/>
          <w:sz w:val="24"/>
        </w:rPr>
        <w:t xml:space="preserve">. Except as described in the Disclosure Documents prior to Closing, the Company will not and will not permit any Subsidiary to enter into directly or indirectly any transaction or group of related transactions (including without limitation the purchase, lease, sale or exchange of properties of any kind or the rendering of any service) with any Affiliate (other than the Company or another Subsidiary or Unitil or another Subsidiary of Unitil), except in the ordinary course and pursuant to the reasonable requirements of the Company’s or such Subsidiary’s business and upon fair and reasonable terms no less favorable to the Company or such Subsidiary than would be obtainable in a comparable arm’s-length transaction with a Person not an Affiliate, except as may be necessary in order for the Company to comply with requirements of any applicable state or federal statute or regulation; </w:t>
      </w:r>
      <w:r>
        <w:rPr>
          <w:rFonts w:ascii="Times New Roman" w:hAnsi="Times New Roman"/>
          <w:i/>
          <w:color w:val="000000"/>
          <w:sz w:val="24"/>
        </w:rPr>
        <w:t>provided, however,</w:t>
      </w:r>
      <w:r>
        <w:rPr>
          <w:rFonts w:ascii="Times New Roman" w:hAnsi="Times New Roman"/>
          <w:color w:val="000000"/>
          <w:sz w:val="24"/>
        </w:rPr>
        <w:t xml:space="preserve"> that if it is not possible to identify what terms would apply to a comparable arm’s</w:t>
        <w:noBreakHyphen/>
        <w:t>length transaction with a Person not an Affiliate, such transaction shall be upon such terms as shall be fair and reasonable under the circumstances.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10.4. Merger or Consolidation; Sale or Transfer of Assets.</w:t>
      </w:r>
      <w:r>
        <w:rPr>
          <w:rFonts w:ascii="Times New Roman" w:hAnsi="Times New Roman"/>
          <w:color w:val="000000"/>
          <w:sz w:val="24"/>
        </w:rPr>
        <w:t xml:space="preserve"> The Company will not (a) consolidate with or be a party to a merger with any other corporation or (b) sell, lease or otherwise dispose of all or substantially all of the assets of the Company and its Subsidiaries (taken as a whole); </w:t>
      </w:r>
      <w:r>
        <w:rPr>
          <w:rFonts w:ascii="Times New Roman" w:hAnsi="Times New Roman"/>
          <w:i/>
          <w:color w:val="000000"/>
          <w:sz w:val="24"/>
        </w:rPr>
        <w:t>provided, however,</w:t>
      </w:r>
      <w:r>
        <w:rPr>
          <w:rFonts w:ascii="Times New Roman" w:hAnsi="Times New Roman"/>
          <w:color w:val="000000"/>
          <w:sz w:val="24"/>
        </w:rPr>
        <w:t xml:space="preserve"> that the Company may consolidate, merge or otherwise combine with any other corporation (including, without limitation, Granite), or sell, lease or otherwise dispose of all or substantially all of the assets of the Company and its Subsidiaries (taken as a whole), if</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(i) the corporation which results from such consolidation, merger or combination or the corporation to which the Company sells, leases or otherwise disposes of all or substantially all of its and its Subsidiaries’ (taken as a whole) assets (in either case, the “</w:t>
      </w:r>
      <w:r>
        <w:rPr>
          <w:rFonts w:ascii="Times New Roman" w:hAnsi="Times New Roman"/>
          <w:i/>
          <w:color w:val="000000"/>
          <w:sz w:val="24"/>
        </w:rPr>
        <w:t>surviving corporation”</w:t>
      </w:r>
      <w:r>
        <w:rPr>
          <w:rFonts w:ascii="Times New Roman" w:hAnsi="Times New Roman"/>
          <w:color w:val="000000"/>
          <w:sz w:val="24"/>
        </w:rPr>
        <w:t>) is either the Company (in the case of a merger, consolidation or combination), or, if not, is organized under the laws of any State of the United States or the District of Columbia,</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(ii) in the event that the surviving corporation is not the Company, the obligations of the Company under this Agreement and the Notes are expressly assumed in writing by the surviving corporation and the surviving corporation shall furnish the holders of the Notes an opinion of counsel satisfactory to such holders to the effect that the instrument of assumption has been duly authorized, executed and delivered and constitutes the legal, valid and binding contract and agreement of the surviving corporation enforceable in accordance with its terms, except as enforcement of such terms may be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limited by bankruptcy, insolvency, reorganization, moratorium or similar laws affecting the enforcement of creditors’ rights generally and by general equitable principles, and</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(iii) at the time of such consolidation, merger or combination or sale, lease or other disposition of all or substantially all of the Company’s and its Subsidiaries’ assets, and immediately after giving effect thereto, no Default or Event of Default shall have occurred and be continuing and the Company or the surviving corporation, as the case may be, could incur at least $1.00 of additional Funded Indebtedness pursuant to </w:t>
      </w:r>
      <w:r>
        <w:rPr>
          <w:rFonts w:ascii="Times New Roman" w:hAnsi="Times New Roman"/>
          <w:b/>
          <w:color w:val="000000"/>
          <w:sz w:val="24"/>
        </w:rPr>
        <w:t>Section 10.1</w:t>
      </w:r>
      <w:r>
        <w:rPr>
          <w:rFonts w:ascii="Times New Roman" w:hAnsi="Times New Roman"/>
          <w:color w:val="000000"/>
          <w:sz w:val="24"/>
        </w:rPr>
        <w:t>.</w:t>
      </w:r>
    </w:p>
    <w:p>
      <w:pPr>
        <w:pStyle w:val="TextBody"/>
        <w:bidi w:val="0"/>
        <w:spacing w:before="280" w:after="283"/>
        <w:ind w:left="0" w:right="0" w:firstLine="720"/>
        <w:jc w:val="both"/>
        <w:rPr>
          <w:rFonts w:ascii="Times New Roman" w:hAnsi="Times New Roman"/>
          <w:sz w:val="24"/>
        </w:rPr>
      </w:pPr>
      <w:r>
        <w:rPr>
          <w:rFonts w:ascii="Times New Roman" w:hAnsi="Times New Roman"/>
          <w:i/>
          <w:color w:val="000000"/>
          <w:sz w:val="24"/>
        </w:rPr>
        <w:t>Section 10.5. Restrictions on Dividends.</w:t>
      </w:r>
      <w:r>
        <w:rPr>
          <w:rFonts w:ascii="Times New Roman" w:hAnsi="Times New Roman"/>
          <w:color w:val="000000"/>
          <w:sz w:val="24"/>
        </w:rPr>
        <w:t xml:space="preserve"> (a) The Company will not except (i) as hereinafter provided and (ii) for declaring or paying any dividend solely in shares of its own common stock:</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declare or pay any dividend;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make any other distribution of cash, property or assets on any shares of any class of its capital stock or apply any of its cash, property or assets (other than amounts equal to net proceeds received from the sale of common stock of the Company subsequent to the date of this Agreement) to the purchase or retirement of, or make any other distribution, through reduction of capital or otherwise, in respect of any shares of its capital stock;</w:t>
      </w:r>
    </w:p>
    <w:p>
      <w:pPr>
        <w:pStyle w:val="TextBody"/>
        <w:bidi w:val="0"/>
        <w:spacing w:before="280" w:after="283"/>
        <w:jc w:val="both"/>
        <w:rPr>
          <w:rFonts w:ascii="Times New Roman" w:hAnsi="Times New Roman"/>
          <w:sz w:val="24"/>
        </w:rPr>
      </w:pPr>
      <w:r>
        <w:rPr>
          <w:rFonts w:ascii="Times New Roman" w:hAnsi="Times New Roman"/>
          <w:color w:val="000000"/>
          <w:sz w:val="24"/>
        </w:rPr>
        <w:t>(which dividends, distributions, purchases and retirements are hereinafter referred to as “</w:t>
      </w:r>
      <w:r>
        <w:rPr>
          <w:rFonts w:ascii="Times New Roman" w:hAnsi="Times New Roman"/>
          <w:i/>
          <w:color w:val="000000"/>
          <w:sz w:val="24"/>
        </w:rPr>
        <w:t>distributions”</w:t>
      </w:r>
      <w:r>
        <w:rPr>
          <w:rFonts w:ascii="Times New Roman" w:hAnsi="Times New Roman"/>
          <w:color w:val="000000"/>
          <w:sz w:val="24"/>
        </w:rPr>
        <w:t xml:space="preserve">) if, after giving effect to such distribution, the aggregate amount of (1) all such distributions declared, paid, made or applied subsequent to January 1, 2026, </w:t>
      </w:r>
      <w:r>
        <w:rPr>
          <w:rFonts w:ascii="Times New Roman" w:hAnsi="Times New Roman"/>
          <w:i/>
          <w:color w:val="000000"/>
          <w:sz w:val="24"/>
        </w:rPr>
        <w:t>plus</w:t>
      </w:r>
      <w:r>
        <w:rPr>
          <w:rFonts w:ascii="Times New Roman" w:hAnsi="Times New Roman"/>
          <w:color w:val="000000"/>
          <w:sz w:val="24"/>
        </w:rPr>
        <w:t xml:space="preserve"> (2) all regular dividends declared on any class of Preferred Stock of the Company subsequent to January 1, 2026 and all amounts charged to retained earnings after January 1, 2026 in connection with the purchase or retirement of any shares of Preferred Stock of the Company, would exceed an amount equal to the sum of (x) 100% of the Company’s Adjusted Net Income (Deficit) accumulated subsequent to January 1, 2026, </w:t>
      </w:r>
      <w:r>
        <w:rPr>
          <w:rFonts w:ascii="Times New Roman" w:hAnsi="Times New Roman"/>
          <w:i/>
          <w:color w:val="000000"/>
          <w:sz w:val="24"/>
        </w:rPr>
        <w:t>plus</w:t>
      </w:r>
      <w:r>
        <w:rPr>
          <w:rFonts w:ascii="Times New Roman" w:hAnsi="Times New Roman"/>
          <w:color w:val="000000"/>
          <w:sz w:val="24"/>
        </w:rPr>
        <w:t xml:space="preserve"> (y) 100% of the net proceeds from any common or preferred equity issuances by the Company subsequent to January 1, 2026, </w:t>
      </w:r>
      <w:r>
        <w:rPr>
          <w:rFonts w:ascii="Times New Roman" w:hAnsi="Times New Roman"/>
          <w:i/>
          <w:color w:val="000000"/>
          <w:sz w:val="24"/>
        </w:rPr>
        <w:t>plus</w:t>
      </w:r>
      <w:r>
        <w:rPr>
          <w:rFonts w:ascii="Times New Roman" w:hAnsi="Times New Roman"/>
          <w:color w:val="000000"/>
          <w:sz w:val="24"/>
        </w:rPr>
        <w:t xml:space="preserve"> (z) $120,000,000.</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For the purposes of this </w:t>
      </w:r>
      <w:r>
        <w:rPr>
          <w:rFonts w:ascii="Times New Roman" w:hAnsi="Times New Roman"/>
          <w:b/>
          <w:color w:val="000000"/>
          <w:sz w:val="24"/>
        </w:rPr>
        <w:t>Section 10.5</w:t>
      </w:r>
      <w:r>
        <w:rPr>
          <w:rFonts w:ascii="Times New Roman" w:hAnsi="Times New Roman"/>
          <w:color w:val="000000"/>
          <w:sz w:val="24"/>
        </w:rPr>
        <w:t xml:space="preserve">, the amount of any distribution declared, paid or distributed in property shall be deemed to be the fair market value (as determined in good faith by the Board of Directors of the Company) of such property at the time of the making of the distribution in question. </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10.6. Line of Business</w:t>
      </w:r>
      <w:r>
        <w:rPr>
          <w:rFonts w:ascii="Times New Roman" w:hAnsi="Times New Roman"/>
          <w:color w:val="000000"/>
          <w:sz w:val="24"/>
        </w:rPr>
        <w:t xml:space="preserve">. The Company will not and will not permit any Subsidiary to engage in any business if, as a result, the general nature of the business, taken on a consolidated basis, which would then be engaged in by the Company and its Subsidiaries would be substantially changed from the general nature of the business engaged in by the Company and its Subsidiaries on the date of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an expansion of the Company’s or any Subsidiary’s service territory shall be deemed not to be a change from the general nature of the business engaged in by the Company and its Subsidiaries.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10.7. Economics Sanctions Regulations</w:t>
      </w:r>
      <w:r>
        <w:rPr>
          <w:rFonts w:ascii="Times New Roman" w:hAnsi="Times New Roman"/>
          <w:color w:val="000000"/>
          <w:sz w:val="24"/>
        </w:rPr>
        <w:t xml:space="preserve">. The Company will not, and will not permit any Controlled Entity to (a) become (including by virtue of being owned or controlled by a Blocked Person), own or control a Blocked Person or (b) directly or indirectly have any investment in or, to the knowledge of the Company, engage in any dealing or transaction (including any investment, dealing or transaction involving the proceeds of the Notes) with any Person if such investment, dealing or transaction (i) to the knowledge of the Company, would cause any holder to be in violation of, or subject to sanctions under, any law or regulation applicable to such holder, or (ii) is prohibited by or subject to sanctions under any U.S. Economic Sanctions Laws. </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11. Events of Default.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An “Event of Default” shall exist if any of the following conditions or events shall occur and be continuing:</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the Company defaults in the payment of any principal or Make-Whole Amount, if any, on any Note when the same becomes due and payable, whether at maturity or at a date fixed for prepayment or by declaration or otherwise;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the Company defaults in the payment of any interest on any Note for more than five Business Days after the same becomes due and payable;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(c) the Company defaults in the performance of or compliance with any term contained in any of </w:t>
      </w:r>
      <w:r>
        <w:rPr>
          <w:rFonts w:ascii="Times New Roman" w:hAnsi="Times New Roman"/>
          <w:b/>
          <w:color w:val="000000"/>
          <w:sz w:val="24"/>
        </w:rPr>
        <w:t>Sections 7.1(d)</w:t>
      </w:r>
      <w:r>
        <w:rPr>
          <w:rFonts w:ascii="Times New Roman" w:hAnsi="Times New Roman"/>
          <w:color w:val="000000"/>
          <w:sz w:val="24"/>
        </w:rPr>
        <w:t xml:space="preserve"> or </w:t>
      </w:r>
      <w:r>
        <w:rPr>
          <w:rFonts w:ascii="Times New Roman" w:hAnsi="Times New Roman"/>
          <w:b/>
          <w:color w:val="000000"/>
          <w:sz w:val="24"/>
        </w:rPr>
        <w:t>Sections 10.1</w:t>
      </w:r>
      <w:r>
        <w:rPr>
          <w:rFonts w:ascii="Times New Roman" w:hAnsi="Times New Roman"/>
          <w:color w:val="000000"/>
          <w:sz w:val="24"/>
        </w:rPr>
        <w:t xml:space="preserve">, </w:t>
      </w:r>
      <w:r>
        <w:rPr>
          <w:rFonts w:ascii="Times New Roman" w:hAnsi="Times New Roman"/>
          <w:b/>
          <w:color w:val="000000"/>
          <w:sz w:val="24"/>
        </w:rPr>
        <w:t>10.2</w:t>
      </w:r>
      <w:r>
        <w:rPr>
          <w:rFonts w:ascii="Times New Roman" w:hAnsi="Times New Roman"/>
          <w:color w:val="000000"/>
          <w:sz w:val="24"/>
        </w:rPr>
        <w:t xml:space="preserve">, </w:t>
      </w:r>
      <w:r>
        <w:rPr>
          <w:rFonts w:ascii="Times New Roman" w:hAnsi="Times New Roman"/>
          <w:b/>
          <w:color w:val="000000"/>
          <w:sz w:val="24"/>
        </w:rPr>
        <w:t>10.4</w:t>
      </w:r>
      <w:r>
        <w:rPr>
          <w:rFonts w:ascii="Times New Roman" w:hAnsi="Times New Roman"/>
          <w:color w:val="000000"/>
          <w:sz w:val="24"/>
        </w:rPr>
        <w:t xml:space="preserve">, or </w:t>
      </w:r>
      <w:r>
        <w:rPr>
          <w:rFonts w:ascii="Times New Roman" w:hAnsi="Times New Roman"/>
          <w:b/>
          <w:color w:val="000000"/>
          <w:sz w:val="24"/>
        </w:rPr>
        <w:t>10.5</w:t>
      </w:r>
      <w:r>
        <w:rPr>
          <w:rFonts w:ascii="Times New Roman" w:hAnsi="Times New Roman"/>
          <w:color w:val="000000"/>
          <w:sz w:val="24"/>
        </w:rPr>
        <w:t>;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(d) the Company defaults in the performance of or compliance with any term contained herein (other than those referred to in </w:t>
      </w:r>
      <w:r>
        <w:rPr>
          <w:rFonts w:ascii="Times New Roman" w:hAnsi="Times New Roman"/>
          <w:b/>
          <w:color w:val="000000"/>
          <w:sz w:val="24"/>
        </w:rPr>
        <w:t>Sections 11(a)</w:t>
      </w:r>
      <w:r>
        <w:rPr>
          <w:rFonts w:ascii="Times New Roman" w:hAnsi="Times New Roman"/>
          <w:color w:val="000000"/>
          <w:sz w:val="24"/>
        </w:rPr>
        <w:t xml:space="preserve">, </w:t>
      </w:r>
      <w:r>
        <w:rPr>
          <w:rFonts w:ascii="Times New Roman" w:hAnsi="Times New Roman"/>
          <w:b/>
          <w:color w:val="000000"/>
          <w:sz w:val="24"/>
        </w:rPr>
        <w:t>(b)</w:t>
      </w:r>
      <w:r>
        <w:rPr>
          <w:rFonts w:ascii="Times New Roman" w:hAnsi="Times New Roman"/>
          <w:color w:val="000000"/>
          <w:sz w:val="24"/>
        </w:rPr>
        <w:t xml:space="preserve">, and </w:t>
      </w:r>
      <w:r>
        <w:rPr>
          <w:rFonts w:ascii="Times New Roman" w:hAnsi="Times New Roman"/>
          <w:b/>
          <w:color w:val="000000"/>
          <w:sz w:val="24"/>
        </w:rPr>
        <w:t>(c)</w:t>
      </w:r>
      <w:r>
        <w:rPr>
          <w:rFonts w:ascii="Times New Roman" w:hAnsi="Times New Roman"/>
          <w:color w:val="000000"/>
          <w:sz w:val="24"/>
        </w:rPr>
        <w:t xml:space="preserve">) or, if a Guaranty Agreement is in effect, any Guarantor defaults in the performance of or compliance with any Material term of such Guaranty Agreement and, in each case, such default is not remedied within 30 days after the earlier of (i) a Responsible Officer obtaining actual knowledge of such default and (ii) the Company or any Guarantor, as applicable, receiving written notice of such default from any holder of a Note (any such written notice to be identified as a “notice of default” and to refer specifically to this </w:t>
      </w:r>
      <w:r>
        <w:rPr>
          <w:rFonts w:ascii="Times New Roman" w:hAnsi="Times New Roman"/>
          <w:b/>
          <w:color w:val="000000"/>
          <w:sz w:val="24"/>
        </w:rPr>
        <w:t>Section 11(d)</w:t>
      </w:r>
      <w:r>
        <w:rPr>
          <w:rFonts w:ascii="Times New Roman" w:hAnsi="Times New Roman"/>
          <w:color w:val="000000"/>
          <w:sz w:val="24"/>
        </w:rPr>
        <w:t>);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 any representation or warranty made in writing by the Company or a Guarantor, if any, or by any officer of the Company or such Guarantor in this Agreement or in the Guaranty Agreement, as applicable, or in any writing furnished in connection with the transactions contemplated hereby or thereby proves to have been false or incorrect in any material respect on the date as of which made;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(f) (i) the Company or any Subsidiary is in default (as principal or as guarantor or other surety) in the payment of any principal of or premium or make-whole amount or interest on any Indebtedness that is outstanding in an aggregate principal amount of at least $10,000,000 beyond any period of grace provided with respect thereto, or (ii) the Company or any Subsidiary is in default in the performance of or compliance with any term of any evidence of any Indebtedness in an aggregate outstanding principal amount of at least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$10,000,000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to convert such Indebtedness into equity interests), (x) the Company or any Subsidiary has become obligated to purchase or repay Indebtedness before its regular maturity or before its regularly scheduled dates of payment in an aggregate outstanding principal amount of at least $10,000,000, or (y) one or more Persons have the right to require the Company or any Subsidiary so to purchase or repay such Indebtedness;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(g) the Company or any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(h) a court or other Governmental Authority of competent jurisdiction enters an order appointing, without consent by the Company or any of its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Subsidiaries, or any such petition shall be filed against the Company or any of its Subsidiaries and such petition shall not be dismissed within 60 days;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a final judgment or judgments for the payment of money aggregating in excess of $15,000,000 (in excess of insurance available therefor), including, without limitation, any such final order enforcing a binding arbitration decision are rendered against one or more of the Company and its Subsidiaries and which judgments are not, within 60 days after entry thereof, bonded, discharged or stayed pending appeal, or are not discharged within 60 days after the expiration of such stay;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(j) if a Guaranty Agreement is in effect, such Guaranty Agreement ceases to be a legally valid, binding and enforceable obligation or contract of any Guarantor, or any Guarantor or any party by, through or on account of any such Guarantor, challenges the validity, binding nature or enforceability of a Guaranty Agreement and, within 10 days after the Company receives notice thereof from any holder of a Note that refers specifically to such challenge and this </w:t>
      </w:r>
      <w:r>
        <w:rPr>
          <w:rFonts w:ascii="Times New Roman" w:hAnsi="Times New Roman"/>
          <w:b/>
          <w:color w:val="000000"/>
          <w:sz w:val="24"/>
        </w:rPr>
        <w:t>Section 11(j)</w:t>
      </w:r>
      <w:r>
        <w:rPr>
          <w:rFonts w:ascii="Times New Roman" w:hAnsi="Times New Roman"/>
          <w:color w:val="000000"/>
          <w:sz w:val="24"/>
        </w:rPr>
        <w:t>, does not withdraw such challenge.</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12. Remedies on Default, Etc.</w:t>
      </w:r>
    </w:p>
    <w:p>
      <w:pPr>
        <w:pStyle w:val="TextBody"/>
        <w:bidi w:val="0"/>
        <w:spacing w:before="280" w:after="283"/>
        <w:jc w:val="both"/>
        <w:rPr>
          <w:rFonts w:ascii="Times New Roman" w:hAnsi="Times New Roman"/>
          <w:sz w:val="24"/>
        </w:rPr>
      </w:pPr>
      <w:r>
        <w:rPr>
          <w:rFonts w:ascii="Times New Roman" w:hAnsi="Times New Roman"/>
          <w:i/>
          <w:color w:val="000000"/>
          <w:sz w:val="24"/>
        </w:rPr>
        <w:t>Section 12.1. Acceleration</w:t>
      </w:r>
      <w:r>
        <w:rPr>
          <w:rFonts w:ascii="Times New Roman" w:hAnsi="Times New Roman"/>
          <w:color w:val="000000"/>
          <w:sz w:val="24"/>
        </w:rPr>
        <w:t xml:space="preserve">. (a) If an Event of Default with respect to the Company described in </w:t>
      </w:r>
      <w:r>
        <w:rPr>
          <w:rFonts w:ascii="Times New Roman" w:hAnsi="Times New Roman"/>
          <w:b/>
          <w:color w:val="000000"/>
          <w:sz w:val="24"/>
        </w:rPr>
        <w:t>Section 11(g)</w:t>
      </w:r>
      <w:r>
        <w:rPr>
          <w:rFonts w:ascii="Times New Roman" w:hAnsi="Times New Roman"/>
          <w:color w:val="000000"/>
          <w:sz w:val="24"/>
        </w:rPr>
        <w:t xml:space="preserve"> or </w:t>
      </w:r>
      <w:r>
        <w:rPr>
          <w:rFonts w:ascii="Times New Roman" w:hAnsi="Times New Roman"/>
          <w:b/>
          <w:color w:val="000000"/>
          <w:sz w:val="24"/>
        </w:rPr>
        <w:t>(h)</w:t>
      </w:r>
      <w:r>
        <w:rPr>
          <w:rFonts w:ascii="Times New Roman" w:hAnsi="Times New Roman"/>
          <w:color w:val="000000"/>
          <w:sz w:val="24"/>
        </w:rPr>
        <w:t xml:space="preserve"> (other than an Event of Default described in </w:t>
      </w:r>
      <w:r>
        <w:rPr>
          <w:rFonts w:ascii="Times New Roman" w:hAnsi="Times New Roman"/>
          <w:b/>
          <w:color w:val="000000"/>
          <w:sz w:val="24"/>
        </w:rPr>
        <w:t>clause (i)</w:t>
      </w:r>
      <w:r>
        <w:rPr>
          <w:rFonts w:ascii="Times New Roman" w:hAnsi="Times New Roman"/>
          <w:color w:val="000000"/>
          <w:sz w:val="24"/>
        </w:rPr>
        <w:t xml:space="preserve"> of </w:t>
      </w:r>
      <w:r>
        <w:rPr>
          <w:rFonts w:ascii="Times New Roman" w:hAnsi="Times New Roman"/>
          <w:b/>
          <w:color w:val="000000"/>
          <w:sz w:val="24"/>
        </w:rPr>
        <w:t>Section 11(g)</w:t>
      </w:r>
      <w:r>
        <w:rPr>
          <w:rFonts w:ascii="Times New Roman" w:hAnsi="Times New Roman"/>
          <w:color w:val="000000"/>
          <w:sz w:val="24"/>
        </w:rPr>
        <w:t xml:space="preserve"> or described in </w:t>
      </w:r>
      <w:r>
        <w:rPr>
          <w:rFonts w:ascii="Times New Roman" w:hAnsi="Times New Roman"/>
          <w:b/>
          <w:color w:val="000000"/>
          <w:sz w:val="24"/>
        </w:rPr>
        <w:t>clause (vi)</w:t>
      </w:r>
      <w:r>
        <w:rPr>
          <w:rFonts w:ascii="Times New Roman" w:hAnsi="Times New Roman"/>
          <w:color w:val="000000"/>
          <w:sz w:val="24"/>
        </w:rPr>
        <w:t xml:space="preserve"> of </w:t>
      </w:r>
      <w:r>
        <w:rPr>
          <w:rFonts w:ascii="Times New Roman" w:hAnsi="Times New Roman"/>
          <w:b/>
          <w:color w:val="000000"/>
          <w:sz w:val="24"/>
        </w:rPr>
        <w:t xml:space="preserve">Section 11(g) </w:t>
      </w:r>
      <w:r>
        <w:rPr>
          <w:rFonts w:ascii="Times New Roman" w:hAnsi="Times New Roman"/>
          <w:color w:val="000000"/>
          <w:sz w:val="24"/>
        </w:rPr>
        <w:t xml:space="preserve">by virtue of the fact that such clause encompasses </w:t>
      </w:r>
      <w:r>
        <w:rPr>
          <w:rFonts w:ascii="Times New Roman" w:hAnsi="Times New Roman"/>
          <w:b/>
          <w:color w:val="000000"/>
          <w:sz w:val="24"/>
        </w:rPr>
        <w:t>clause (i)</w:t>
      </w:r>
      <w:r>
        <w:rPr>
          <w:rFonts w:ascii="Times New Roman" w:hAnsi="Times New Roman"/>
          <w:color w:val="000000"/>
          <w:sz w:val="24"/>
        </w:rPr>
        <w:t xml:space="preserve"> of </w:t>
      </w:r>
      <w:r>
        <w:rPr>
          <w:rFonts w:ascii="Times New Roman" w:hAnsi="Times New Roman"/>
          <w:b/>
          <w:color w:val="000000"/>
          <w:sz w:val="24"/>
        </w:rPr>
        <w:t>Section 11(g))</w:t>
      </w:r>
      <w:r>
        <w:rPr>
          <w:rFonts w:ascii="Times New Roman" w:hAnsi="Times New Roman"/>
          <w:color w:val="000000"/>
          <w:sz w:val="24"/>
        </w:rPr>
        <w:t xml:space="preserve"> has occurred, all the Notes then outstanding shall automatically become immediately due and payable.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If any other Event of Default has occurred and is continuing, any holder or holders of at least 66 2/3% in principal amount of the Notes at the time outstanding may at any time at its or their option, by notice or notices to the Company, declare all the Notes then outstanding to be immediately due and payable.</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 If any Event of Default described in </w:t>
      </w:r>
      <w:r>
        <w:rPr>
          <w:rFonts w:ascii="Times New Roman" w:hAnsi="Times New Roman"/>
          <w:b/>
          <w:color w:val="000000"/>
          <w:sz w:val="24"/>
        </w:rPr>
        <w:t>Section 11(a)</w:t>
      </w:r>
      <w:r>
        <w:rPr>
          <w:rFonts w:ascii="Times New Roman" w:hAnsi="Times New Roman"/>
          <w:color w:val="000000"/>
          <w:sz w:val="24"/>
        </w:rPr>
        <w:t xml:space="preserve"> or </w:t>
      </w:r>
      <w:r>
        <w:rPr>
          <w:rFonts w:ascii="Times New Roman" w:hAnsi="Times New Roman"/>
          <w:b/>
          <w:color w:val="000000"/>
          <w:sz w:val="24"/>
        </w:rPr>
        <w:t>(b)</w:t>
      </w:r>
      <w:r>
        <w:rPr>
          <w:rFonts w:ascii="Times New Roman" w:hAnsi="Times New Roman"/>
          <w:color w:val="000000"/>
          <w:sz w:val="24"/>
        </w:rPr>
        <w:t xml:space="preserve">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Upon any Notes becoming due and payable under this </w:t>
      </w:r>
      <w:r>
        <w:rPr>
          <w:rFonts w:ascii="Times New Roman" w:hAnsi="Times New Roman"/>
          <w:b/>
          <w:color w:val="000000"/>
          <w:sz w:val="24"/>
        </w:rPr>
        <w:t>Section 12.1</w:t>
      </w:r>
      <w:r>
        <w:rPr>
          <w:rFonts w:ascii="Times New Roman" w:hAnsi="Times New Roman"/>
          <w:color w:val="000000"/>
          <w:sz w:val="24"/>
        </w:rPr>
        <w:t xml:space="preserve">, whether automatically or by declaration, such Notes will forthwith mature and the entire unpaid principal amount of such Notes, </w:t>
      </w:r>
      <w:r>
        <w:rPr>
          <w:rFonts w:ascii="Times New Roman" w:hAnsi="Times New Roman"/>
          <w:i/>
          <w:color w:val="000000"/>
          <w:sz w:val="24"/>
        </w:rPr>
        <w:t>plus</w:t>
      </w:r>
      <w:r>
        <w:rPr>
          <w:rFonts w:ascii="Times New Roman" w:hAnsi="Times New Roman"/>
          <w:color w:val="000000"/>
          <w:sz w:val="24"/>
        </w:rPr>
        <w:t xml:space="preserve"> (x) all accrued and unpaid interest thereon (including, but not limited to, interest accrued thereon at the Default Rate) and (y) the Make-Whole Amount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12.2. Other Remedies</w:t>
      </w:r>
      <w:r>
        <w:rPr>
          <w:rFonts w:ascii="Times New Roman" w:hAnsi="Times New Roman"/>
          <w:color w:val="000000"/>
          <w:sz w:val="24"/>
        </w:rPr>
        <w:t xml:space="preserve">. If any Default or Event of Default has occurred and is continuing, and irrespective of whether any Notes have become or have been declared immediately due and payable under </w:t>
      </w:r>
      <w:r>
        <w:rPr>
          <w:rFonts w:ascii="Times New Roman" w:hAnsi="Times New Roman"/>
          <w:b/>
          <w:color w:val="000000"/>
          <w:sz w:val="24"/>
        </w:rPr>
        <w:t>Section 12.1</w:t>
      </w:r>
      <w:r>
        <w:rPr>
          <w:rFonts w:ascii="Times New Roman" w:hAnsi="Times New Roman"/>
          <w:color w:val="000000"/>
          <w:sz w:val="24"/>
        </w:rPr>
        <w:t>, the holder of any Note at the time outstanding may proceed to protect and enforce the rights of such holder by an action at law, suit in equity or other appropriate proceeding, whether for the specific performance of any agreement contained herein or in any Note or Guaranty Agreement, or for an injunction against a violation of any of the terms hereof or thereof, or in aid of the exercise of any power granted hereby or thereby or by law or otherwise.</w:t>
      </w:r>
    </w:p>
    <w:p>
      <w:pPr>
        <w:pStyle w:val="TextBody"/>
        <w:bidi w:val="0"/>
        <w:spacing w:before="280" w:after="283"/>
        <w:jc w:val="both"/>
        <w:rPr>
          <w:rFonts w:ascii="Times New Roman" w:hAnsi="Times New Roman"/>
          <w:sz w:val="24"/>
        </w:rPr>
      </w:pPr>
      <w:r>
        <w:rPr>
          <w:rFonts w:ascii="Times New Roman" w:hAnsi="Times New Roman"/>
          <w:i/>
          <w:color w:val="000000"/>
          <w:sz w:val="24"/>
        </w:rPr>
        <w:t>Section 12.3. Rescission</w:t>
      </w:r>
      <w:r>
        <w:rPr>
          <w:rFonts w:ascii="Times New Roman" w:hAnsi="Times New Roman"/>
          <w:color w:val="000000"/>
          <w:sz w:val="24"/>
        </w:rPr>
        <w:t xml:space="preserve">. At any time after any Notes have been declared due and payable pursuant to </w:t>
      </w:r>
      <w:r>
        <w:rPr>
          <w:rFonts w:ascii="Times New Roman" w:hAnsi="Times New Roman"/>
          <w:b/>
          <w:color w:val="000000"/>
          <w:sz w:val="24"/>
        </w:rPr>
        <w:t>Section 12.1(b)</w:t>
      </w:r>
      <w:r>
        <w:rPr>
          <w:rFonts w:ascii="Times New Roman" w:hAnsi="Times New Roman"/>
          <w:color w:val="000000"/>
          <w:sz w:val="24"/>
        </w:rPr>
        <w:t xml:space="preserve"> or </w:t>
      </w:r>
      <w:r>
        <w:rPr>
          <w:rFonts w:ascii="Times New Roman" w:hAnsi="Times New Roman"/>
          <w:b/>
          <w:color w:val="000000"/>
          <w:sz w:val="24"/>
        </w:rPr>
        <w:t>(c)</w:t>
      </w:r>
      <w:r>
        <w:rPr>
          <w:rFonts w:ascii="Times New Roman" w:hAnsi="Times New Roman"/>
          <w:color w:val="000000"/>
          <w:sz w:val="24"/>
        </w:rPr>
        <w:t>, the holders of not less than 66</w:t>
        <w:noBreakHyphen/>
        <w:t xml:space="preserve">2/3% in principal amount of the Notes then outstanding,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Make-Whole Amount, if any, and (to the extent permitted by applicable law) any overdue interest in respect of the Notes, at the Default Rate, (b) all Events of Default and Defaults, other than non-payment of amounts that have become due solely by reason of such declaration, have been cured or have been waived pursuant to </w:t>
      </w:r>
      <w:r>
        <w:rPr>
          <w:rFonts w:ascii="Times New Roman" w:hAnsi="Times New Roman"/>
          <w:b/>
          <w:color w:val="000000"/>
          <w:sz w:val="24"/>
        </w:rPr>
        <w:t>Section 17</w:t>
      </w:r>
      <w:r>
        <w:rPr>
          <w:rFonts w:ascii="Times New Roman" w:hAnsi="Times New Roman"/>
          <w:color w:val="000000"/>
          <w:sz w:val="24"/>
        </w:rPr>
        <w:t xml:space="preserve">, and (c) no judgment or decree has been entered for the payment of any monies due pursuant hereto or to the Notes. No rescission and annulment under this </w:t>
      </w:r>
      <w:r>
        <w:rPr>
          <w:rFonts w:ascii="Times New Roman" w:hAnsi="Times New Roman"/>
          <w:b/>
          <w:color w:val="000000"/>
          <w:sz w:val="24"/>
        </w:rPr>
        <w:t>Section 12.3</w:t>
      </w:r>
      <w:r>
        <w:rPr>
          <w:rFonts w:ascii="Times New Roman" w:hAnsi="Times New Roman"/>
          <w:color w:val="000000"/>
          <w:sz w:val="24"/>
        </w:rPr>
        <w:t xml:space="preserve"> will extend to or affect any subsequent Event of Default or Default or impair any right consequent thereon.</w:t>
      </w:r>
    </w:p>
    <w:p>
      <w:pPr>
        <w:pStyle w:val="TextBody"/>
        <w:bidi w:val="0"/>
        <w:spacing w:before="280" w:after="283"/>
        <w:jc w:val="both"/>
        <w:rPr>
          <w:rFonts w:ascii="Times New Roman" w:hAnsi="Times New Roman"/>
          <w:sz w:val="24"/>
        </w:rPr>
      </w:pPr>
      <w:r>
        <w:rPr>
          <w:rFonts w:ascii="Times New Roman" w:hAnsi="Times New Roman"/>
          <w:i/>
          <w:color w:val="000000"/>
          <w:sz w:val="24"/>
        </w:rPr>
        <w:t>Section 12.4. No Waivers or Election of Remedies, Expenses, Etc</w:t>
      </w:r>
      <w:r>
        <w:rPr>
          <w:rFonts w:ascii="Times New Roman" w:hAnsi="Times New Roman"/>
          <w:color w:val="000000"/>
          <w:sz w:val="24"/>
        </w:rPr>
        <w:t xml:space="preserve">. No course of dealing and no delay on the part of any holder of any Note in exercising any right, power or remedy shall operate as a waiver thereof or otherwise prejudice such holder’s rights, powers or remedies. No right, power or remedy conferred by this Agreement, any Guaranty Agreement or any Note upon any holder thereof shall be exclusive of any other right, power or remedy referred to herein or therein or now or hereafter available at law, in equity, by statute or otherwise. Without limiting the obligations of the Company under </w:t>
      </w:r>
      <w:r>
        <w:rPr>
          <w:rFonts w:ascii="Times New Roman" w:hAnsi="Times New Roman"/>
          <w:b/>
          <w:color w:val="000000"/>
          <w:sz w:val="24"/>
        </w:rPr>
        <w:t>Section 15</w:t>
      </w:r>
      <w:r>
        <w:rPr>
          <w:rFonts w:ascii="Times New Roman" w:hAnsi="Times New Roman"/>
          <w:color w:val="000000"/>
          <w:sz w:val="24"/>
        </w:rPr>
        <w:t xml:space="preserve">, the Company will pay to the holder of each Note on demand such further amount as shall be sufficient to cover all costs and expenses of such holder incurred in any enforcement or collection under this </w:t>
      </w:r>
      <w:r>
        <w:rPr>
          <w:rFonts w:ascii="Times New Roman" w:hAnsi="Times New Roman"/>
          <w:b/>
          <w:color w:val="000000"/>
          <w:sz w:val="24"/>
        </w:rPr>
        <w:t>Section 12</w:t>
      </w:r>
      <w:r>
        <w:rPr>
          <w:rFonts w:ascii="Times New Roman" w:hAnsi="Times New Roman"/>
          <w:color w:val="000000"/>
          <w:sz w:val="24"/>
        </w:rPr>
        <w:t>, including, without limitation, reasonable attorneys’ fees, expenses and disbursements.</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13. Registration; Exchange; Substitution of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13.1. Registration of Notes</w:t>
      </w:r>
      <w:r>
        <w:rPr>
          <w:rFonts w:ascii="Times New Roman" w:hAnsi="Times New Roman"/>
          <w:color w:val="000000"/>
          <w:sz w:val="24"/>
        </w:rPr>
        <w:t>. The Company shall keep at its principal executive office, or at such other office the address of which the Company may hereafter notify the holders of the Notes from time to time, a register for the registration and registration of 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consent, or other instrument pursuant to this Agreement.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13.2. Transfer and Exchange of Notes</w:t>
      </w:r>
      <w:r>
        <w:rPr>
          <w:rFonts w:ascii="Times New Roman" w:hAnsi="Times New Roman"/>
          <w:color w:val="000000"/>
          <w:sz w:val="24"/>
        </w:rPr>
        <w:t xml:space="preserve">. Upon surrender of any Note to the Company at the address and to the attention of the designated officer (all as specified in </w:t>
      </w:r>
      <w:r>
        <w:rPr>
          <w:rFonts w:ascii="Times New Roman" w:hAnsi="Times New Roman"/>
          <w:b/>
          <w:color w:val="000000"/>
          <w:sz w:val="24"/>
        </w:rPr>
        <w:t>Section 18(iii)</w:t>
      </w:r>
      <w:r>
        <w:rPr>
          <w:rFonts w:ascii="Times New Roman" w:hAnsi="Times New Roman"/>
          <w:color w:val="000000"/>
          <w:sz w:val="24"/>
        </w:rPr>
        <w:t xml:space="preserve">),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ten Business Days thereafter, the Company shall execute and deliver, at the Company’s expense (except as provided below), one or more new Notes (as requested by the holder thereof) in exchange therefor, in an aggregate principal amount equal to the unpaid principal amount of the surrendered Note. Each such new Note shall be payable to such Person as such holder may request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and shall be substantially in the form of the Note originally issued hereunder.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w:t>
      </w:r>
      <w:r>
        <w:rPr>
          <w:rFonts w:ascii="Times New Roman" w:hAnsi="Times New Roman"/>
          <w:b/>
          <w:color w:val="000000"/>
          <w:sz w:val="24"/>
        </w:rPr>
        <w:t>$500,000</w:t>
      </w:r>
      <w:r>
        <w:rPr>
          <w:rFonts w:ascii="Times New Roman" w:hAnsi="Times New Roman"/>
          <w:color w:val="000000"/>
          <w:sz w:val="24"/>
        </w:rPr>
        <w:t xml:space="preserve">, provided that if necessary to enable the registration of transfer by a holder of its entire holding of Notes, one Note may be in a denomination of less than </w:t>
      </w:r>
      <w:r>
        <w:rPr>
          <w:rFonts w:ascii="Times New Roman" w:hAnsi="Times New Roman"/>
          <w:b/>
          <w:color w:val="000000"/>
          <w:sz w:val="24"/>
        </w:rPr>
        <w:t>$500,000</w:t>
      </w:r>
      <w:r>
        <w:rPr>
          <w:rFonts w:ascii="Times New Roman" w:hAnsi="Times New Roman"/>
          <w:color w:val="000000"/>
          <w:sz w:val="24"/>
        </w:rPr>
        <w:t xml:space="preserve">. Any transferee, by its acceptance of a Note registered in its name (or the name of its nominee), shall be deemed to have made the representation set forth in </w:t>
      </w:r>
      <w:r>
        <w:rPr>
          <w:rFonts w:ascii="Times New Roman" w:hAnsi="Times New Roman"/>
          <w:b/>
          <w:color w:val="000000"/>
          <w:sz w:val="24"/>
        </w:rPr>
        <w:t>Section 6.2</w:t>
      </w:r>
      <w:r>
        <w:rPr>
          <w:rFonts w:ascii="Times New Roman" w:hAnsi="Times New Roman"/>
          <w:color w:val="000000"/>
          <w:sz w:val="24"/>
        </w:rPr>
        <w:t xml:space="preserve"> and shall be bound by the terms of this Agreement.</w:t>
      </w:r>
    </w:p>
    <w:p>
      <w:pPr>
        <w:pStyle w:val="TextBody"/>
        <w:bidi w:val="0"/>
        <w:spacing w:before="280" w:after="283"/>
        <w:jc w:val="both"/>
        <w:rPr>
          <w:rFonts w:ascii="Times New Roman" w:hAnsi="Times New Roman"/>
          <w:sz w:val="24"/>
        </w:rPr>
      </w:pPr>
      <w:r>
        <w:rPr>
          <w:rFonts w:ascii="Times New Roman" w:hAnsi="Times New Roman"/>
          <w:i/>
          <w:color w:val="000000"/>
          <w:sz w:val="24"/>
        </w:rPr>
        <w:t>Section 13.3. Replacement of Notes</w:t>
      </w:r>
      <w:r>
        <w:rPr>
          <w:rFonts w:ascii="Times New Roman" w:hAnsi="Times New Roman"/>
          <w:color w:val="000000"/>
          <w:sz w:val="24"/>
        </w:rPr>
        <w:t xml:space="preserve">. Upon receipt by the Company at the address and to the attention of the designated officer (all as specified in </w:t>
      </w:r>
      <w:r>
        <w:rPr>
          <w:rFonts w:ascii="Times New Roman" w:hAnsi="Times New Roman"/>
          <w:b/>
          <w:color w:val="000000"/>
          <w:sz w:val="24"/>
        </w:rPr>
        <w:t>Section 18(iii)</w:t>
      </w:r>
      <w:r>
        <w:rPr>
          <w:rFonts w:ascii="Times New Roman" w:hAnsi="Times New Roman"/>
          <w:color w:val="000000"/>
          <w:sz w:val="24"/>
        </w:rPr>
        <w:t>)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in the case of loss, theft or destruction, of indemnity reasonably satisfactory to it (provided that if the holder of such Note is, or is a nominee for, an original Purchaser or another Institutional Investor that is a holder of a Note with a minimum net worth of at least $5,000,000 or a Qualified Institutional Buyer, such Person’s own unsecured agreement of indemnity shall be deemed to be satisfactory),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in the case of mutilation, upon surrender and cancellation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ten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14. Payments on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14.1. Place of Payment</w:t>
      </w:r>
      <w:r>
        <w:rPr>
          <w:rFonts w:ascii="Times New Roman" w:hAnsi="Times New Roman"/>
          <w:color w:val="000000"/>
          <w:sz w:val="24"/>
        </w:rPr>
        <w:t xml:space="preserve">. Subject to </w:t>
      </w:r>
      <w:r>
        <w:rPr>
          <w:rFonts w:ascii="Times New Roman" w:hAnsi="Times New Roman"/>
          <w:b/>
          <w:color w:val="000000"/>
          <w:sz w:val="24"/>
        </w:rPr>
        <w:t>Section 14.2</w:t>
      </w:r>
      <w:r>
        <w:rPr>
          <w:rFonts w:ascii="Times New Roman" w:hAnsi="Times New Roman"/>
          <w:color w:val="000000"/>
          <w:sz w:val="24"/>
        </w:rPr>
        <w:t>, payments of principal, Make-Whole Amount, if any, and interest becoming due and payable on the Notes shall be made in Hampton, New Hampshire, at the principal office of the Company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pStyle w:val="TextBody"/>
        <w:bidi w:val="0"/>
        <w:spacing w:before="280" w:after="283"/>
        <w:jc w:val="both"/>
        <w:rPr>
          <w:rFonts w:ascii="Times New Roman" w:hAnsi="Times New Roman"/>
          <w:sz w:val="24"/>
        </w:rPr>
      </w:pPr>
      <w:r>
        <w:rPr>
          <w:rFonts w:ascii="Times New Roman" w:hAnsi="Times New Roman"/>
          <w:i/>
          <w:color w:val="000000"/>
          <w:sz w:val="24"/>
        </w:rPr>
        <w:t>Section 14.2. Home Office Payment</w:t>
      </w:r>
      <w:r>
        <w:rPr>
          <w:rFonts w:ascii="Times New Roman" w:hAnsi="Times New Roman"/>
          <w:color w:val="000000"/>
          <w:sz w:val="24"/>
        </w:rPr>
        <w:t xml:space="preserve">. So long as any Purchaser or its nominee shall be the holder of any Note, and notwithstanding anything contained in </w:t>
      </w:r>
      <w:r>
        <w:rPr>
          <w:rFonts w:ascii="Times New Roman" w:hAnsi="Times New Roman"/>
          <w:b/>
          <w:color w:val="000000"/>
          <w:sz w:val="24"/>
        </w:rPr>
        <w:t>Section 14.1</w:t>
      </w:r>
      <w:r>
        <w:rPr>
          <w:rFonts w:ascii="Times New Roman" w:hAnsi="Times New Roman"/>
          <w:color w:val="000000"/>
          <w:sz w:val="24"/>
        </w:rPr>
        <w:t xml:space="preserve"> or in such Note to the contrary, the Company will pay all sums becoming due on such Note for principal, Make-Whole Amount, if any, interest and all other amounts becoming due hereunder by the method and at the address specified for such purpose below such Purchaser’s name in </w:t>
      </w:r>
      <w:r>
        <w:rPr>
          <w:rFonts w:ascii="Times New Roman" w:hAnsi="Times New Roman"/>
          <w:b/>
          <w:color w:val="000000"/>
          <w:sz w:val="24"/>
        </w:rPr>
        <w:t>Schedule A</w:t>
      </w:r>
      <w:r>
        <w:rPr>
          <w:rFonts w:ascii="Times New Roman" w:hAnsi="Times New Roman"/>
          <w:color w:val="000000"/>
          <w:sz w:val="24"/>
        </w:rPr>
        <w:t xml:space="preserve">, or by such other method or at such other address as such Purchaser shall have from time to time specified to the Company in writing for such purpose, without the presentation or surrender of such Note or the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w:t>
      </w:r>
      <w:r>
        <w:rPr>
          <w:rFonts w:ascii="Times New Roman" w:hAnsi="Times New Roman"/>
          <w:b/>
          <w:color w:val="000000"/>
          <w:sz w:val="24"/>
        </w:rPr>
        <w:t>Section 14.1</w:t>
      </w:r>
      <w:r>
        <w:rPr>
          <w:rFonts w:ascii="Times New Roman" w:hAnsi="Times New Roman"/>
          <w:color w:val="000000"/>
          <w:sz w:val="24"/>
        </w:rPr>
        <w:t xml:space="preserve">.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w:t>
      </w:r>
      <w:r>
        <w:rPr>
          <w:rFonts w:ascii="Times New Roman" w:hAnsi="Times New Roman"/>
          <w:b/>
          <w:color w:val="000000"/>
          <w:sz w:val="24"/>
        </w:rPr>
        <w:t>Section 13.2</w:t>
      </w:r>
      <w:r>
        <w:rPr>
          <w:rFonts w:ascii="Times New Roman" w:hAnsi="Times New Roman"/>
          <w:color w:val="000000"/>
          <w:sz w:val="24"/>
        </w:rPr>
        <w:t xml:space="preserve">. The Company will afford the benefits of this </w:t>
      </w:r>
      <w:r>
        <w:rPr>
          <w:rFonts w:ascii="Times New Roman" w:hAnsi="Times New Roman"/>
          <w:b/>
          <w:color w:val="000000"/>
          <w:sz w:val="24"/>
        </w:rPr>
        <w:t>Section 14.2</w:t>
      </w:r>
      <w:r>
        <w:rPr>
          <w:rFonts w:ascii="Times New Roman" w:hAnsi="Times New Roman"/>
          <w:color w:val="000000"/>
          <w:sz w:val="24"/>
        </w:rPr>
        <w:t xml:space="preserve"> to any Institutional Investor that is the direct or indirect transferee of any Note purchased by a Purchaser under this Agreement and that has made the same agreement relating to such Note as the Purchasers have made in this </w:t>
      </w:r>
      <w:r>
        <w:rPr>
          <w:rFonts w:ascii="Times New Roman" w:hAnsi="Times New Roman"/>
          <w:b/>
          <w:color w:val="000000"/>
          <w:sz w:val="24"/>
        </w:rPr>
        <w:t>Section 14.2</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i/>
          <w:color w:val="000000"/>
          <w:sz w:val="24"/>
        </w:rPr>
        <w:t xml:space="preserve">Section 14.3. FATCA Information. </w:t>
      </w:r>
      <w:r>
        <w:rPr>
          <w:rFonts w:ascii="Times New Roman" w:hAnsi="Times New Roman"/>
          <w:color w:val="000000"/>
          <w:sz w:val="24"/>
        </w:rPr>
        <w:t xml:space="preserve">By acceptance of any Note, the holder of such Note 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w:t>
      </w:r>
      <w:r>
        <w:rPr>
          <w:rFonts w:ascii="Times New Roman" w:hAnsi="Times New Roman"/>
          <w:b/>
          <w:color w:val="000000"/>
          <w:sz w:val="24"/>
        </w:rPr>
        <w:t>Section 14.3</w:t>
      </w:r>
      <w:r>
        <w:rPr>
          <w:rFonts w:ascii="Times New Roman" w:hAnsi="Times New Roman"/>
          <w:color w:val="000000"/>
          <w:sz w:val="24"/>
        </w:rPr>
        <w:t xml:space="preserve"> shall require any holder to provide information that is confidential or proprietary to such holder unless the Company is required to obtain such information under FATCA and, in such event, the Company shall treat any such information it receives as confidential. </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15. Expenses, Etc.</w:t>
      </w:r>
    </w:p>
    <w:p>
      <w:pPr>
        <w:pStyle w:val="TextBody"/>
        <w:bidi w:val="0"/>
        <w:spacing w:before="280" w:after="283"/>
        <w:jc w:val="both"/>
        <w:rPr>
          <w:rFonts w:ascii="Times New Roman" w:hAnsi="Times New Roman"/>
          <w:sz w:val="24"/>
        </w:rPr>
      </w:pPr>
      <w:r>
        <w:rPr>
          <w:rFonts w:ascii="Times New Roman" w:hAnsi="Times New Roman"/>
          <w:i/>
          <w:color w:val="000000"/>
          <w:sz w:val="24"/>
        </w:rPr>
        <w:t>Section 15.1. Transaction Expenses.</w:t>
      </w:r>
      <w:r>
        <w:rPr>
          <w:rFonts w:ascii="Times New Roman" w:hAnsi="Times New Roman"/>
          <w:color w:val="000000"/>
          <w:sz w:val="24"/>
        </w:rPr>
        <w:t xml:space="preserve"> Whether or not the transactions contemplated hereby are consummated, the Company will pay all reasonable costs and expenses (including reasonable attorneys’ fees of a special counsel and, if reasonably required by the Required Holders, local or other counsel) incurred by the Purchasers and each other holder of a Note in connection with such transactions and in connection with any amendments, waivers or consents under or in respect of this Agreement, any Guaranty Agreement or the Notes (whether or not such amendment, waiver or consent becomes effective), including, without limitation: (a) the costs and expenses incurred in enforcing or defending (or determining whether or how to enforce or defend) any rights under this Agreement, any Guaranty Agreement or the Notes or in responding to any subpoena or other legal process or informal investigative demand issued in connection with this Agreement, any Guaranty Agreement or the Notes,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any Guaranty Agreement; and (c)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the costs and expenses incurred in connection with the initial filing of this Agreement and all related documents and financial information with the SVO </w:t>
      </w:r>
      <w:r>
        <w:rPr>
          <w:rFonts w:ascii="Times New Roman" w:hAnsi="Times New Roman"/>
          <w:i/>
          <w:color w:val="000000"/>
          <w:sz w:val="24"/>
        </w:rPr>
        <w:t>provided,</w:t>
      </w:r>
      <w:r>
        <w:rPr>
          <w:rFonts w:ascii="Times New Roman" w:hAnsi="Times New Roman"/>
          <w:color w:val="000000"/>
          <w:sz w:val="24"/>
        </w:rPr>
        <w:t xml:space="preserve"> that such costs and expenses under this clause (c) shall not exceed $5,000. If required by the NAIC, the Company shall obtain and maintain at its own cost and expense a Legal Entity Identifier (LEI). </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and (ii) any judgment, liability, claim, order, decree, fine, penalty, cost, fee, expense (including reasonable attorneys’ fees and expenses) or obligation resulting from the consummation of the transactions contemplated hereby, including the use of the proceeds of the Notes by the Company, due to (a) any failure of any representation or warranty of the Company in this Agreement to be true and correct in all material respects on the date as of which made and at the time of the Closing (except, in each case, to the extent any representation or warranty expressly relates to a different date, in which case as of such different date) or (b) any failure by the Company to perform or comply in all material respects with any covenant or agreement contained in this Agreement.</w:t>
      </w:r>
    </w:p>
    <w:p>
      <w:pPr>
        <w:pStyle w:val="TextBody"/>
        <w:bidi w:val="0"/>
        <w:spacing w:before="280" w:after="283"/>
        <w:jc w:val="both"/>
        <w:rPr>
          <w:rFonts w:ascii="Times New Roman" w:hAnsi="Times New Roman"/>
          <w:sz w:val="24"/>
        </w:rPr>
      </w:pPr>
      <w:r>
        <w:rPr>
          <w:rFonts w:ascii="Times New Roman" w:hAnsi="Times New Roman"/>
          <w:i/>
          <w:color w:val="000000"/>
          <w:sz w:val="24"/>
        </w:rPr>
        <w:t>Section 15.2. Certain Taxes.</w:t>
      </w:r>
      <w:r>
        <w:rPr>
          <w:rFonts w:ascii="Times New Roman" w:hAnsi="Times New Roman"/>
          <w:color w:val="000000"/>
          <w:sz w:val="24"/>
        </w:rPr>
        <w:t xml:space="preserve"> The Company agrees to pay all stamp, documentary or similar taxes or fees which may be payable in respect of the execution and delivery or the enforcement of this Agreement or any Guaranty Agreement or the execution and delivery (but not the transfer) or the enforcement of any of the Notes in the United States or any other jurisdiction where the Company or any Guarantor has assets or of any amendment of, or waiver or consent under or with respect to, this Agreement or any Guaranty Agreement or of any of the Notes, and to pay any value added tax due and payable in respect of reimbursement of costs and expenses by the Company pursuant to this </w:t>
      </w:r>
      <w:r>
        <w:rPr>
          <w:rFonts w:ascii="Times New Roman" w:hAnsi="Times New Roman"/>
          <w:b/>
          <w:color w:val="000000"/>
          <w:sz w:val="24"/>
        </w:rPr>
        <w:t>Section 15.2</w:t>
      </w:r>
      <w:r>
        <w:rPr>
          <w:rFonts w:ascii="Times New Roman" w:hAnsi="Times New Roman"/>
          <w:color w:val="000000"/>
          <w:sz w:val="24"/>
        </w:rPr>
        <w:t>, and will save each holder of a Note to the extent permitted by applicable law harmless against any loss or liability resulting from nonpayment or delay in payment of any such tax or fee required to be paid by the Company hereunder.</w:t>
      </w:r>
    </w:p>
    <w:p>
      <w:pPr>
        <w:pStyle w:val="TextBody"/>
        <w:bidi w:val="0"/>
        <w:spacing w:before="280" w:after="283"/>
        <w:jc w:val="both"/>
        <w:rPr>
          <w:rFonts w:ascii="Times New Roman" w:hAnsi="Times New Roman"/>
          <w:sz w:val="24"/>
        </w:rPr>
      </w:pPr>
      <w:r>
        <w:rPr>
          <w:rFonts w:ascii="Times New Roman" w:hAnsi="Times New Roman"/>
          <w:i/>
          <w:color w:val="000000"/>
          <w:sz w:val="24"/>
        </w:rPr>
        <w:t>Section 15.3. Tax Withholding</w:t>
      </w:r>
      <w:r>
        <w:rPr>
          <w:rFonts w:ascii="Times New Roman" w:hAnsi="Times New Roman"/>
          <w:color w:val="000000"/>
          <w:sz w:val="24"/>
        </w:rPr>
        <w:t>. Except as otherwise required by applicable law, the Company agrees that it will not withhold from any applicable payment to be made to a holder of a Note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(or any successor form), as applicable, as well as the applicable “</w:t>
      </w:r>
      <w:r>
        <w:rPr>
          <w:rFonts w:ascii="Times New Roman" w:hAnsi="Times New Roman"/>
          <w:i/>
          <w:color w:val="000000"/>
          <w:sz w:val="24"/>
        </w:rPr>
        <w:t>U.S. Tax Compliance Certificate”</w:t>
      </w:r>
      <w:r>
        <w:rPr>
          <w:rFonts w:ascii="Times New Roman" w:hAnsi="Times New Roman"/>
          <w:color w:val="000000"/>
          <w:sz w:val="24"/>
        </w:rPr>
        <w:t xml:space="preserve"> substantially in the form attached as </w:t>
      </w:r>
      <w:r>
        <w:rPr>
          <w:rFonts w:ascii="Times New Roman" w:hAnsi="Times New Roman"/>
          <w:b/>
          <w:color w:val="000000"/>
          <w:sz w:val="24"/>
        </w:rPr>
        <w:t>Exhibit 15.3</w:t>
      </w:r>
      <w:r>
        <w:rPr>
          <w:rFonts w:ascii="Times New Roman" w:hAnsi="Times New Roman"/>
          <w:color w:val="000000"/>
          <w:sz w:val="24"/>
        </w:rPr>
        <w:t>, in both cases correctly completed and executed and validly claiming a complete exemption from U.S. federal withholding tax.</w:t>
      </w:r>
    </w:p>
    <w:p>
      <w:pPr>
        <w:pStyle w:val="TextBody"/>
        <w:bidi w:val="0"/>
        <w:spacing w:before="280" w:after="283"/>
        <w:jc w:val="both"/>
        <w:rPr>
          <w:rFonts w:ascii="Times New Roman" w:hAnsi="Times New Roman"/>
          <w:sz w:val="24"/>
        </w:rPr>
      </w:pPr>
      <w:r>
        <w:rPr>
          <w:rFonts w:ascii="Times New Roman" w:hAnsi="Times New Roman"/>
          <w:i/>
          <w:color w:val="000000"/>
          <w:sz w:val="24"/>
        </w:rPr>
        <w:t>Section 15.4. Survival.</w:t>
      </w:r>
      <w:r>
        <w:rPr>
          <w:rFonts w:ascii="Times New Roman" w:hAnsi="Times New Roman"/>
          <w:color w:val="000000"/>
          <w:sz w:val="24"/>
        </w:rPr>
        <w:t xml:space="preserve"> The obligations of the Company under this </w:t>
      </w:r>
      <w:r>
        <w:rPr>
          <w:rFonts w:ascii="Times New Roman" w:hAnsi="Times New Roman"/>
          <w:b/>
          <w:color w:val="000000"/>
          <w:sz w:val="24"/>
        </w:rPr>
        <w:t>Section 15.4</w:t>
      </w:r>
      <w:r>
        <w:rPr>
          <w:rFonts w:ascii="Times New Roman" w:hAnsi="Times New Roman"/>
          <w:color w:val="000000"/>
          <w:sz w:val="24"/>
        </w:rPr>
        <w:t xml:space="preserve"> will survive the payment or transfer of any Note, the enforcement, amendment or waiver of any provision of this Agreement, any Guaranty Agreement or the Notes, and the termination of this Agreement.</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16. Survival of Representations and Warranties; Entire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shall be deemed representations and warranties of the Company as of the date of such statements under this Agreement. Subject to the preceding sentence, this Agreement, the Notes and any Guaranty Agreement embody the entire agreement and understanding between each Purchaser and the Company and supersede all prior agreements and understandings relating to the subject matter hereof.</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17. Amendment and Waiver.</w:t>
      </w:r>
    </w:p>
    <w:p>
      <w:pPr>
        <w:pStyle w:val="TextBody"/>
        <w:bidi w:val="0"/>
        <w:spacing w:before="280" w:after="283"/>
        <w:jc w:val="both"/>
        <w:rPr>
          <w:rFonts w:ascii="Times New Roman" w:hAnsi="Times New Roman"/>
          <w:sz w:val="24"/>
        </w:rPr>
      </w:pPr>
      <w:r>
        <w:rPr>
          <w:rFonts w:ascii="Times New Roman" w:hAnsi="Times New Roman"/>
          <w:i/>
          <w:color w:val="000000"/>
          <w:sz w:val="24"/>
        </w:rPr>
        <w:t>Section 17.1. Requirements.</w:t>
      </w:r>
      <w:r>
        <w:rPr>
          <w:rFonts w:ascii="Times New Roman" w:hAnsi="Times New Roman"/>
          <w:color w:val="000000"/>
          <w:sz w:val="24"/>
        </w:rPr>
        <w:t xml:space="preserve"> This Agreement and the Notes may be amended, and the observance of any term hereof or of the Notes may be waived (either retroactively or prospectively), with (and only with) the written consent of the Company and the Required Holders, except that (a) no amendment or waiver of any of the provisions of </w:t>
      </w:r>
      <w:r>
        <w:rPr>
          <w:rFonts w:ascii="Times New Roman" w:hAnsi="Times New Roman"/>
          <w:b/>
          <w:color w:val="000000"/>
          <w:sz w:val="24"/>
        </w:rPr>
        <w:t>Sections 1, 2, 3, 4, 5, 6</w:t>
      </w:r>
      <w:r>
        <w:rPr>
          <w:rFonts w:ascii="Times New Roman" w:hAnsi="Times New Roman"/>
          <w:color w:val="000000"/>
          <w:sz w:val="24"/>
        </w:rPr>
        <w:t xml:space="preserve">, or </w:t>
      </w:r>
      <w:r>
        <w:rPr>
          <w:rFonts w:ascii="Times New Roman" w:hAnsi="Times New Roman"/>
          <w:b/>
          <w:color w:val="000000"/>
          <w:sz w:val="24"/>
        </w:rPr>
        <w:t>21</w:t>
      </w:r>
      <w:r>
        <w:rPr>
          <w:rFonts w:ascii="Times New Roman" w:hAnsi="Times New Roman"/>
          <w:color w:val="000000"/>
          <w:sz w:val="24"/>
        </w:rPr>
        <w:t xml:space="preserve"> hereof, or any defined term (as it is used therein), will be effective as to any Purchaser unless consented to by such Purchaser in writing, and (b) no amendment or waiver may, without the written consent of each holder of each Note at the time outstanding, (i) subject to </w:t>
      </w:r>
      <w:r>
        <w:rPr>
          <w:rFonts w:ascii="Times New Roman" w:hAnsi="Times New Roman"/>
          <w:b/>
          <w:color w:val="000000"/>
          <w:sz w:val="24"/>
        </w:rPr>
        <w:t>Section 12</w:t>
      </w:r>
      <w:r>
        <w:rPr>
          <w:rFonts w:ascii="Times New Roman" w:hAnsi="Times New Roman"/>
          <w:color w:val="000000"/>
          <w:sz w:val="24"/>
        </w:rPr>
        <w:t xml:space="preserve"> relating to acceleration or rescission, change the amount or time of any prepayment or payment of principal of, or reduce the rate or change the time of payment or method of computation of (x) interest on the Notes or (y) the Make</w:t>
        <w:noBreakHyphen/>
        <w:t xml:space="preserve">Whole Amount, (ii) change the percentage of the principal amount of the Notes the holders of which are required to consent to any amendment or waiver or the principal amount of the Notes that the Purchasers are to purchase pursuant to </w:t>
      </w:r>
      <w:r>
        <w:rPr>
          <w:rFonts w:ascii="Times New Roman" w:hAnsi="Times New Roman"/>
          <w:b/>
          <w:color w:val="000000"/>
          <w:sz w:val="24"/>
        </w:rPr>
        <w:t>Section 2</w:t>
      </w:r>
      <w:r>
        <w:rPr>
          <w:rFonts w:ascii="Times New Roman" w:hAnsi="Times New Roman"/>
          <w:color w:val="000000"/>
          <w:sz w:val="24"/>
        </w:rPr>
        <w:t xml:space="preserve"> upon the satisfaction of the conditions to Closing that appear in </w:t>
      </w:r>
      <w:r>
        <w:rPr>
          <w:rFonts w:ascii="Times New Roman" w:hAnsi="Times New Roman"/>
          <w:b/>
          <w:color w:val="000000"/>
          <w:sz w:val="24"/>
        </w:rPr>
        <w:t>Section 4</w:t>
      </w:r>
      <w:r>
        <w:rPr>
          <w:rFonts w:ascii="Times New Roman" w:hAnsi="Times New Roman"/>
          <w:color w:val="000000"/>
          <w:sz w:val="24"/>
        </w:rPr>
        <w:t xml:space="preserve">, or (iii) amend any of </w:t>
      </w:r>
      <w:r>
        <w:rPr>
          <w:rFonts w:ascii="Times New Roman" w:hAnsi="Times New Roman"/>
          <w:b/>
          <w:color w:val="000000"/>
          <w:sz w:val="24"/>
        </w:rPr>
        <w:t>Sections 8</w:t>
      </w:r>
      <w:r>
        <w:rPr>
          <w:rFonts w:ascii="Times New Roman" w:hAnsi="Times New Roman"/>
          <w:color w:val="000000"/>
          <w:sz w:val="24"/>
        </w:rPr>
        <w:t xml:space="preserve"> (except as set forth in the second sentence of </w:t>
      </w:r>
      <w:r>
        <w:rPr>
          <w:rFonts w:ascii="Times New Roman" w:hAnsi="Times New Roman"/>
          <w:b/>
          <w:color w:val="000000"/>
          <w:sz w:val="24"/>
        </w:rPr>
        <w:t>Section 8.2</w:t>
      </w:r>
      <w:r>
        <w:rPr>
          <w:rFonts w:ascii="Times New Roman" w:hAnsi="Times New Roman"/>
          <w:color w:val="000000"/>
          <w:sz w:val="24"/>
        </w:rPr>
        <w:t xml:space="preserve">), </w:t>
      </w:r>
      <w:r>
        <w:rPr>
          <w:rFonts w:ascii="Times New Roman" w:hAnsi="Times New Roman"/>
          <w:b/>
          <w:color w:val="000000"/>
          <w:sz w:val="24"/>
        </w:rPr>
        <w:t>11(a)</w:t>
      </w:r>
      <w:r>
        <w:rPr>
          <w:rFonts w:ascii="Times New Roman" w:hAnsi="Times New Roman"/>
          <w:color w:val="000000"/>
          <w:sz w:val="24"/>
        </w:rPr>
        <w:t xml:space="preserve">, </w:t>
      </w:r>
      <w:r>
        <w:rPr>
          <w:rFonts w:ascii="Times New Roman" w:hAnsi="Times New Roman"/>
          <w:b/>
          <w:color w:val="000000"/>
          <w:sz w:val="24"/>
        </w:rPr>
        <w:t>11(b)</w:t>
      </w:r>
      <w:r>
        <w:rPr>
          <w:rFonts w:ascii="Times New Roman" w:hAnsi="Times New Roman"/>
          <w:color w:val="000000"/>
          <w:sz w:val="24"/>
        </w:rPr>
        <w:t xml:space="preserve">, </w:t>
      </w:r>
      <w:r>
        <w:rPr>
          <w:rFonts w:ascii="Times New Roman" w:hAnsi="Times New Roman"/>
          <w:b/>
          <w:color w:val="000000"/>
          <w:sz w:val="24"/>
        </w:rPr>
        <w:t>12</w:t>
      </w:r>
      <w:r>
        <w:rPr>
          <w:rFonts w:ascii="Times New Roman" w:hAnsi="Times New Roman"/>
          <w:color w:val="000000"/>
          <w:sz w:val="24"/>
        </w:rPr>
        <w:t xml:space="preserve">, </w:t>
      </w:r>
      <w:r>
        <w:rPr>
          <w:rFonts w:ascii="Times New Roman" w:hAnsi="Times New Roman"/>
          <w:b/>
          <w:color w:val="000000"/>
          <w:sz w:val="24"/>
        </w:rPr>
        <w:t>17</w:t>
      </w:r>
      <w:r>
        <w:rPr>
          <w:rFonts w:ascii="Times New Roman" w:hAnsi="Times New Roman"/>
          <w:color w:val="000000"/>
          <w:sz w:val="24"/>
        </w:rPr>
        <w:t xml:space="preserve">, or </w:t>
      </w:r>
      <w:r>
        <w:rPr>
          <w:rFonts w:ascii="Times New Roman" w:hAnsi="Times New Roman"/>
          <w:b/>
          <w:smallCaps/>
          <w:color w:val="000000"/>
          <w:sz w:val="24"/>
        </w:rPr>
        <w:t>20</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i/>
          <w:color w:val="000000"/>
          <w:sz w:val="24"/>
        </w:rPr>
        <w:t>Section 17.2. Solicitation of Holders of Notes</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 xml:space="preserve">Solicitation. </w:t>
      </w:r>
      <w:r>
        <w:rPr>
          <w:rFonts w:ascii="Times New Roman" w:hAnsi="Times New Roman"/>
          <w:color w:val="000000"/>
          <w:sz w:val="24"/>
        </w:rPr>
        <w:t xml:space="preserve">The Company will provide each holder of a Note (irrespective of the amount of Notes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Notes or any Guaranty Agreement. The Company will deliver executed or true and correct copies of each amendment, waiver or consent effected pursuant to this </w:t>
      </w:r>
      <w:r>
        <w:rPr>
          <w:rFonts w:ascii="Times New Roman" w:hAnsi="Times New Roman"/>
          <w:b/>
          <w:color w:val="000000"/>
          <w:sz w:val="24"/>
        </w:rPr>
        <w:t>Section 17</w:t>
      </w:r>
      <w:r>
        <w:rPr>
          <w:rFonts w:ascii="Times New Roman" w:hAnsi="Times New Roman"/>
          <w:color w:val="000000"/>
          <w:sz w:val="24"/>
        </w:rPr>
        <w:t xml:space="preserve"> or any Guaranty Agreement to each holder of a Note promptly following the date on which it is executed and delivered by, or receives the consent or approval of, the requisite holders of Notes.</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 xml:space="preserve">Payment. </w:t>
      </w:r>
      <w:r>
        <w:rPr>
          <w:rFonts w:ascii="Times New Roman" w:hAnsi="Times New Roman"/>
          <w:color w:val="000000"/>
          <w:sz w:val="24"/>
        </w:rPr>
        <w:t xml:space="preserve">The Company will not directly or indirectly pay or cause to be paid any remuneration, whether by way of supplemental or additional interest, fee or otherwise, or grant any security or provide other credit support, to any holder of a Note as consideration for or as an inducement to the entering into by such holder of any waiver or amendment of any of the terms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provisions hereof or of any Guaranty Agreement or any Note unless such remuneration is concurrently paid, or security is concurrently granted or other credit support concurrently provided, on the same terms, ratably to each holder of a Note even if such holder did not consent to such waiver or amendment.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rPr>
        <w:t>Consent in Contemplation of Transfer</w:t>
      </w:r>
      <w:r>
        <w:rPr>
          <w:rFonts w:ascii="Times New Roman" w:hAnsi="Times New Roman"/>
          <w:color w:val="000000"/>
          <w:sz w:val="24"/>
        </w:rPr>
        <w:t xml:space="preserve">. Any consent made pursuant to this </w:t>
      </w:r>
      <w:r>
        <w:rPr>
          <w:rFonts w:ascii="Times New Roman" w:hAnsi="Times New Roman"/>
          <w:b/>
          <w:color w:val="000000"/>
          <w:sz w:val="24"/>
        </w:rPr>
        <w:t>Section 17</w:t>
      </w:r>
      <w:r>
        <w:rPr>
          <w:rFonts w:ascii="Times New Roman" w:hAnsi="Times New Roman"/>
          <w:color w:val="000000"/>
          <w:sz w:val="24"/>
        </w:rPr>
        <w:t xml:space="preserve"> or any Guaranty Agreement by a holder of Notes that has transferred or has agreed to transfer its Notes to the Company, any Subsidiary or any Affiliate of the Company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pStyle w:val="TextBody"/>
        <w:bidi w:val="0"/>
        <w:spacing w:before="280" w:after="283"/>
        <w:jc w:val="both"/>
        <w:rPr>
          <w:rFonts w:ascii="Times New Roman" w:hAnsi="Times New Roman"/>
          <w:sz w:val="24"/>
        </w:rPr>
      </w:pPr>
      <w:r>
        <w:rPr>
          <w:rFonts w:ascii="Times New Roman" w:hAnsi="Times New Roman"/>
          <w:i/>
          <w:color w:val="000000"/>
          <w:sz w:val="24"/>
        </w:rPr>
        <w:t>Section 17.3. Binding Effect, etc.</w:t>
      </w:r>
      <w:r>
        <w:rPr>
          <w:rFonts w:ascii="Times New Roman" w:hAnsi="Times New Roman"/>
          <w:color w:val="000000"/>
          <w:sz w:val="24"/>
        </w:rPr>
        <w:t xml:space="preserve"> Any amendment or waiver consented to as provided in this </w:t>
      </w:r>
      <w:r>
        <w:rPr>
          <w:rFonts w:ascii="Times New Roman" w:hAnsi="Times New Roman"/>
          <w:b/>
          <w:color w:val="000000"/>
          <w:sz w:val="24"/>
        </w:rPr>
        <w:t>Section 17</w:t>
      </w:r>
      <w:r>
        <w:rPr>
          <w:rFonts w:ascii="Times New Roman" w:hAnsi="Times New Roman"/>
          <w:color w:val="000000"/>
          <w:sz w:val="24"/>
        </w:rPr>
        <w:t xml:space="preserve"> or any Guaranty Agreement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Note and no delay in exercising any rights hereunder or under any Note or Guaranty Agreement shall operate as a waiver of any rights of any holder of such Note. </w:t>
      </w:r>
    </w:p>
    <w:p>
      <w:pPr>
        <w:pStyle w:val="TextBody"/>
        <w:bidi w:val="0"/>
        <w:spacing w:before="280" w:after="283"/>
        <w:jc w:val="both"/>
        <w:rPr>
          <w:rFonts w:ascii="Times New Roman" w:hAnsi="Times New Roman"/>
          <w:sz w:val="24"/>
        </w:rPr>
      </w:pPr>
      <w:r>
        <w:rPr>
          <w:rFonts w:ascii="Times New Roman" w:hAnsi="Times New Roman"/>
          <w:i/>
          <w:color w:val="000000"/>
          <w:sz w:val="24"/>
        </w:rPr>
        <w:t xml:space="preserve">Section 17.4. Notes Held by Company, Etc. </w:t>
      </w:r>
      <w:r>
        <w:rPr>
          <w:rFonts w:ascii="Times New Roman" w:hAnsi="Times New Roman"/>
          <w:color w:val="000000"/>
          <w:sz w:val="24"/>
        </w:rPr>
        <w:t>Solely for the purpose of determining whether the holders of the requisite percentage of the aggregate principal amount of Notes then outstanding approved or consented to any amendment, waiver or consent to be given under this Agreement, any Guaranty Agreement or the Notes, or have directed the taking of any action provided herein or in any Guaranty Agreement or the Notes to be taken upon the direction of the holders of a specified percentage of the aggregate principal amount of Notes then outstanding, Notes directly or indirectly owned by the Company or any of its Affiliates shall be deemed not to be outstanding.</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18. Notices.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(i) if to any Purchaser or its nominee, to such Purchaser or nominee at the address specified for such communications in </w:t>
      </w:r>
      <w:r>
        <w:rPr>
          <w:rFonts w:ascii="Times New Roman" w:hAnsi="Times New Roman"/>
          <w:b/>
          <w:color w:val="000000"/>
          <w:sz w:val="24"/>
        </w:rPr>
        <w:t>Schedule A</w:t>
      </w:r>
      <w:r>
        <w:rPr>
          <w:rFonts w:ascii="Times New Roman" w:hAnsi="Times New Roman"/>
          <w:color w:val="000000"/>
          <w:sz w:val="24"/>
        </w:rPr>
        <w:t>, or at such other address as such Purchaser or nominee shall have specified to the Company in writing,</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if to any other holder of any Note, to such holder at such address as such other holder shall have specified to the Company in writing,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(iii) if to the Company, to the Company at its address set forth at the beginning hereof to the attention of Treasurer, or at such other address as the Company shall have specified to the holder of each Note in writing.</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Notices under this </w:t>
      </w:r>
      <w:r>
        <w:rPr>
          <w:rFonts w:ascii="Times New Roman" w:hAnsi="Times New Roman"/>
          <w:b/>
          <w:color w:val="000000"/>
          <w:sz w:val="24"/>
        </w:rPr>
        <w:t>Section 18</w:t>
      </w:r>
      <w:r>
        <w:rPr>
          <w:rFonts w:ascii="Times New Roman" w:hAnsi="Times New Roman"/>
          <w:color w:val="000000"/>
          <w:sz w:val="24"/>
        </w:rPr>
        <w:t xml:space="preserve"> will be deemed given only when actually received.</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19. Reproduction of Documents.</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This Agreement and all documents relating thereto (except the Notes themselves), including, without limitation,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Times New Roman" w:hAnsi="Times New Roman"/>
          <w:b/>
          <w:color w:val="000000"/>
          <w:sz w:val="24"/>
        </w:rPr>
        <w:t>Section 19</w:t>
      </w:r>
      <w:r>
        <w:rPr>
          <w:rFonts w:ascii="Times New Roman" w:hAnsi="Times New Roman"/>
          <w:color w:val="000000"/>
          <w:sz w:val="24"/>
        </w:rPr>
        <w:t xml:space="preserve"> shall not prohibit the Company or any other holder of Notes from contesting any such reproduction to the same extent that it could contest the original, or from introducing evidence to demonstrate the inaccuracy of any such reproduction.</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20. Confidential Information.</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For the purposes of this </w:t>
      </w:r>
      <w:r>
        <w:rPr>
          <w:rFonts w:ascii="Times New Roman" w:hAnsi="Times New Roman"/>
          <w:b/>
          <w:color w:val="000000"/>
          <w:sz w:val="24"/>
        </w:rPr>
        <w:t>Section 20</w:t>
      </w:r>
      <w:r>
        <w:rPr>
          <w:rFonts w:ascii="Times New Roman" w:hAnsi="Times New Roman"/>
          <w:color w:val="000000"/>
          <w:sz w:val="24"/>
        </w:rPr>
        <w:t xml:space="preserve">, “Confidential Information”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such Subsidiary, Unitil or Unitil’s Affiliates,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w:t>
      </w:r>
      <w:r>
        <w:rPr>
          <w:rFonts w:ascii="Times New Roman" w:hAnsi="Times New Roman"/>
          <w:b/>
          <w:color w:val="000000"/>
          <w:sz w:val="24"/>
        </w:rPr>
        <w:t>Section 7.1</w:t>
      </w:r>
      <w:r>
        <w:rPr>
          <w:rFonts w:ascii="Times New Roman" w:hAnsi="Times New Roman"/>
          <w:color w:val="000000"/>
          <w:sz w:val="24"/>
        </w:rPr>
        <w:t xml:space="preserve"> that are otherwise publicly available.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Each Purchaser will maintain the confidentiality of and not disclose such Confidential Information in accordance with procedures adopted by such Purchaser in good faith to protect confidential information of third parties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Notes) who are otherwise obligated to hold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confidential and not disclose the Confidential Information substantially in accordance with this </w:t>
      </w:r>
      <w:r>
        <w:rPr>
          <w:rFonts w:ascii="Times New Roman" w:hAnsi="Times New Roman"/>
          <w:b/>
          <w:color w:val="000000"/>
          <w:sz w:val="24"/>
        </w:rPr>
        <w:t>Section 20</w:t>
      </w:r>
      <w:r>
        <w:rPr>
          <w:rFonts w:ascii="Times New Roman" w:hAnsi="Times New Roman"/>
          <w:color w:val="000000"/>
          <w:sz w:val="24"/>
        </w:rPr>
        <w:t xml:space="preserve">, (ii) its auditors, financial advisors and other professional advisors who agree to hold confidential the Confidential Information substantially in accordance with the terms of this </w:t>
      </w:r>
      <w:r>
        <w:rPr>
          <w:rFonts w:ascii="Times New Roman" w:hAnsi="Times New Roman"/>
          <w:b/>
          <w:color w:val="000000"/>
          <w:sz w:val="24"/>
        </w:rPr>
        <w:t>Section 20</w:t>
      </w:r>
      <w:r>
        <w:rPr>
          <w:rFonts w:ascii="Times New Roman" w:hAnsi="Times New Roman"/>
          <w:color w:val="000000"/>
          <w:sz w:val="24"/>
        </w:rPr>
        <w:t xml:space="preserve">, (iii) any other holder of any Note, (iv) any Institutional Investor to which it sells or offers to sell such Note or any part thereof or any participation therein (if such Person has agreed in writing prior to its receipt of such Confidential Information to be bound by the provisions of this </w:t>
      </w:r>
      <w:r>
        <w:rPr>
          <w:rFonts w:ascii="Times New Roman" w:hAnsi="Times New Roman"/>
          <w:b/>
          <w:color w:val="000000"/>
          <w:sz w:val="24"/>
        </w:rPr>
        <w:t>Section 20</w:t>
      </w:r>
      <w:r>
        <w:rPr>
          <w:rFonts w:ascii="Times New Roman" w:hAnsi="Times New Roman"/>
          <w:color w:val="000000"/>
          <w:sz w:val="24"/>
        </w:rPr>
        <w:t xml:space="preserve">), (v) any Person from which it offers to purchase any security of the Company (if such Person has agreed in writing prior to its receipt of such Confidential Information to be bound by the provisions of this </w:t>
      </w:r>
      <w:r>
        <w:rPr>
          <w:rFonts w:ascii="Times New Roman" w:hAnsi="Times New Roman"/>
          <w:b/>
          <w:color w:val="000000"/>
          <w:sz w:val="24"/>
        </w:rPr>
        <w:t>Section 20</w:t>
      </w:r>
      <w:r>
        <w:rPr>
          <w:rFonts w:ascii="Times New Roman" w:hAnsi="Times New Roman"/>
          <w:color w:val="000000"/>
          <w:sz w:val="24"/>
        </w:rPr>
        <w:t>),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this Agreement or any Guaranty Agreement after prior written notice provided to the Company. Each Purchaser shall not use the Confidential Information except to the extent such Purchaser may reasonably determine such use to be necessary or appropriate in the enforcement or for the protection of the rights and remedies under such Purchaser’s Notes, this Agreement or any Guaranty Agreement after prior written notice provided to the Company.</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Each holder of a Note, by its acceptance of a Note, will be deemed to have agreed to be bound by and to be entitled to the benefits of this </w:t>
      </w:r>
      <w:r>
        <w:rPr>
          <w:rFonts w:ascii="Times New Roman" w:hAnsi="Times New Roman"/>
          <w:b/>
          <w:color w:val="000000"/>
          <w:sz w:val="24"/>
        </w:rPr>
        <w:t>Section 20</w:t>
      </w:r>
      <w:r>
        <w:rPr>
          <w:rFonts w:ascii="Times New Roman" w:hAnsi="Times New Roman"/>
          <w:color w:val="000000"/>
          <w:sz w:val="24"/>
        </w:rPr>
        <w:t xml:space="preserve">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Times New Roman" w:hAnsi="Times New Roman"/>
          <w:b/>
          <w:color w:val="000000"/>
          <w:sz w:val="24"/>
        </w:rPr>
        <w:t>Section 20</w:t>
      </w:r>
      <w:r>
        <w:rPr>
          <w:rFonts w:ascii="Times New Roman" w:hAnsi="Times New Roman"/>
          <w:color w:val="000000"/>
          <w:sz w:val="24"/>
        </w:rPr>
        <w:t>.</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w:t>
      </w:r>
      <w:r>
        <w:rPr>
          <w:rFonts w:ascii="Times New Roman" w:hAnsi="Times New Roman"/>
          <w:b/>
          <w:color w:val="000000"/>
          <w:sz w:val="24"/>
        </w:rPr>
        <w:t>Section 20</w:t>
      </w:r>
      <w:r>
        <w:rPr>
          <w:rFonts w:ascii="Times New Roman" w:hAnsi="Times New Roman"/>
          <w:color w:val="000000"/>
          <w:sz w:val="24"/>
        </w:rPr>
        <w:t xml:space="preserve">, this </w:t>
      </w:r>
      <w:r>
        <w:rPr>
          <w:rFonts w:ascii="Times New Roman" w:hAnsi="Times New Roman"/>
          <w:b/>
          <w:color w:val="000000"/>
          <w:sz w:val="24"/>
        </w:rPr>
        <w:t>Section 20</w:t>
      </w:r>
      <w:r>
        <w:rPr>
          <w:rFonts w:ascii="Times New Roman" w:hAnsi="Times New Roman"/>
          <w:color w:val="000000"/>
          <w:sz w:val="24"/>
        </w:rPr>
        <w:t xml:space="preserve"> shall not be amended thereby and, as between such Purchaser or such holder and the Company, this </w:t>
      </w:r>
      <w:r>
        <w:rPr>
          <w:rFonts w:ascii="Times New Roman" w:hAnsi="Times New Roman"/>
          <w:b/>
          <w:color w:val="000000"/>
          <w:sz w:val="24"/>
        </w:rPr>
        <w:t>Section 20</w:t>
      </w:r>
      <w:r>
        <w:rPr>
          <w:rFonts w:ascii="Times New Roman" w:hAnsi="Times New Roman"/>
          <w:color w:val="000000"/>
          <w:sz w:val="24"/>
        </w:rPr>
        <w:t xml:space="preserve"> shall supersede any such other confidentiality undertaking.</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21. Substitution of Purchaser.</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Each Purchaser shall have the right to substitute any one of its Affiliates as the purchaser of the Notes that it has agreed to purchase hereunder, by written notice to the Company, which notice shall be signed by both such Purchaser and such Affiliate, shall contain such Affiliate’s agreement to be bound by this Agreement and shall contain a confirmation by such Affiliate of the accuracy with respect to it of the representations set forth in </w:t>
      </w:r>
      <w:r>
        <w:rPr>
          <w:rFonts w:ascii="Times New Roman" w:hAnsi="Times New Roman"/>
          <w:b/>
          <w:color w:val="000000"/>
          <w:sz w:val="24"/>
        </w:rPr>
        <w:t>Section 6</w:t>
      </w:r>
      <w:r>
        <w:rPr>
          <w:rFonts w:ascii="Times New Roman" w:hAnsi="Times New Roman"/>
          <w:color w:val="000000"/>
          <w:sz w:val="24"/>
        </w:rPr>
        <w:t xml:space="preserve">. Upon receipt of such notice, any reference to such Purchaser in this Agreement (other than in this </w:t>
      </w:r>
      <w:r>
        <w:rPr>
          <w:rFonts w:ascii="Times New Roman" w:hAnsi="Times New Roman"/>
          <w:b/>
          <w:color w:val="000000"/>
          <w:sz w:val="24"/>
        </w:rPr>
        <w:t>Section 21</w:t>
      </w:r>
      <w:r>
        <w:rPr>
          <w:rFonts w:ascii="Times New Roman" w:hAnsi="Times New Roman"/>
          <w:color w:val="000000"/>
          <w:sz w:val="24"/>
        </w:rPr>
        <w:t xml:space="preserve">), shall be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deemed to refer to such Affiliate in lieu of such original Purchaser. In the event that such Affiliate is so substituted as a Purchaser hereunder and such Affiliate thereafter transfers to such original Purchaser all of the Notes then held by such Affiliate, upon receipt by the Company of notice of such transfer, any reference to such Affiliate as a “Purchaser” in this Agreement (other than in this </w:t>
      </w:r>
      <w:r>
        <w:rPr>
          <w:rFonts w:ascii="Times New Roman" w:hAnsi="Times New Roman"/>
          <w:b/>
          <w:color w:val="000000"/>
          <w:sz w:val="24"/>
        </w:rPr>
        <w:t>Section 21</w:t>
      </w:r>
      <w:r>
        <w:rPr>
          <w:rFonts w:ascii="Times New Roman" w:hAnsi="Times New Roman"/>
          <w:color w:val="000000"/>
          <w:sz w:val="24"/>
        </w:rPr>
        <w:t>), shall no longer be deemed to refer to such Affiliate, but shall refer to such original Purchaser, and such original Purchaser shall again have all the rights of an original holder of the Notes under this Agreement.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22. Miscellaneous.</w:t>
      </w:r>
    </w:p>
    <w:p>
      <w:pPr>
        <w:pStyle w:val="TextBody"/>
        <w:bidi w:val="0"/>
        <w:spacing w:before="280" w:after="283"/>
        <w:jc w:val="both"/>
        <w:rPr>
          <w:rFonts w:ascii="Times New Roman" w:hAnsi="Times New Roman"/>
          <w:sz w:val="24"/>
        </w:rPr>
      </w:pPr>
      <w:r>
        <w:rPr>
          <w:rFonts w:ascii="Times New Roman" w:hAnsi="Times New Roman"/>
          <w:i/>
          <w:color w:val="000000"/>
          <w:sz w:val="24"/>
        </w:rPr>
        <w:t>Section 22.1. Successors and Assigns.</w:t>
      </w:r>
      <w:r>
        <w:rPr>
          <w:rFonts w:ascii="Times New Roman" w:hAnsi="Times New Roman"/>
          <w:color w:val="000000"/>
          <w:sz w:val="24"/>
        </w:rPr>
        <w:t xml:space="preserve"> All covenants and other agreements contained in this Agreement by or on behalf of any of the parties hereto bind and inure to the benefit of their respective successors and assigns (including any subsequent holder of a Note) whether so expressed or not, except that, other than as provided in </w:t>
      </w:r>
      <w:r>
        <w:rPr>
          <w:rFonts w:ascii="Times New Roman" w:hAnsi="Times New Roman"/>
          <w:b/>
          <w:color w:val="000000"/>
          <w:sz w:val="24"/>
        </w:rPr>
        <w:t>Section 10.4</w:t>
      </w:r>
      <w:r>
        <w:rPr>
          <w:rFonts w:ascii="Times New Roman" w:hAnsi="Times New Roman"/>
          <w:color w:val="000000"/>
          <w:sz w:val="24"/>
        </w:rPr>
        <w:t>, the Company may not assign or otherwise 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pStyle w:val="TextBody"/>
        <w:bidi w:val="0"/>
        <w:spacing w:before="280" w:after="283"/>
        <w:jc w:val="both"/>
        <w:rPr>
          <w:rFonts w:ascii="Times New Roman" w:hAnsi="Times New Roman"/>
          <w:sz w:val="24"/>
        </w:rPr>
      </w:pPr>
      <w:r>
        <w:rPr>
          <w:rFonts w:ascii="Times New Roman" w:hAnsi="Times New Roman"/>
          <w:i/>
          <w:color w:val="000000"/>
          <w:sz w:val="24"/>
        </w:rPr>
        <w:t>Section 22.2. Accounting Terms.</w:t>
      </w:r>
      <w:r>
        <w:rPr>
          <w:rFonts w:ascii="Times New Roman" w:hAnsi="Times New Roman"/>
          <w:color w:val="000000"/>
          <w:sz w:val="24"/>
        </w:rPr>
        <w:t xml:space="preserve"> All accounting terms used herein which are not expressly defined in this 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without limitation, </w:t>
      </w:r>
      <w:r>
        <w:rPr>
          <w:rFonts w:ascii="Times New Roman" w:hAnsi="Times New Roman"/>
          <w:b/>
          <w:color w:val="000000"/>
          <w:sz w:val="24"/>
        </w:rPr>
        <w:t>Section 9</w:t>
      </w:r>
      <w:r>
        <w:rPr>
          <w:rFonts w:ascii="Times New Roman" w:hAnsi="Times New Roman"/>
          <w:color w:val="000000"/>
          <w:sz w:val="24"/>
        </w:rPr>
        <w:t xml:space="preserve">, </w:t>
      </w:r>
      <w:r>
        <w:rPr>
          <w:rFonts w:ascii="Times New Roman" w:hAnsi="Times New Roman"/>
          <w:b/>
          <w:color w:val="000000"/>
          <w:sz w:val="24"/>
        </w:rPr>
        <w:t>Section 10</w:t>
      </w:r>
      <w:r>
        <w:rPr>
          <w:rFonts w:ascii="Times New Roman" w:hAnsi="Times New Roman"/>
          <w:color w:val="000000"/>
          <w:sz w:val="24"/>
        </w:rPr>
        <w:t>, and the definition of “</w:t>
      </w:r>
      <w:r>
        <w:rPr>
          <w:rFonts w:ascii="Times New Roman" w:hAnsi="Times New Roman"/>
          <w:i/>
          <w:color w:val="000000"/>
          <w:sz w:val="24"/>
        </w:rPr>
        <w:t>Indebtedness”</w:t>
      </w:r>
      <w:r>
        <w:rPr>
          <w:rFonts w:ascii="Times New Roman" w:hAnsi="Times New Roman"/>
          <w:color w:val="000000"/>
          <w:sz w:val="24"/>
        </w:rPr>
        <w:t>), any election by the Company to measure any financial liability using fair value (as permitted by Financial Accounting Standards Board Accounting Standards Codification Topic No. 825</w:t>
        <w:noBreakHyphen/>
        <w:t>10</w:t>
        <w:noBreakHyphen/>
        <w:t xml:space="preserve">25 – </w:t>
      </w:r>
      <w:r>
        <w:rPr>
          <w:rFonts w:ascii="Times New Roman" w:hAnsi="Times New Roman"/>
          <w:i/>
          <w:color w:val="000000"/>
          <w:sz w:val="24"/>
        </w:rPr>
        <w:t>Fair Value Option,</w:t>
      </w:r>
      <w:r>
        <w:rPr>
          <w:rFonts w:ascii="Times New Roman" w:hAnsi="Times New Roman"/>
          <w:color w:val="000000"/>
          <w:sz w:val="24"/>
        </w:rPr>
        <w:t xml:space="preserve"> International Accounting Standard 39 – </w:t>
      </w:r>
      <w:r>
        <w:rPr>
          <w:rFonts w:ascii="Times New Roman" w:hAnsi="Times New Roman"/>
          <w:i/>
          <w:color w:val="000000"/>
          <w:sz w:val="24"/>
        </w:rPr>
        <w:t>Financial Instruments: Recognition and Measurement</w:t>
      </w:r>
      <w:r>
        <w:rPr>
          <w:rFonts w:ascii="Times New Roman" w:hAnsi="Times New Roman"/>
          <w:color w:val="000000"/>
          <w:sz w:val="24"/>
        </w:rPr>
        <w:t xml:space="preserve"> or any similar accounting standard) shall be disregarded and such determination shall be made as if such election had not been made. </w:t>
      </w:r>
    </w:p>
    <w:p>
      <w:pPr>
        <w:pStyle w:val="TextBody"/>
        <w:bidi w:val="0"/>
        <w:spacing w:before="240" w:after="283"/>
        <w:jc w:val="both"/>
        <w:rPr>
          <w:rFonts w:ascii="Times New Roman" w:hAnsi="Times New Roman"/>
          <w:sz w:val="24"/>
        </w:rPr>
      </w:pPr>
      <w:r>
        <w:rPr>
          <w:rFonts w:ascii="Times New Roman" w:hAnsi="Times New Roman"/>
          <w:i/>
          <w:color w:val="000000"/>
          <w:sz w:val="24"/>
        </w:rPr>
        <w:t>Section 22.3. Severability.</w:t>
      </w:r>
      <w:r>
        <w:rPr>
          <w:rFonts w:ascii="Times New Roman" w:hAnsi="Times New Roman"/>
          <w:color w:val="000000"/>
          <w:sz w:val="24"/>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pStyle w:val="TextBody"/>
        <w:bidi w:val="0"/>
        <w:spacing w:before="240" w:after="283"/>
        <w:jc w:val="both"/>
        <w:rPr>
          <w:rFonts w:ascii="Times New Roman" w:hAnsi="Times New Roman"/>
          <w:sz w:val="24"/>
        </w:rPr>
      </w:pPr>
      <w:r>
        <w:rPr>
          <w:rFonts w:ascii="Times New Roman" w:hAnsi="Times New Roman"/>
          <w:i/>
          <w:color w:val="000000"/>
          <w:sz w:val="24"/>
        </w:rPr>
        <w:t>Section 22.4. Construction, Etc.</w:t>
      </w:r>
      <w:r>
        <w:rPr>
          <w:rFonts w:ascii="Times New Roman" w:hAnsi="Times New Roman"/>
          <w:color w:val="000000"/>
          <w:sz w:val="24"/>
        </w:rPr>
        <w:t xml:space="preserve">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w:t>
      </w:r>
      <w:r>
        <w:rPr>
          <w:rFonts w:ascii="Times New Roman" w:hAnsi="Times New Roman"/>
          <w:b/>
          <w:color w:val="000000"/>
          <w:sz w:val="24"/>
        </w:rPr>
        <w:t>Section 13</w:t>
      </w:r>
      <w:r>
        <w:rPr>
          <w:rFonts w:ascii="Times New Roman" w:hAnsi="Times New Roman"/>
          <w:color w:val="000000"/>
          <w:sz w:val="24"/>
        </w:rPr>
        <w:t xml:space="preserve">, (b) subject to </w:t>
      </w:r>
      <w:r>
        <w:rPr>
          <w:rFonts w:ascii="Times New Roman" w:hAnsi="Times New Roman"/>
          <w:b/>
          <w:color w:val="000000"/>
          <w:sz w:val="24"/>
        </w:rPr>
        <w:t>Section 22.1</w:t>
      </w:r>
      <w:r>
        <w:rPr>
          <w:rFonts w:ascii="Times New Roman" w:hAnsi="Times New Roman"/>
          <w:color w:val="000000"/>
          <w:sz w:val="24"/>
        </w:rPr>
        <w:t>,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For the avoidance of doubt, all Schedules and Exhibits attached to this Agreement shall be deemed to be a part hereof.</w:t>
      </w:r>
    </w:p>
    <w:p>
      <w:pPr>
        <w:pStyle w:val="TextBody"/>
        <w:bidi w:val="0"/>
        <w:spacing w:before="240" w:after="283"/>
        <w:jc w:val="both"/>
        <w:rPr>
          <w:rFonts w:ascii="Times New Roman" w:hAnsi="Times New Roman"/>
          <w:sz w:val="24"/>
        </w:rPr>
      </w:pPr>
      <w:r>
        <w:rPr>
          <w:rFonts w:ascii="Times New Roman" w:hAnsi="Times New Roman"/>
          <w:i/>
          <w:color w:val="000000"/>
          <w:sz w:val="24"/>
        </w:rPr>
        <w:t>Section 22.5. Counterparts.</w:t>
      </w:r>
      <w:r>
        <w:rPr>
          <w:rFonts w:ascii="Times New Roman" w:hAnsi="Times New Roman"/>
          <w:color w:val="000000"/>
          <w:sz w:val="24"/>
        </w:rPr>
        <w:t xml:space="preserve">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w:t>
      </w:r>
    </w:p>
    <w:p>
      <w:pPr>
        <w:pStyle w:val="TextBody"/>
        <w:bidi w:val="0"/>
        <w:spacing w:before="240" w:after="283"/>
        <w:jc w:val="both"/>
        <w:rPr>
          <w:rFonts w:ascii="Times New Roman" w:hAnsi="Times New Roman"/>
          <w:sz w:val="24"/>
        </w:rPr>
      </w:pPr>
      <w:r>
        <w:rPr>
          <w:rFonts w:ascii="Times New Roman" w:hAnsi="Times New Roman"/>
          <w:i/>
          <w:smallCaps/>
          <w:color w:val="000000"/>
          <w:sz w:val="24"/>
        </w:rPr>
        <w:t>Section 22.6. Governing Law.</w:t>
      </w:r>
      <w:r>
        <w:rPr>
          <w:rFonts w:ascii="Times New Roman" w:hAnsi="Times New Roman"/>
          <w:smallCaps/>
          <w:color w:val="000000"/>
          <w:sz w:val="24"/>
        </w:rPr>
        <w:t xml:space="preserve"> This Agreement shall be construed and enforced in accordance with, and the rights of the parties shall be governed by, the law of the State of New York excluding choice</w:t>
        <w:noBreakHyphen/>
        <w:t>of</w:t>
        <w:noBreakHyphen/>
        <w:t>law principles of the law of such State that would permit the application of the laws of a jurisdiction other than such State.</w:t>
      </w:r>
    </w:p>
    <w:p>
      <w:pPr>
        <w:pStyle w:val="TextBody"/>
        <w:bidi w:val="0"/>
        <w:spacing w:before="240" w:after="283"/>
        <w:jc w:val="both"/>
        <w:rPr>
          <w:rFonts w:ascii="Times New Roman" w:hAnsi="Times New Roman"/>
          <w:sz w:val="24"/>
        </w:rPr>
      </w:pPr>
      <w:r>
        <w:rPr>
          <w:rFonts w:ascii="Times New Roman" w:hAnsi="Times New Roman"/>
          <w:i/>
          <w:smallCaps/>
          <w:color w:val="000000"/>
          <w:sz w:val="24"/>
        </w:rPr>
        <w:t xml:space="preserve">Section 22.7. Jurisdiction and Process; Waiver of Jury Trial. </w:t>
      </w:r>
      <w:r>
        <w:rPr>
          <w:rFonts w:ascii="Times New Roman" w:hAnsi="Times New Roman"/>
          <w:smallCaps/>
          <w:color w:val="000000"/>
          <w:sz w:val="24"/>
        </w:rPr>
        <w:t>(a) The Company irrevocably submits to the non</w:t>
        <w:noBreakHyphen/>
        <w:t>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240" w:after="283"/>
        <w:jc w:val="both"/>
        <w:rPr>
          <w:rFonts w:ascii="Times New Roman" w:hAnsi="Times New Roman"/>
          <w:sz w:val="24"/>
        </w:rPr>
      </w:pPr>
      <w:r>
        <w:rPr>
          <w:rFonts w:ascii="Times New Roman" w:hAnsi="Times New Roman"/>
          <w:smallCaps/>
          <w:color w:val="000000"/>
          <w:sz w:val="24"/>
        </w:rPr>
        <w:t xml:space="preserve">(b) The Company agrees, to the fullest extent permitted by applicable law, that a final judgment in any suit, action or proceeding of the nature referred to in </w:t>
      </w:r>
      <w:r>
        <w:rPr>
          <w:rFonts w:ascii="Times New Roman" w:hAnsi="Times New Roman"/>
          <w:b/>
          <w:smallCaps/>
          <w:color w:val="000000"/>
          <w:sz w:val="24"/>
        </w:rPr>
        <w:t>Section 22.7(a)</w:t>
      </w:r>
      <w:r>
        <w:rPr>
          <w:rFonts w:ascii="Times New Roman" w:hAnsi="Times New Roman"/>
          <w:smallCaps/>
          <w:color w:val="000000"/>
          <w:sz w:val="24"/>
        </w:rPr>
        <w:t xml:space="preserve"> brought in any such court shall be conclusive and binding upon it subject to rights of appeal, as the case may be, and may be enforced in the courts of the United States of America or the State of New York (or any other courts to the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40" w:after="283"/>
        <w:jc w:val="both"/>
        <w:rPr>
          <w:rFonts w:ascii="Times New Roman" w:hAnsi="Times New Roman"/>
          <w:smallCaps/>
          <w:color w:val="000000"/>
          <w:sz w:val="24"/>
        </w:rPr>
      </w:pPr>
      <w:r>
        <w:rPr>
          <w:rFonts w:ascii="Times New Roman" w:hAnsi="Times New Roman"/>
          <w:smallCaps/>
          <w:color w:val="000000"/>
          <w:sz w:val="24"/>
        </w:rPr>
        <w:t>jurisdiction of which it or any of its assets is or may be subject) by a suit upon such judgment.</w:t>
      </w:r>
    </w:p>
    <w:p>
      <w:pPr>
        <w:pStyle w:val="TextBody"/>
        <w:bidi w:val="0"/>
        <w:spacing w:before="240" w:after="283"/>
        <w:jc w:val="both"/>
        <w:rPr>
          <w:rFonts w:ascii="Times New Roman" w:hAnsi="Times New Roman"/>
          <w:sz w:val="24"/>
        </w:rPr>
      </w:pPr>
      <w:r>
        <w:rPr>
          <w:rFonts w:ascii="Times New Roman" w:hAnsi="Times New Roman"/>
          <w:smallCaps/>
          <w:color w:val="000000"/>
          <w:sz w:val="24"/>
        </w:rPr>
        <w:t xml:space="preserve">(c) The Company consents to process being served by or on behalf of any holder of Notes in any suit, action or proceeding of the nature referred to in </w:t>
      </w:r>
      <w:r>
        <w:rPr>
          <w:rFonts w:ascii="Times New Roman" w:hAnsi="Times New Roman"/>
          <w:b/>
          <w:smallCaps/>
          <w:color w:val="000000"/>
          <w:sz w:val="24"/>
        </w:rPr>
        <w:t>Section 22.7(a)</w:t>
      </w:r>
      <w:r>
        <w:rPr>
          <w:rFonts w:ascii="Times New Roman" w:hAnsi="Times New Roman"/>
          <w:smallCaps/>
          <w:color w:val="000000"/>
          <w:sz w:val="24"/>
        </w:rPr>
        <w:t xml:space="preserve"> by mailing a copy thereof by registered, certified, priority or express mail (or any substantially similar form of mail), postage prepaid, return receipt or delivery confirmation requested, to it at its address specified in </w:t>
      </w:r>
      <w:r>
        <w:rPr>
          <w:rFonts w:ascii="Times New Roman" w:hAnsi="Times New Roman"/>
          <w:b/>
          <w:smallCaps/>
          <w:color w:val="000000"/>
          <w:sz w:val="24"/>
        </w:rPr>
        <w:t>Section 18</w:t>
      </w:r>
      <w:r>
        <w:rPr>
          <w:rFonts w:ascii="Times New Roman" w:hAnsi="Times New Roman"/>
          <w:smallCaps/>
          <w:color w:val="000000"/>
          <w:sz w:val="24"/>
        </w:rPr>
        <w:t xml:space="preserve">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pStyle w:val="TextBody"/>
        <w:bidi w:val="0"/>
        <w:spacing w:before="240" w:after="283"/>
        <w:jc w:val="both"/>
        <w:rPr>
          <w:rFonts w:ascii="Times New Roman" w:hAnsi="Times New Roman"/>
          <w:sz w:val="24"/>
        </w:rPr>
      </w:pPr>
      <w:r>
        <w:rPr>
          <w:rFonts w:ascii="Times New Roman" w:hAnsi="Times New Roman"/>
          <w:smallCaps/>
          <w:color w:val="000000"/>
          <w:sz w:val="24"/>
        </w:rPr>
        <w:t xml:space="preserve">(d) Nothing in this </w:t>
      </w:r>
      <w:r>
        <w:rPr>
          <w:rFonts w:ascii="Times New Roman" w:hAnsi="Times New Roman"/>
          <w:b/>
          <w:smallCaps/>
          <w:color w:val="000000"/>
          <w:sz w:val="24"/>
        </w:rPr>
        <w:t>Section 22.7</w:t>
      </w:r>
      <w:r>
        <w:rPr>
          <w:rFonts w:ascii="Times New Roman" w:hAnsi="Times New Roman"/>
          <w:smallCaps/>
          <w:color w:val="000000"/>
          <w:sz w:val="24"/>
        </w:rPr>
        <w:t xml:space="preserve">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smallCaps/>
          <w:color w:val="000000"/>
          <w:sz w:val="24"/>
        </w:rPr>
        <w:t>The parties hereto hereby waive trial by jury in any action brought on or with respect to this Agreement, the Notes or any other document executed in connection herewith or therewith.</w:t>
      </w:r>
    </w:p>
    <w:p>
      <w:pPr>
        <w:pStyle w:val="TextBody"/>
        <w:bidi w:val="0"/>
        <w:spacing w:before="360" w:after="283"/>
        <w:jc w:val="center"/>
        <w:rPr>
          <w:rFonts w:ascii="Times New Roman" w:hAnsi="Times New Roman"/>
          <w:smallCaps/>
          <w:color w:val="000000"/>
          <w:sz w:val="24"/>
        </w:rPr>
      </w:pPr>
      <w:r>
        <w:rPr>
          <w:rFonts w:ascii="Times New Roman" w:hAnsi="Times New Roman"/>
          <w:smallCaps/>
          <w:color w:val="000000"/>
          <w:sz w:val="24"/>
        </w:rPr>
        <w:t>[Signature Pages Follow]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If you are in agreement with the foregoing, please sign the form of agreement on a counterpart of this Agreement and return it to the Company, whereupon this Agreement shall become a binding agreement between you and the Company.</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color w:val="000000"/>
          <w:sz w:val="24"/>
        </w:rPr>
      </w:pPr>
      <w:r>
        <w:rPr>
          <w:rFonts w:ascii="Times New Roman" w:hAnsi="Times New Roman"/>
          <w:color w:val="000000"/>
          <w:sz w:val="24"/>
        </w:rPr>
        <w:t>Very truly yours,</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mallCaps/>
          <w:color w:val="000000"/>
          <w:sz w:val="24"/>
        </w:rPr>
      </w:pPr>
      <w:r>
        <w:rPr>
          <w:rFonts w:ascii="Times New Roman" w:hAnsi="Times New Roman"/>
          <w:smallCaps/>
          <w:color w:val="000000"/>
          <w:sz w:val="24"/>
        </w:rPr>
        <w:t>Maine Natural Gas Corporation</w:t>
      </w:r>
    </w:p>
    <w:p>
      <w:pPr>
        <w:pStyle w:val="TextBody"/>
        <w:pBdr/>
        <w:bidi w:val="0"/>
        <w:ind w:left="4680" w:right="0" w:hanging="360"/>
        <w:jc w:val="left"/>
        <w:rPr/>
      </w:pPr>
      <w:r>
        <w:rPr/>
        <w:t> </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Daniel J. Hurstak</w:t>
      </w:r>
      <w:r>
        <w:rPr>
          <w:rFonts w:ascii="Times New Roman" w:hAnsi="Times New Roman"/>
          <w:color w:val="000000"/>
          <w:sz w:val="20"/>
        </w:rPr>
        <w:t xml:space="preserve"> </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Name: Daniel J. Hurstak</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Title: Senior Vice President and Treasurer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Accepted as of the date first written above.</w:t>
      </w:r>
    </w:p>
    <w:p>
      <w:pPr>
        <w:pStyle w:val="TextBody"/>
        <w:bidi w:val="0"/>
        <w:jc w:val="left"/>
        <w:rPr/>
      </w:pPr>
      <w:r>
        <w:rPr/>
        <w:t> </w:t>
      </w:r>
    </w:p>
    <w:p>
      <w:pPr>
        <w:pStyle w:val="TextBody"/>
        <w:pBdr/>
        <w:bidi w:val="0"/>
        <w:ind w:left="4320" w:right="0" w:hanging="360"/>
        <w:jc w:val="left"/>
        <w:rPr>
          <w:rFonts w:ascii="Times New Roman" w:hAnsi="Times New Roman"/>
          <w:smallCaps/>
          <w:color w:val="000000"/>
          <w:sz w:val="24"/>
        </w:rPr>
      </w:pPr>
      <w:r>
        <w:rPr>
          <w:rFonts w:ascii="Times New Roman" w:hAnsi="Times New Roman"/>
          <w:smallCaps/>
          <w:color w:val="000000"/>
          <w:sz w:val="24"/>
        </w:rPr>
        <w:t>The Lincoln National Life Insurance Company</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By: Nomura Investment Management Advisers, a series of Nomura Investment Management Business Trust, Attorney in Fact</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Karl H. Spaeth Jr.</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Name: Karl H. Spaeth Jr.</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Title: Executive Director</w:t>
      </w:r>
    </w:p>
    <w:p>
      <w:pPr>
        <w:pStyle w:val="TextBody"/>
        <w:pBdr/>
        <w:bidi w:val="0"/>
        <w:ind w:left="4320" w:right="0" w:hanging="360"/>
        <w:jc w:val="left"/>
        <w:rPr/>
      </w:pPr>
      <w:r>
        <w:rPr/>
        <w:t> </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mallCaps/>
          <w:color w:val="000000"/>
          <w:sz w:val="24"/>
        </w:rPr>
      </w:pPr>
      <w:r>
        <w:rPr>
          <w:rFonts w:ascii="Times New Roman" w:hAnsi="Times New Roman"/>
          <w:smallCaps/>
          <w:color w:val="000000"/>
          <w:sz w:val="24"/>
        </w:rPr>
        <w:t>Lincoln National Reinsurance Company (Barbados) Limited</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By: Nomura Investment Management Advisers, a series of Nomura Investment Management Business Trust, Attorney in Fact</w:t>
      </w:r>
    </w:p>
    <w:p>
      <w:pPr>
        <w:pStyle w:val="TextBody"/>
        <w:pBdr/>
        <w:bidi w:val="0"/>
        <w:ind w:left="0" w:right="0" w:hanging="5040"/>
        <w:jc w:val="left"/>
        <w:rPr/>
      </w:pPr>
      <w:r>
        <w:rPr/>
        <w:t> </w:t>
      </w:r>
    </w:p>
    <w:p>
      <w:pPr>
        <w:pStyle w:val="TextBody"/>
        <w:pBdr/>
        <w:bidi w:val="0"/>
        <w:ind w:left="432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Karl H. Spaeth Jr.</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Name: Karl H. Spaeth Jr.</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Title: Executive Director</w:t>
      </w:r>
    </w:p>
    <w:p>
      <w:pPr>
        <w:pStyle w:val="TextBody"/>
        <w:pBdr/>
        <w:bidi w:val="0"/>
        <w:ind w:left="0" w:right="0" w:hanging="5040"/>
        <w:jc w:val="left"/>
        <w:rPr/>
      </w:pPr>
      <w:r>
        <w:rPr/>
        <w:t> </w:t>
      </w:r>
    </w:p>
    <w:p>
      <w:pPr>
        <w:pStyle w:val="TextBody"/>
        <w:pBdr/>
        <w:bidi w:val="0"/>
        <w:ind w:left="4320" w:right="0" w:hanging="18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tbl>
      <w:tblPr>
        <w:tblW w:w="5762" w:type="dxa"/>
        <w:jc w:val="left"/>
        <w:tblInd w:w="0" w:type="dxa"/>
        <w:tblLayout w:type="fixed"/>
        <w:tblCellMar>
          <w:top w:w="28" w:type="dxa"/>
          <w:left w:w="28" w:type="dxa"/>
          <w:bottom w:w="28" w:type="dxa"/>
          <w:right w:w="28" w:type="dxa"/>
        </w:tblCellMar>
      </w:tblPr>
      <w:tblGrid>
        <w:gridCol w:w="3121"/>
        <w:gridCol w:w="2641"/>
      </w:tblGrid>
      <w:tr>
        <w:trPr/>
        <w:tc>
          <w:tcPr>
            <w:tcW w:w="312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Accepted as of the date first written above.</w:t>
      </w:r>
    </w:p>
    <w:p>
      <w:pPr>
        <w:pStyle w:val="TextBody"/>
        <w:bidi w:val="0"/>
        <w:jc w:val="left"/>
        <w:rPr/>
      </w:pPr>
      <w:r>
        <w:rPr/>
        <w:t> </w:t>
      </w:r>
    </w:p>
    <w:p>
      <w:pPr>
        <w:pStyle w:val="TextBody"/>
        <w:pBdr/>
        <w:bidi w:val="0"/>
        <w:ind w:left="4320" w:right="0" w:hanging="360"/>
        <w:jc w:val="left"/>
        <w:rPr>
          <w:rFonts w:ascii="Times New Roman" w:hAnsi="Times New Roman"/>
          <w:smallCaps/>
          <w:color w:val="000000"/>
          <w:sz w:val="24"/>
        </w:rPr>
      </w:pPr>
      <w:r>
        <w:rPr>
          <w:rFonts w:ascii="Times New Roman" w:hAnsi="Times New Roman"/>
          <w:smallCaps/>
          <w:color w:val="000000"/>
          <w:sz w:val="24"/>
        </w:rPr>
        <w:t>CoBank, ACB</w:t>
      </w:r>
    </w:p>
    <w:p>
      <w:pPr>
        <w:pStyle w:val="TextBody"/>
        <w:pBdr/>
        <w:bidi w:val="0"/>
        <w:ind w:left="4320" w:right="0" w:hanging="360"/>
        <w:jc w:val="left"/>
        <w:rPr/>
      </w:pPr>
      <w:r>
        <w:rPr/>
        <w:t> </w:t>
      </w:r>
    </w:p>
    <w:p>
      <w:pPr>
        <w:pStyle w:val="TextBody"/>
        <w:pBdr/>
        <w:bidi w:val="0"/>
        <w:ind w:left="4320" w:right="0" w:hanging="360"/>
        <w:jc w:val="left"/>
        <w:rPr/>
      </w:pPr>
      <w:r>
        <w:rPr/>
        <w:t> </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Jared A Greene</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Jared A Greene</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Assistant Corporate Secretary</w:t>
      </w:r>
    </w:p>
    <w:p>
      <w:pPr>
        <w:pStyle w:val="TextBody"/>
        <w:pBdr/>
        <w:bidi w:val="0"/>
        <w:ind w:left="4320" w:right="0" w:hanging="36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Defined Terms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As used herein, the following terms have the respective meanings set forth below or set forth in the Section hereof following such term:</w:t>
      </w:r>
    </w:p>
    <w:p>
      <w:pPr>
        <w:pStyle w:val="TextBody"/>
        <w:bidi w:val="0"/>
        <w:spacing w:before="280" w:after="283"/>
        <w:ind w:left="0" w:right="0" w:firstLine="720"/>
        <w:jc w:val="both"/>
        <w:rPr/>
      </w:pPr>
      <w:r>
        <w:rPr>
          <w:color w:val="000000"/>
        </w:rPr>
        <w:t>“</w:t>
      </w:r>
      <w:r>
        <w:rPr>
          <w:rFonts w:ascii="Times New Roman" w:hAnsi="Times New Roman"/>
          <w:i/>
          <w:color w:val="000000"/>
          <w:sz w:val="24"/>
        </w:rPr>
        <w:t>Adjusted Net Income (Deficit)”</w:t>
      </w:r>
      <w:r>
        <w:rPr>
          <w:rFonts w:ascii="Times New Roman" w:hAnsi="Times New Roman"/>
          <w:color w:val="000000"/>
          <w:sz w:val="24"/>
        </w:rPr>
        <w:t xml:space="preserve"> means the amount of net income (or if such net income is a deficit, the amount of such deficit) of the Company and its Subsidiaries for the period in question (taken as a cumulative whole) transferred to the retained earnings account on the books and records of the Company on a consolidated basis, as determined in accordance with GAAP, excluding any extraordinary non-cash gains and losses.</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Affiliate” </w:t>
      </w:r>
      <w:r>
        <w:rPr>
          <w:rFonts w:ascii="Times New Roman" w:hAnsi="Times New Roman"/>
          <w:color w:val="000000"/>
          <w:sz w:val="24"/>
        </w:rPr>
        <w:t>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20% or more of any class of voting or equity interests of the Company or any Subsidiary of the Company or any Person of which the Company and its Subsidiaries beneficially own or hold, in the aggregate, directly or indirectly, 20% or more of any class of voting or equity interests.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pStyle w:val="TextBody"/>
        <w:bidi w:val="0"/>
        <w:spacing w:before="280" w:after="283"/>
        <w:ind w:left="0" w:right="0" w:firstLine="720"/>
        <w:jc w:val="both"/>
        <w:rPr/>
      </w:pPr>
      <w:r>
        <w:rPr>
          <w:color w:val="000000"/>
        </w:rPr>
        <w:t>“</w:t>
      </w:r>
      <w:r>
        <w:rPr>
          <w:rFonts w:ascii="Times New Roman" w:hAnsi="Times New Roman"/>
          <w:i/>
          <w:color w:val="000000"/>
          <w:sz w:val="24"/>
        </w:rPr>
        <w:t>Agreement”</w:t>
      </w:r>
      <w:r>
        <w:rPr>
          <w:rFonts w:ascii="Times New Roman" w:hAnsi="Times New Roman"/>
          <w:color w:val="000000"/>
          <w:sz w:val="24"/>
        </w:rPr>
        <w:t xml:space="preserve"> means this Agreement, including all Schedules attached to this Agreement, as it may be amended, restated, supplemented or otherwise modified from time to time.</w:t>
      </w:r>
    </w:p>
    <w:p>
      <w:pPr>
        <w:pStyle w:val="TextBody"/>
        <w:bidi w:val="0"/>
        <w:spacing w:before="280" w:after="283"/>
        <w:ind w:left="0" w:right="0" w:firstLine="720"/>
        <w:jc w:val="both"/>
        <w:rPr/>
      </w:pPr>
      <w:r>
        <w:rPr>
          <w:color w:val="000000"/>
        </w:rPr>
        <w:t>“</w:t>
      </w:r>
      <w:r>
        <w:rPr>
          <w:rFonts w:ascii="Times New Roman" w:hAnsi="Times New Roman"/>
          <w:i/>
          <w:color w:val="000000"/>
          <w:sz w:val="24"/>
        </w:rPr>
        <w:t>Anti</w:t>
        <w:noBreakHyphen/>
        <w:t>Corruption Laws”</w:t>
      </w:r>
      <w:r>
        <w:rPr>
          <w:rFonts w:ascii="Times New Roman" w:hAnsi="Times New Roman"/>
          <w:color w:val="000000"/>
          <w:sz w:val="24"/>
        </w:rPr>
        <w:t xml:space="preserve"> means any law or regulation in a U.S. or any non</w:t>
        <w:noBreakHyphen/>
        <w:t>U.S. jurisdiction regarding bribery or any other corrupt activity, including the U.S. Foreign Corrupt Practices Act and the U.K. Bribery Act 2010.</w:t>
      </w:r>
    </w:p>
    <w:p>
      <w:pPr>
        <w:pStyle w:val="TextBody"/>
        <w:bidi w:val="0"/>
        <w:spacing w:before="280" w:after="283"/>
        <w:ind w:left="0" w:right="0" w:firstLine="720"/>
        <w:jc w:val="both"/>
        <w:rPr/>
      </w:pPr>
      <w:r>
        <w:rPr>
          <w:color w:val="000000"/>
        </w:rPr>
        <w:t>“</w:t>
      </w:r>
      <w:r>
        <w:rPr>
          <w:rFonts w:ascii="Times New Roman" w:hAnsi="Times New Roman"/>
          <w:i/>
          <w:color w:val="000000"/>
          <w:sz w:val="24"/>
        </w:rPr>
        <w:t>Anti</w:t>
        <w:noBreakHyphen/>
        <w:t>Money Laundering Laws”</w:t>
      </w:r>
      <w:r>
        <w:rPr>
          <w:rFonts w:ascii="Times New Roman" w:hAnsi="Times New Roman"/>
          <w:color w:val="000000"/>
          <w:sz w:val="24"/>
        </w:rPr>
        <w:t xml:space="preserve"> means any law or regulation in a U.S. or any non</w:t>
        <w:noBreakHyphen/>
        <w:t>U.S. jurisdiction regarding money laundering, drug trafficking, terrorist</w:t>
        <w:noBreakHyphen/>
        <w:t>related activities or other money laundering predicate crimes, including the Currency and Foreign Transactions Reporting Act of 1970 (otherwise known as the Bank Secrecy Act) and the USA PATRIOT Act.</w:t>
      </w:r>
    </w:p>
    <w:p>
      <w:pPr>
        <w:pStyle w:val="TextBody"/>
        <w:bidi w:val="0"/>
        <w:spacing w:before="280" w:after="283"/>
        <w:ind w:left="0" w:right="0" w:firstLine="720"/>
        <w:jc w:val="both"/>
        <w:rPr/>
      </w:pPr>
      <w:r>
        <w:rPr>
          <w:color w:val="000000"/>
        </w:rPr>
        <w:t>“</w:t>
      </w:r>
      <w:r>
        <w:rPr>
          <w:rFonts w:ascii="Times New Roman" w:hAnsi="Times New Roman"/>
          <w:i/>
          <w:color w:val="000000"/>
          <w:sz w:val="24"/>
        </w:rPr>
        <w:t>Bank Credit Agreement”</w:t>
      </w:r>
      <w:r>
        <w:rPr>
          <w:rFonts w:ascii="Times New Roman" w:hAnsi="Times New Roman"/>
          <w:color w:val="000000"/>
          <w:sz w:val="24"/>
        </w:rPr>
        <w:t xml:space="preserve"> means any existing or future bank credit facility or combination of bank credit facilities of greater than $10,000,000 entered into by the Company.</w:t>
      </w:r>
    </w:p>
    <w:p>
      <w:pPr>
        <w:pStyle w:val="TextBody"/>
        <w:bidi w:val="0"/>
        <w:spacing w:before="280" w:after="283"/>
        <w:ind w:left="0" w:right="0" w:firstLine="720"/>
        <w:jc w:val="both"/>
        <w:rPr/>
      </w:pPr>
      <w:r>
        <w:rPr>
          <w:color w:val="000000"/>
        </w:rPr>
        <w:t>“</w:t>
      </w:r>
      <w:r>
        <w:rPr>
          <w:rFonts w:ascii="Times New Roman" w:hAnsi="Times New Roman"/>
          <w:i/>
          <w:color w:val="000000"/>
          <w:sz w:val="24"/>
        </w:rPr>
        <w:t>Bank Guarantor</w:t>
      </w:r>
      <w:r>
        <w:rPr>
          <w:rFonts w:ascii="Times New Roman" w:hAnsi="Times New Roman"/>
          <w:color w:val="000000"/>
          <w:sz w:val="24"/>
        </w:rPr>
        <w:t>” means any Person guaranteeing the Bank Credit Agreement.</w:t>
      </w:r>
    </w:p>
    <w:p>
      <w:pPr>
        <w:pStyle w:val="TextBody"/>
        <w:bidi w:val="0"/>
        <w:spacing w:before="280" w:after="283"/>
        <w:ind w:left="0" w:right="0" w:firstLine="720"/>
        <w:jc w:val="both"/>
        <w:rPr/>
      </w:pPr>
      <w:r>
        <w:rPr>
          <w:color w:val="000000"/>
        </w:rPr>
        <w:t>“</w:t>
      </w:r>
      <w:r>
        <w:rPr>
          <w:rFonts w:ascii="Times New Roman" w:hAnsi="Times New Roman"/>
          <w:i/>
          <w:color w:val="000000"/>
          <w:sz w:val="24"/>
        </w:rPr>
        <w:t>Blocked Person”</w:t>
      </w:r>
      <w:r>
        <w:rPr>
          <w:rFonts w:ascii="Times New Roman" w:hAnsi="Times New Roman"/>
          <w:color w:val="000000"/>
          <w:sz w:val="24"/>
        </w:rPr>
        <w:t xml:space="preserve">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pStyle w:val="TextBody"/>
        <w:bidi w:val="0"/>
        <w:jc w:val="center"/>
        <w:rPr>
          <w:rFonts w:ascii="Times New Roman" w:hAnsi="Times New Roman"/>
          <w:sz w:val="24"/>
        </w:rPr>
      </w:pPr>
      <w:r>
        <w:rPr>
          <w:rFonts w:ascii="Times New Roman" w:hAnsi="Times New Roman"/>
          <w:smallCaps/>
          <w:color w:val="000000"/>
          <w:sz w:val="24"/>
        </w:rPr>
        <w:t>Schedule B</w:t>
        <w:br/>
      </w:r>
      <w:r>
        <w:rPr>
          <w:rFonts w:ascii="Times New Roman" w:hAnsi="Times New Roman"/>
          <w:color w:val="000000"/>
          <w:sz w:val="24"/>
        </w:rPr>
        <w:t>(to Note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Business Day” </w:t>
      </w:r>
      <w:r>
        <w:rPr>
          <w:rFonts w:ascii="Times New Roman" w:hAnsi="Times New Roman"/>
          <w:color w:val="000000"/>
          <w:sz w:val="24"/>
        </w:rPr>
        <w:t xml:space="preserve">means (a) for the purposes of </w:t>
      </w:r>
      <w:r>
        <w:rPr>
          <w:rFonts w:ascii="Times New Roman" w:hAnsi="Times New Roman"/>
          <w:b/>
          <w:color w:val="000000"/>
          <w:sz w:val="24"/>
        </w:rPr>
        <w:t>Section 8.6</w:t>
      </w:r>
      <w:r>
        <w:rPr>
          <w:rFonts w:ascii="Times New Roman" w:hAnsi="Times New Roman"/>
          <w:color w:val="000000"/>
          <w:sz w:val="24"/>
        </w:rPr>
        <w:t xml:space="preserve">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or Manchester, New Hampshire are required or authorized to be closed.</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Capital Lease” </w:t>
      </w:r>
      <w:r>
        <w:rPr>
          <w:rFonts w:ascii="Times New Roman" w:hAnsi="Times New Roman"/>
          <w:color w:val="000000"/>
          <w:sz w:val="24"/>
        </w:rPr>
        <w:t>means, at any time, a lease with respect to which the lessee is required concurrently to recognize the acquisition of an asset and the incurrence of a liability in accordance with GAAP.</w:t>
      </w:r>
    </w:p>
    <w:p>
      <w:pPr>
        <w:pStyle w:val="TextBody"/>
        <w:bidi w:val="0"/>
        <w:spacing w:before="280" w:after="283"/>
        <w:ind w:left="0" w:right="0" w:firstLine="720"/>
        <w:jc w:val="both"/>
        <w:rPr/>
      </w:pPr>
      <w:r>
        <w:rPr>
          <w:color w:val="000000"/>
        </w:rPr>
        <w:t>“</w:t>
      </w:r>
      <w:r>
        <w:rPr>
          <w:rFonts w:ascii="Times New Roman" w:hAnsi="Times New Roman"/>
          <w:i/>
          <w:color w:val="000000"/>
          <w:sz w:val="24"/>
        </w:rPr>
        <w:t>Cash Pooling and Loan Agreement”</w:t>
      </w:r>
      <w:r>
        <w:rPr>
          <w:rFonts w:ascii="Times New Roman" w:hAnsi="Times New Roman"/>
          <w:color w:val="000000"/>
          <w:sz w:val="24"/>
        </w:rPr>
        <w:t xml:space="preserve"> means the cash pooling and loan agreement, as amended and restated, dated June 30, 2026, between Unitil and certain of its Subsidiaries, including the Company, as further amended from time to time.</w:t>
      </w:r>
    </w:p>
    <w:p>
      <w:pPr>
        <w:pStyle w:val="TextBody"/>
        <w:bidi w:val="0"/>
        <w:spacing w:before="280" w:after="283"/>
        <w:ind w:left="0" w:right="0" w:firstLine="720"/>
        <w:jc w:val="both"/>
        <w:rPr/>
      </w:pPr>
      <w:r>
        <w:rPr>
          <w:color w:val="000000"/>
        </w:rPr>
        <w:t>“</w:t>
      </w:r>
      <w:r>
        <w:rPr>
          <w:rFonts w:ascii="Times New Roman" w:hAnsi="Times New Roman"/>
          <w:i/>
          <w:color w:val="000000"/>
          <w:sz w:val="24"/>
        </w:rPr>
        <w:t>Closing”</w:t>
      </w:r>
      <w:r>
        <w:rPr>
          <w:rFonts w:ascii="Times New Roman" w:hAnsi="Times New Roman"/>
          <w:color w:val="000000"/>
          <w:sz w:val="24"/>
        </w:rPr>
        <w:t xml:space="preserve"> is defined in </w:t>
      </w:r>
      <w:r>
        <w:rPr>
          <w:rFonts w:ascii="Times New Roman" w:hAnsi="Times New Roman"/>
          <w:b/>
          <w:color w:val="000000"/>
          <w:sz w:val="24"/>
        </w:rPr>
        <w:t>Section 3</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Code” </w:t>
      </w:r>
      <w:r>
        <w:rPr>
          <w:rFonts w:ascii="Times New Roman" w:hAnsi="Times New Roman"/>
          <w:color w:val="000000"/>
          <w:sz w:val="24"/>
        </w:rPr>
        <w:t>means the Internal Revenue Code of 1986, as amended from time to time, and the rules and regulations promulgated thereunder from time to time.</w:t>
      </w:r>
    </w:p>
    <w:p>
      <w:pPr>
        <w:pStyle w:val="TextBody"/>
        <w:bidi w:val="0"/>
        <w:spacing w:before="280" w:after="283"/>
        <w:ind w:left="0" w:right="0" w:firstLine="720"/>
        <w:jc w:val="both"/>
        <w:rPr/>
      </w:pPr>
      <w:r>
        <w:rPr>
          <w:color w:val="000000"/>
        </w:rPr>
        <w:t>“</w:t>
      </w:r>
      <w:r>
        <w:rPr>
          <w:rFonts w:ascii="Times New Roman" w:hAnsi="Times New Roman"/>
          <w:i/>
          <w:color w:val="000000"/>
          <w:sz w:val="24"/>
        </w:rPr>
        <w:t>Company”</w:t>
      </w:r>
      <w:r>
        <w:rPr>
          <w:rFonts w:ascii="Times New Roman" w:hAnsi="Times New Roman"/>
          <w:color w:val="000000"/>
          <w:sz w:val="24"/>
        </w:rPr>
        <w:t xml:space="preserve"> means Maine Natural Gas Corporation, a Maine corporation, or any successor that becomes such in the manner prescribed in </w:t>
      </w:r>
      <w:r>
        <w:rPr>
          <w:rFonts w:ascii="Times New Roman" w:hAnsi="Times New Roman"/>
          <w:b/>
          <w:color w:val="000000"/>
          <w:sz w:val="24"/>
        </w:rPr>
        <w:t>Section 10.4</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Confidential Information”</w:t>
      </w:r>
      <w:r>
        <w:rPr>
          <w:rFonts w:ascii="Times New Roman" w:hAnsi="Times New Roman"/>
          <w:color w:val="000000"/>
          <w:sz w:val="24"/>
        </w:rPr>
        <w:t xml:space="preserve"> is defined in </w:t>
      </w:r>
      <w:r>
        <w:rPr>
          <w:rFonts w:ascii="Times New Roman" w:hAnsi="Times New Roman"/>
          <w:b/>
          <w:color w:val="000000"/>
          <w:sz w:val="24"/>
        </w:rPr>
        <w:t>Section 20</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Controlled Entity”</w:t>
      </w:r>
      <w:r>
        <w:rPr>
          <w:rFonts w:ascii="Times New Roman" w:hAnsi="Times New Roman"/>
          <w:color w:val="000000"/>
          <w:sz w:val="24"/>
        </w:rPr>
        <w:t xml:space="preserve"> means (i) any of the Subsidiaries of the Company and any of their or the Company’s respective Controlled Affiliates and (ii) if the Company has a parent company, such parent company and its Controlled Affiliates. As used in this definition, “</w:t>
      </w:r>
      <w:r>
        <w:rPr>
          <w:rFonts w:ascii="Times New Roman" w:hAnsi="Times New Roman"/>
          <w:i/>
          <w:color w:val="000000"/>
          <w:sz w:val="24"/>
        </w:rPr>
        <w:t>Control”</w:t>
      </w:r>
      <w:r>
        <w:rPr>
          <w:rFonts w:ascii="Times New Roman" w:hAnsi="Times New Roman"/>
          <w:color w:val="000000"/>
          <w:sz w:val="24"/>
        </w:rPr>
        <w:t xml:space="preserve"> means the possession, directly or indirectly, of the power to direct or cause the direction of the management and policies of a Person, whether through the ownership of voting securities, by contract or otherwise.</w:t>
      </w:r>
    </w:p>
    <w:p>
      <w:pPr>
        <w:pStyle w:val="TextBody"/>
        <w:bidi w:val="0"/>
        <w:spacing w:before="280" w:after="283"/>
        <w:ind w:left="0" w:right="0" w:firstLine="720"/>
        <w:jc w:val="both"/>
        <w:rPr/>
      </w:pPr>
      <w:r>
        <w:rPr>
          <w:color w:val="000000"/>
        </w:rPr>
        <w:t>“</w:t>
      </w:r>
      <w:r>
        <w:rPr>
          <w:rFonts w:ascii="Times New Roman" w:hAnsi="Times New Roman"/>
          <w:i/>
          <w:color w:val="000000"/>
          <w:sz w:val="24"/>
        </w:rPr>
        <w:t>Default”</w:t>
      </w:r>
      <w:r>
        <w:rPr>
          <w:rFonts w:ascii="Times New Roman" w:hAnsi="Times New Roman"/>
          <w:color w:val="000000"/>
          <w:sz w:val="24"/>
        </w:rPr>
        <w:t xml:space="preserve"> means an event or condition the occurrence or existence of which would, with the lapse of time or the giving of notice or both, become an Event of Default.</w:t>
      </w:r>
    </w:p>
    <w:p>
      <w:pPr>
        <w:pStyle w:val="TextBody"/>
        <w:bidi w:val="0"/>
        <w:spacing w:before="280" w:after="283"/>
        <w:ind w:left="0" w:right="0" w:firstLine="720"/>
        <w:jc w:val="both"/>
        <w:rPr/>
      </w:pPr>
      <w:r>
        <w:rPr>
          <w:color w:val="000000"/>
        </w:rPr>
        <w:t>“</w:t>
      </w:r>
      <w:r>
        <w:rPr>
          <w:rFonts w:ascii="Times New Roman" w:hAnsi="Times New Roman"/>
          <w:i/>
          <w:color w:val="000000"/>
          <w:sz w:val="24"/>
        </w:rPr>
        <w:t>Default Rate”</w:t>
      </w:r>
      <w:r>
        <w:rPr>
          <w:rFonts w:ascii="Times New Roman" w:hAnsi="Times New Roman"/>
          <w:color w:val="000000"/>
          <w:sz w:val="24"/>
        </w:rPr>
        <w:t xml:space="preserve"> means, with respect to the Notes, that rate of interest per annum that is the greater of (i) 2% above the rate of interest stated in clause (a) of the first paragraph of the Notes or (ii) 2% over the rate of interest publicly announced by Bank of America, N.A. in Charlotte, North Carolina as its “base” or “prime” rate.</w:t>
      </w:r>
    </w:p>
    <w:p>
      <w:pPr>
        <w:pStyle w:val="TextBody"/>
        <w:bidi w:val="0"/>
        <w:spacing w:before="280" w:after="283"/>
        <w:ind w:left="0" w:right="0" w:firstLine="720"/>
        <w:jc w:val="both"/>
        <w:rPr/>
      </w:pPr>
      <w:r>
        <w:rPr>
          <w:color w:val="000000"/>
        </w:rPr>
        <w:t>“</w:t>
      </w:r>
      <w:r>
        <w:rPr>
          <w:rFonts w:ascii="Times New Roman" w:hAnsi="Times New Roman"/>
          <w:i/>
          <w:color w:val="000000"/>
          <w:sz w:val="24"/>
        </w:rPr>
        <w:t>Disclosure Documents”</w:t>
      </w:r>
      <w:r>
        <w:rPr>
          <w:rFonts w:ascii="Times New Roman" w:hAnsi="Times New Roman"/>
          <w:color w:val="000000"/>
          <w:sz w:val="24"/>
        </w:rPr>
        <w:t xml:space="preserve"> is defined in </w:t>
      </w:r>
      <w:r>
        <w:rPr>
          <w:rFonts w:ascii="Times New Roman" w:hAnsi="Times New Roman"/>
          <w:b/>
          <w:color w:val="000000"/>
          <w:sz w:val="24"/>
        </w:rPr>
        <w:t>Section 5.3</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EDGAR”</w:t>
      </w:r>
      <w:r>
        <w:rPr>
          <w:rFonts w:ascii="Times New Roman" w:hAnsi="Times New Roman"/>
          <w:color w:val="000000"/>
          <w:sz w:val="24"/>
        </w:rPr>
        <w:t xml:space="preserve"> means the SEC’s Electronic Data Gathering, Analysis and Retrieval System or any successor SEC electronic filing system for such purposes.</w:t>
      </w:r>
    </w:p>
    <w:p>
      <w:pPr>
        <w:pStyle w:val="TextBody"/>
        <w:bidi w:val="0"/>
        <w:spacing w:before="280" w:after="283"/>
        <w:ind w:left="0" w:right="0" w:firstLine="720"/>
        <w:jc w:val="both"/>
        <w:rPr/>
      </w:pPr>
      <w:r>
        <w:rPr>
          <w:color w:val="000000"/>
        </w:rPr>
        <w:t>“</w:t>
      </w:r>
      <w:r>
        <w:rPr>
          <w:rFonts w:ascii="Times New Roman" w:hAnsi="Times New Roman"/>
          <w:i/>
          <w:color w:val="000000"/>
          <w:sz w:val="24"/>
        </w:rPr>
        <w:t>Electronic Delivery”</w:t>
      </w:r>
      <w:r>
        <w:rPr>
          <w:rFonts w:ascii="Times New Roman" w:hAnsi="Times New Roman"/>
          <w:color w:val="000000"/>
          <w:sz w:val="24"/>
        </w:rPr>
        <w:t xml:space="preserve"> is defined in </w:t>
      </w:r>
      <w:r>
        <w:rPr>
          <w:rFonts w:ascii="Times New Roman" w:hAnsi="Times New Roman"/>
          <w:b/>
          <w:color w:val="000000"/>
          <w:sz w:val="24"/>
        </w:rPr>
        <w:t>Section 7.1(a)(ii)</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Environmental Laws”</w:t>
      </w:r>
      <w:r>
        <w:rPr>
          <w:rFonts w:ascii="Times New Roman" w:hAnsi="Times New Roman"/>
          <w:color w:val="000000"/>
          <w:sz w:val="24"/>
        </w:rPr>
        <w:t xml:space="preserve">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pStyle w:val="TextBody"/>
        <w:bidi w:val="0"/>
        <w:spacing w:before="280" w:after="283"/>
        <w:ind w:left="0" w:right="0" w:firstLine="720"/>
        <w:jc w:val="both"/>
        <w:rPr/>
      </w:pPr>
      <w:r>
        <w:rPr>
          <w:color w:val="000000"/>
        </w:rPr>
        <w:t>“</w:t>
      </w:r>
      <w:r>
        <w:rPr>
          <w:rFonts w:ascii="Times New Roman" w:hAnsi="Times New Roman"/>
          <w:i/>
          <w:color w:val="000000"/>
          <w:sz w:val="24"/>
        </w:rPr>
        <w:t>ERISA”</w:t>
      </w:r>
      <w:r>
        <w:rPr>
          <w:rFonts w:ascii="Times New Roman" w:hAnsi="Times New Roman"/>
          <w:color w:val="000000"/>
          <w:sz w:val="24"/>
        </w:rPr>
        <w:t xml:space="preserve"> means the Employee Retirement Income Security Act of 1974, as amended from time to time, and the rules and regulations promulgated thereunder from time to time in effect.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ERISA Affiliate” </w:t>
      </w:r>
      <w:r>
        <w:rPr>
          <w:rFonts w:ascii="Times New Roman" w:hAnsi="Times New Roman"/>
          <w:color w:val="000000"/>
          <w:sz w:val="24"/>
        </w:rPr>
        <w:t>means any trade or business (whether or not incorporated) that is treated as a single employer together with the Company under section 414 of the Code.</w:t>
      </w:r>
    </w:p>
    <w:p>
      <w:pPr>
        <w:pStyle w:val="TextBody"/>
        <w:bidi w:val="0"/>
        <w:spacing w:before="280" w:after="283"/>
        <w:ind w:left="0" w:right="0" w:firstLine="720"/>
        <w:jc w:val="both"/>
        <w:rPr/>
      </w:pPr>
      <w:r>
        <w:rPr>
          <w:color w:val="000000"/>
        </w:rPr>
        <w:t>“</w:t>
      </w:r>
      <w:r>
        <w:rPr>
          <w:rFonts w:ascii="Times New Roman" w:hAnsi="Times New Roman"/>
          <w:i/>
          <w:color w:val="000000"/>
          <w:sz w:val="24"/>
        </w:rPr>
        <w:t>Event of Default”</w:t>
      </w:r>
      <w:r>
        <w:rPr>
          <w:rFonts w:ascii="Times New Roman" w:hAnsi="Times New Roman"/>
          <w:color w:val="000000"/>
          <w:sz w:val="24"/>
        </w:rPr>
        <w:t xml:space="preserve"> is defined in </w:t>
      </w:r>
      <w:r>
        <w:rPr>
          <w:rFonts w:ascii="Times New Roman" w:hAnsi="Times New Roman"/>
          <w:b/>
          <w:color w:val="000000"/>
          <w:sz w:val="24"/>
        </w:rPr>
        <w:t>Section 11</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Exchange Act”</w:t>
      </w:r>
      <w:r>
        <w:rPr>
          <w:rFonts w:ascii="Times New Roman" w:hAnsi="Times New Roman"/>
          <w:color w:val="000000"/>
          <w:sz w:val="24"/>
        </w:rPr>
        <w:t xml:space="preserve"> means the Securities Exchange Act of 1934, as amended, and the rules and regulations promulgated thereunder from time to time in effect.</w:t>
      </w:r>
    </w:p>
    <w:p>
      <w:pPr>
        <w:pStyle w:val="TextBody"/>
        <w:bidi w:val="0"/>
        <w:spacing w:before="280" w:after="283"/>
        <w:ind w:left="0" w:right="0" w:firstLine="720"/>
        <w:jc w:val="both"/>
        <w:rPr/>
      </w:pPr>
      <w:r>
        <w:rPr>
          <w:color w:val="000000"/>
        </w:rPr>
        <w:t>“</w:t>
      </w:r>
      <w:r>
        <w:rPr>
          <w:rFonts w:ascii="Times New Roman" w:hAnsi="Times New Roman"/>
          <w:i/>
          <w:color w:val="000000"/>
          <w:sz w:val="24"/>
        </w:rPr>
        <w:t>FATCA”</w:t>
      </w:r>
      <w:r>
        <w:rPr>
          <w:rFonts w:ascii="Times New Roman" w:hAnsi="Times New Roman"/>
          <w:color w:val="000000"/>
          <w:sz w:val="24"/>
        </w:rPr>
        <w:t xml:space="preserve">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pStyle w:val="TextBody"/>
        <w:bidi w:val="0"/>
        <w:spacing w:before="280" w:after="283"/>
        <w:ind w:left="0" w:right="0" w:firstLine="720"/>
        <w:jc w:val="both"/>
        <w:rPr/>
      </w:pPr>
      <w:r>
        <w:rPr>
          <w:color w:val="000000"/>
        </w:rPr>
        <w:t>“</w:t>
      </w:r>
      <w:r>
        <w:rPr>
          <w:rFonts w:ascii="Times New Roman" w:hAnsi="Times New Roman"/>
          <w:i/>
          <w:color w:val="000000"/>
          <w:sz w:val="24"/>
        </w:rPr>
        <w:t>FERC”</w:t>
      </w:r>
      <w:r>
        <w:rPr>
          <w:rFonts w:ascii="Times New Roman" w:hAnsi="Times New Roman"/>
          <w:color w:val="000000"/>
          <w:sz w:val="24"/>
        </w:rPr>
        <w:t xml:space="preserve"> means the Federal Energy Regulatory Commission and any successor Governmental Authority thereto.</w:t>
      </w:r>
    </w:p>
    <w:p>
      <w:pPr>
        <w:pStyle w:val="TextBody"/>
        <w:bidi w:val="0"/>
        <w:spacing w:before="280" w:after="283"/>
        <w:ind w:left="0" w:right="0" w:firstLine="720"/>
        <w:jc w:val="both"/>
        <w:rPr/>
      </w:pPr>
      <w:r>
        <w:rPr>
          <w:color w:val="000000"/>
        </w:rPr>
        <w:t>“</w:t>
      </w:r>
      <w:r>
        <w:rPr>
          <w:rFonts w:ascii="Times New Roman" w:hAnsi="Times New Roman"/>
          <w:i/>
          <w:color w:val="000000"/>
          <w:sz w:val="24"/>
        </w:rPr>
        <w:t>Form 10</w:t>
        <w:noBreakHyphen/>
        <w:t>K”</w:t>
      </w:r>
      <w:r>
        <w:rPr>
          <w:rFonts w:ascii="Times New Roman" w:hAnsi="Times New Roman"/>
          <w:color w:val="000000"/>
          <w:sz w:val="24"/>
        </w:rPr>
        <w:t xml:space="preserve"> is defined in </w:t>
      </w:r>
      <w:r>
        <w:rPr>
          <w:rFonts w:ascii="Times New Roman" w:hAnsi="Times New Roman"/>
          <w:b/>
          <w:color w:val="000000"/>
          <w:sz w:val="24"/>
        </w:rPr>
        <w:t>Section 7.1(b)(ii)</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Form 10</w:t>
        <w:noBreakHyphen/>
        <w:t>Q”</w:t>
      </w:r>
      <w:r>
        <w:rPr>
          <w:rFonts w:ascii="Times New Roman" w:hAnsi="Times New Roman"/>
          <w:color w:val="000000"/>
          <w:sz w:val="24"/>
        </w:rPr>
        <w:t xml:space="preserve"> is defined in </w:t>
      </w:r>
      <w:r>
        <w:rPr>
          <w:rFonts w:ascii="Times New Roman" w:hAnsi="Times New Roman"/>
          <w:b/>
          <w:color w:val="000000"/>
          <w:sz w:val="24"/>
        </w:rPr>
        <w:t>Section 7.1(a)(ii)</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Funded Indebtedness”</w:t>
      </w:r>
      <w:r>
        <w:rPr>
          <w:rFonts w:ascii="Times New Roman" w:hAnsi="Times New Roman"/>
          <w:color w:val="000000"/>
          <w:sz w:val="24"/>
        </w:rPr>
        <w:t xml:space="preserve"> of any Person as of any date as of which the amount thereof is to be determined, means (i) all Indebtedness of such Person required to be paid more than one year from the date as of which Funded Indebtedness is being determined pursuant to the terms of the agreement or instrument under which such Indebtedness was incurred, but there shall be excluded sinking fund, serial maturity, periodic installment and amortization payments on account of Indebtedness which are required to be made within one year from the date of such determination and (ii) all Guaranties of Funded Indebtedness of others described in clause (i) of this definition. Notwithstanding the foregoing, Funded Indebtedness shall not include: (a) obligations under contracts for the purchase of gas and energy supply, including transportation charges or Guaranties in respect of such obligations; (b) pension and benefit obligations, whether or not absolute or contingent or included, in accordance with GAAP, in determining total liabilities on the balance sheet; (c) amounts owed to or by the Company or any Subsidiary under the Cash Pooling and Loan Agreement; and (d) all obligations under operating leases.</w:t>
      </w:r>
    </w:p>
    <w:p>
      <w:pPr>
        <w:pStyle w:val="TextBody"/>
        <w:bidi w:val="0"/>
        <w:jc w:val="center"/>
        <w:rPr>
          <w:rFonts w:ascii="Times New Roman" w:hAnsi="Times New Roman"/>
          <w:color w:val="000000"/>
          <w:sz w:val="24"/>
        </w:rPr>
      </w:pPr>
      <w:r>
        <w:rPr>
          <w:rFonts w:ascii="Times New Roman" w:hAnsi="Times New Roman"/>
          <w:color w:val="000000"/>
          <w:sz w:val="24"/>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GAAP”</w:t>
      </w:r>
      <w:r>
        <w:rPr>
          <w:rFonts w:ascii="Times New Roman" w:hAnsi="Times New Roman"/>
          <w:color w:val="000000"/>
          <w:sz w:val="24"/>
        </w:rPr>
        <w:t xml:space="preserve"> means generally accepted accounting principles as in effect from time to time in the United States of America.</w:t>
      </w:r>
    </w:p>
    <w:p>
      <w:pPr>
        <w:pStyle w:val="TextBody"/>
        <w:bidi w:val="0"/>
        <w:spacing w:before="280" w:after="283"/>
        <w:ind w:left="0" w:right="0" w:firstLine="720"/>
        <w:jc w:val="both"/>
        <w:rPr/>
      </w:pPr>
      <w:r>
        <w:rPr>
          <w:color w:val="000000"/>
        </w:rPr>
        <w:t>“</w:t>
      </w:r>
      <w:r>
        <w:rPr>
          <w:rFonts w:ascii="Times New Roman" w:hAnsi="Times New Roman"/>
          <w:i/>
          <w:color w:val="000000"/>
          <w:sz w:val="24"/>
        </w:rPr>
        <w:t>Governmental Authority”</w:t>
      </w:r>
      <w:r>
        <w:rPr>
          <w:rFonts w:ascii="Times New Roman" w:hAnsi="Times New Roman"/>
          <w:color w:val="000000"/>
          <w:sz w:val="24"/>
        </w:rPr>
        <w:t xml:space="preserve"> means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the government of</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 the United States of America or any State or other political subdivision thereof, or</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(ii) any other jurisdiction in which the Company or any Subsidiary conducts all or any part of its business, or which asserts jurisdiction over any properties of the Company or any Subsidiary,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any entity exercising executive, legislative, judicial, regulatory or administrative functions of, or pertaining to, any such government.</w:t>
      </w:r>
    </w:p>
    <w:p>
      <w:pPr>
        <w:pStyle w:val="TextBody"/>
        <w:bidi w:val="0"/>
        <w:spacing w:before="280" w:after="283"/>
        <w:ind w:left="0" w:right="0" w:firstLine="720"/>
        <w:jc w:val="both"/>
        <w:rPr/>
      </w:pPr>
      <w:r>
        <w:rPr>
          <w:color w:val="000000"/>
        </w:rPr>
        <w:t>“</w:t>
      </w:r>
      <w:r>
        <w:rPr>
          <w:rFonts w:ascii="Times New Roman" w:hAnsi="Times New Roman"/>
          <w:i/>
          <w:color w:val="000000"/>
          <w:sz w:val="24"/>
        </w:rPr>
        <w:t>Governmental Official”</w:t>
      </w:r>
      <w:r>
        <w:rPr>
          <w:rFonts w:ascii="Times New Roman" w:hAnsi="Times New Roman"/>
          <w:color w:val="000000"/>
          <w:sz w:val="24"/>
        </w:rPr>
        <w:t xml:space="preserve"> means any governmental official or employee, employee of any government</w:t>
        <w:noBreakHyphen/>
        <w:t>owned or government</w:t>
        <w:noBreakHyphen/>
        <w:t>controlled entity, political party, any official of a political party, candidate for political office, official of any public international organization or anyone else acting in an official capacity.</w:t>
      </w:r>
    </w:p>
    <w:p>
      <w:pPr>
        <w:pStyle w:val="TextBody"/>
        <w:bidi w:val="0"/>
        <w:spacing w:before="280" w:after="283"/>
        <w:ind w:left="0" w:right="0" w:firstLine="720"/>
        <w:jc w:val="both"/>
        <w:rPr/>
      </w:pPr>
      <w:r>
        <w:rPr>
          <w:color w:val="000000"/>
        </w:rPr>
        <w:t>“</w:t>
      </w:r>
      <w:r>
        <w:rPr>
          <w:rFonts w:ascii="Times New Roman" w:hAnsi="Times New Roman"/>
          <w:i/>
          <w:color w:val="000000"/>
          <w:sz w:val="24"/>
        </w:rPr>
        <w:t>Granite”</w:t>
      </w:r>
      <w:r>
        <w:rPr>
          <w:rFonts w:ascii="Times New Roman" w:hAnsi="Times New Roman"/>
          <w:color w:val="000000"/>
          <w:sz w:val="24"/>
        </w:rPr>
        <w:t xml:space="preserve"> means Granite State Gas Transmission, Inc., a New Hampshire corporation.</w:t>
      </w:r>
    </w:p>
    <w:p>
      <w:pPr>
        <w:pStyle w:val="TextBody"/>
        <w:bidi w:val="0"/>
        <w:spacing w:before="280" w:after="283"/>
        <w:ind w:left="0" w:right="0" w:firstLine="720"/>
        <w:jc w:val="both"/>
        <w:rPr/>
      </w:pPr>
      <w:r>
        <w:rPr>
          <w:color w:val="000000"/>
        </w:rPr>
        <w:t>“</w:t>
      </w:r>
      <w:r>
        <w:rPr>
          <w:rFonts w:ascii="Times New Roman" w:hAnsi="Times New Roman"/>
          <w:i/>
          <w:color w:val="000000"/>
          <w:sz w:val="24"/>
        </w:rPr>
        <w:t>Guarantor”</w:t>
      </w:r>
      <w:r>
        <w:rPr>
          <w:rFonts w:ascii="Times New Roman" w:hAnsi="Times New Roman"/>
          <w:color w:val="000000"/>
          <w:sz w:val="24"/>
        </w:rPr>
        <w:t xml:space="preserve"> means each Person who is a party to the Guaranty Agreement and is otherwise required to comply with the requirements of </w:t>
      </w:r>
      <w:r>
        <w:rPr>
          <w:rFonts w:ascii="Times New Roman" w:hAnsi="Times New Roman"/>
          <w:b/>
          <w:color w:val="000000"/>
          <w:sz w:val="24"/>
        </w:rPr>
        <w:t>Section 9.8</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Guaranty”</w:t>
      </w:r>
      <w:r>
        <w:rPr>
          <w:rFonts w:ascii="Times New Roman" w:hAnsi="Times New Roman"/>
          <w:color w:val="000000"/>
          <w:sz w:val="24"/>
        </w:rPr>
        <w:t xml:space="preserve">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to purchase such indebtedness or obligation or any property constituting security therefor;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to lease properties or to purchase properties or services primarily for the purpose of assuring the owner of such indebtedness or obligation of the ability of any other Person to make payment of the indebtedness or obligation; or</w:t>
      </w:r>
    </w:p>
    <w:p>
      <w:pPr>
        <w:pStyle w:val="TextBody"/>
        <w:bidi w:val="0"/>
        <w:jc w:val="center"/>
        <w:rPr>
          <w:rFonts w:ascii="Times New Roman" w:hAnsi="Times New Roman"/>
          <w:color w:val="000000"/>
          <w:sz w:val="24"/>
        </w:rPr>
      </w:pPr>
      <w:r>
        <w:rPr>
          <w:rFonts w:ascii="Times New Roman" w:hAnsi="Times New Roman"/>
          <w:color w:val="000000"/>
          <w:sz w:val="24"/>
        </w:rPr>
        <w:t>B-4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otherwise to assure the owner of such indebtedness or obligation against loss in respect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any computation of the indebtedness or other liabilities of the obligor under any Guaranty, the indebtedness or other obligations that are the subject of such Guaranty shall be assumed to be direct obligations of such obligor.</w:t>
      </w:r>
    </w:p>
    <w:p>
      <w:pPr>
        <w:pStyle w:val="TextBody"/>
        <w:bidi w:val="0"/>
        <w:spacing w:before="280" w:after="283"/>
        <w:ind w:left="0" w:right="0" w:firstLine="720"/>
        <w:jc w:val="both"/>
        <w:rPr/>
      </w:pPr>
      <w:r>
        <w:rPr>
          <w:color w:val="000000"/>
        </w:rPr>
        <w:t>“</w:t>
      </w:r>
      <w:r>
        <w:rPr>
          <w:rFonts w:ascii="Times New Roman" w:hAnsi="Times New Roman"/>
          <w:i/>
          <w:color w:val="000000"/>
          <w:sz w:val="24"/>
        </w:rPr>
        <w:t>Guaranty Agreement”</w:t>
      </w:r>
      <w:r>
        <w:rPr>
          <w:rFonts w:ascii="Times New Roman" w:hAnsi="Times New Roman"/>
          <w:color w:val="000000"/>
          <w:sz w:val="24"/>
        </w:rPr>
        <w:t xml:space="preserve"> means any Guaranty Agreement delivered pursuant to </w:t>
      </w:r>
      <w:r>
        <w:rPr>
          <w:rFonts w:ascii="Times New Roman" w:hAnsi="Times New Roman"/>
          <w:b/>
          <w:color w:val="000000"/>
          <w:sz w:val="24"/>
        </w:rPr>
        <w:t xml:space="preserve">Section 9.8 </w:t>
      </w:r>
      <w:r>
        <w:rPr>
          <w:rFonts w:ascii="Times New Roman" w:hAnsi="Times New Roman"/>
          <w:color w:val="000000"/>
          <w:sz w:val="24"/>
        </w:rPr>
        <w:t xml:space="preserve">the terms of which are substantially similar to the applicable guaranty or other obligation being provided under the Bank Credit Agreement or any other Material Credit Facility and otherwise in a form reasonably acceptable to the Required Holders. </w:t>
      </w:r>
    </w:p>
    <w:p>
      <w:pPr>
        <w:pStyle w:val="TextBody"/>
        <w:bidi w:val="0"/>
        <w:spacing w:before="280" w:after="283"/>
        <w:ind w:left="0" w:right="0" w:firstLine="720"/>
        <w:jc w:val="both"/>
        <w:rPr/>
      </w:pPr>
      <w:r>
        <w:rPr>
          <w:color w:val="000000"/>
        </w:rPr>
        <w:t>“</w:t>
      </w:r>
      <w:r>
        <w:rPr>
          <w:rFonts w:ascii="Times New Roman" w:hAnsi="Times New Roman"/>
          <w:i/>
          <w:color w:val="000000"/>
          <w:sz w:val="24"/>
        </w:rPr>
        <w:t>Hazardous Materials”</w:t>
      </w:r>
      <w:r>
        <w:rPr>
          <w:rFonts w:ascii="Times New Roman" w:hAnsi="Times New Roman"/>
          <w:color w:val="000000"/>
          <w:sz w:val="24"/>
        </w:rPr>
        <w:t xml:space="preserve"> 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pStyle w:val="TextBody"/>
        <w:bidi w:val="0"/>
        <w:spacing w:before="280" w:after="283"/>
        <w:ind w:left="0" w:right="0" w:firstLine="720"/>
        <w:jc w:val="both"/>
        <w:rPr/>
      </w:pPr>
      <w:r>
        <w:rPr>
          <w:color w:val="000000"/>
        </w:rPr>
        <w:t>“</w:t>
      </w:r>
      <w:r>
        <w:rPr>
          <w:rFonts w:ascii="Times New Roman" w:hAnsi="Times New Roman"/>
          <w:i/>
          <w:color w:val="000000"/>
          <w:sz w:val="24"/>
        </w:rPr>
        <w:t>holder”</w:t>
      </w:r>
      <w:r>
        <w:rPr>
          <w:rFonts w:ascii="Times New Roman" w:hAnsi="Times New Roman"/>
          <w:color w:val="000000"/>
          <w:sz w:val="24"/>
        </w:rPr>
        <w:t xml:space="preserve"> means, with respect to any Note the Person in whose name such Note is registered in the register maintained by the Company pursuant to </w:t>
      </w:r>
      <w:r>
        <w:rPr>
          <w:rFonts w:ascii="Times New Roman" w:hAnsi="Times New Roman"/>
          <w:b/>
          <w:color w:val="000000"/>
          <w:sz w:val="24"/>
        </w:rPr>
        <w:t>Section 13.1</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xml:space="preserve"> that if such Person is a nominee, then for the purposes of </w:t>
      </w:r>
      <w:r>
        <w:rPr>
          <w:rFonts w:ascii="Times New Roman" w:hAnsi="Times New Roman"/>
          <w:b/>
          <w:color w:val="000000"/>
          <w:sz w:val="24"/>
        </w:rPr>
        <w:t>Sections 7</w:t>
      </w:r>
      <w:r>
        <w:rPr>
          <w:rFonts w:ascii="Times New Roman" w:hAnsi="Times New Roman"/>
          <w:color w:val="000000"/>
          <w:sz w:val="24"/>
        </w:rPr>
        <w:t xml:space="preserve">, </w:t>
      </w:r>
      <w:r>
        <w:rPr>
          <w:rFonts w:ascii="Times New Roman" w:hAnsi="Times New Roman"/>
          <w:b/>
          <w:color w:val="000000"/>
          <w:sz w:val="24"/>
        </w:rPr>
        <w:t>12</w:t>
      </w:r>
      <w:r>
        <w:rPr>
          <w:rFonts w:ascii="Times New Roman" w:hAnsi="Times New Roman"/>
          <w:color w:val="000000"/>
          <w:sz w:val="24"/>
        </w:rPr>
        <w:t xml:space="preserve">, </w:t>
      </w:r>
      <w:r>
        <w:rPr>
          <w:rFonts w:ascii="Times New Roman" w:hAnsi="Times New Roman"/>
          <w:b/>
          <w:color w:val="000000"/>
          <w:sz w:val="24"/>
        </w:rPr>
        <w:t>17.2</w:t>
      </w:r>
      <w:r>
        <w:rPr>
          <w:rFonts w:ascii="Times New Roman" w:hAnsi="Times New Roman"/>
          <w:color w:val="000000"/>
          <w:sz w:val="24"/>
        </w:rPr>
        <w:t xml:space="preserve">, and </w:t>
      </w:r>
      <w:r>
        <w:rPr>
          <w:rFonts w:ascii="Times New Roman" w:hAnsi="Times New Roman"/>
          <w:b/>
          <w:color w:val="000000"/>
          <w:sz w:val="24"/>
        </w:rPr>
        <w:t>18</w:t>
      </w:r>
      <w:r>
        <w:rPr>
          <w:rFonts w:ascii="Times New Roman" w:hAnsi="Times New Roman"/>
          <w:color w:val="000000"/>
          <w:sz w:val="24"/>
        </w:rPr>
        <w:t xml:space="preserve"> and any related definitions in this </w:t>
      </w:r>
      <w:r>
        <w:rPr>
          <w:rFonts w:ascii="Times New Roman" w:hAnsi="Times New Roman"/>
          <w:b/>
          <w:color w:val="000000"/>
          <w:sz w:val="24"/>
        </w:rPr>
        <w:t>Schedule B</w:t>
      </w:r>
      <w:r>
        <w:rPr>
          <w:rFonts w:ascii="Times New Roman" w:hAnsi="Times New Roman"/>
          <w:color w:val="000000"/>
          <w:sz w:val="24"/>
        </w:rPr>
        <w:t>, “holder” shall mean the beneficial owner of such Note whose name and address appears in such register.</w:t>
      </w:r>
    </w:p>
    <w:p>
      <w:pPr>
        <w:pStyle w:val="TextBody"/>
        <w:bidi w:val="0"/>
        <w:spacing w:before="280" w:after="283"/>
        <w:ind w:left="0" w:right="0" w:firstLine="720"/>
        <w:jc w:val="both"/>
        <w:rPr/>
      </w:pPr>
      <w:r>
        <w:rPr>
          <w:color w:val="000000"/>
        </w:rPr>
        <w:t>“</w:t>
      </w:r>
      <w:r>
        <w:rPr>
          <w:rFonts w:ascii="Times New Roman" w:hAnsi="Times New Roman"/>
          <w:i/>
          <w:color w:val="000000"/>
          <w:sz w:val="24"/>
        </w:rPr>
        <w:t>Indebtedness”</w:t>
      </w:r>
      <w:r>
        <w:rPr>
          <w:rFonts w:ascii="Times New Roman" w:hAnsi="Times New Roman"/>
          <w:color w:val="000000"/>
          <w:sz w:val="24"/>
        </w:rPr>
        <w:t xml:space="preserve"> with respect to any Person means, at any time, without duplication,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(a) its liabilities for borrowed money;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all liabilities which would appear on its balance sheet in accordance with GAAP in respect of Synthetic Leases if such Synthetic Leases were accounted for as Capital Leases;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obligations due in respect of Capital Leases which, taking together such obligations for all Capital Leases of such Person, aggregate $6,000,000 or more in the twelve-month period following the date on which Indebtedness is being determined;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its liabilities for the deferred purchase price of property acquired by such Person (excluding accounts payable arising in the ordinary course of business and liabilities pertaining to the regulated purchase of electricity and natural gas supply in the ordinary course of business, but, in any event, including all liabilities created or arising under any conditional sale or other title retention agreement with respect to any such property);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 without duplication, any Guaranty of such Person with respect to liabilities of a type described in any of clauses (a) through (d) above;</w:t>
      </w:r>
    </w:p>
    <w:p>
      <w:pPr>
        <w:pStyle w:val="TextBody"/>
        <w:bidi w:val="0"/>
        <w:jc w:val="center"/>
        <w:rPr>
          <w:rFonts w:ascii="Times New Roman" w:hAnsi="Times New Roman"/>
          <w:color w:val="000000"/>
          <w:sz w:val="24"/>
        </w:rPr>
      </w:pPr>
      <w:r>
        <w:rPr>
          <w:rFonts w:ascii="Times New Roman" w:hAnsi="Times New Roman"/>
          <w:color w:val="000000"/>
          <w:sz w:val="24"/>
        </w:rPr>
        <w:t>B-5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4"/>
        </w:rPr>
        <w:t xml:space="preserve"> notwithstanding anything to the contrary in the foregoing, Indebtedness of the Company or any Subsidiary shall not include (A) its obligations under contracts for the purchase by it of gas (including propane and liquefied natural gas) or electric energy or capacity, including transmission charges, (B) lease obligations of the Company or any Subsidiary, and (C) pension and other obligations of the Company or any Subsidiary with respect to benefits provided to employees of the Company and its Subsidiaries, regardless of whether such obligations are absolute or contingent or included, in accordance with GAAP, in determining total liabilities as shown on the liability side of a balance sheet of the Company.</w:t>
      </w:r>
    </w:p>
    <w:p>
      <w:pPr>
        <w:pStyle w:val="TextBody"/>
        <w:bidi w:val="0"/>
        <w:spacing w:before="280" w:after="283"/>
        <w:ind w:left="0" w:right="0" w:firstLine="720"/>
        <w:jc w:val="both"/>
        <w:rPr/>
      </w:pPr>
      <w:r>
        <w:rPr>
          <w:color w:val="000000"/>
        </w:rPr>
        <w:t>“</w:t>
      </w:r>
      <w:r>
        <w:rPr>
          <w:rFonts w:ascii="Times New Roman" w:hAnsi="Times New Roman"/>
          <w:i/>
          <w:color w:val="000000"/>
          <w:sz w:val="24"/>
        </w:rPr>
        <w:t>INHAM Exemption”</w:t>
      </w:r>
      <w:r>
        <w:rPr>
          <w:rFonts w:ascii="Times New Roman" w:hAnsi="Times New Roman"/>
          <w:color w:val="000000"/>
          <w:sz w:val="24"/>
        </w:rPr>
        <w:t xml:space="preserve"> is defined in </w:t>
      </w:r>
      <w:r>
        <w:rPr>
          <w:rFonts w:ascii="Times New Roman" w:hAnsi="Times New Roman"/>
          <w:b/>
          <w:color w:val="000000"/>
          <w:sz w:val="24"/>
        </w:rPr>
        <w:t>Section 6.2(e)</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Institutional Investor”</w:t>
      </w:r>
      <w:r>
        <w:rPr>
          <w:rFonts w:ascii="Times New Roman" w:hAnsi="Times New Roman"/>
          <w:color w:val="000000"/>
          <w:sz w:val="24"/>
        </w:rPr>
        <w:t xml:space="preserve"> means (a) any Purchaser of a Note, (b) any holder of a Note holding (together with one or more 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Lien” </w:t>
      </w:r>
      <w:r>
        <w:rPr>
          <w:rFonts w:ascii="Times New Roman" w:hAnsi="Times New Roman"/>
          <w:color w:val="000000"/>
          <w:sz w:val="24"/>
        </w:rPr>
        <w:t>means, with respect to any Person, any mortgage, lien, pledge, adverse claim, charge, security interest or other encumbrance of title in or on,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pStyle w:val="TextBody"/>
        <w:bidi w:val="0"/>
        <w:spacing w:before="280" w:after="283"/>
        <w:ind w:left="0" w:right="0" w:firstLine="720"/>
        <w:jc w:val="both"/>
        <w:rPr/>
      </w:pPr>
      <w:r>
        <w:rPr>
          <w:color w:val="000000"/>
        </w:rPr>
        <w:t>“</w:t>
      </w:r>
      <w:r>
        <w:rPr>
          <w:rFonts w:ascii="Times New Roman" w:hAnsi="Times New Roman"/>
          <w:i/>
          <w:color w:val="000000"/>
          <w:sz w:val="24"/>
        </w:rPr>
        <w:t>Make-Whole Amount”</w:t>
      </w:r>
      <w:r>
        <w:rPr>
          <w:rFonts w:ascii="Times New Roman" w:hAnsi="Times New Roman"/>
          <w:color w:val="000000"/>
          <w:sz w:val="24"/>
        </w:rPr>
        <w:t xml:space="preserve"> is defined in </w:t>
      </w:r>
      <w:r>
        <w:rPr>
          <w:rFonts w:ascii="Times New Roman" w:hAnsi="Times New Roman"/>
          <w:b/>
          <w:color w:val="000000"/>
          <w:sz w:val="24"/>
        </w:rPr>
        <w:t>Section 8.6</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Material”</w:t>
      </w:r>
      <w:r>
        <w:rPr>
          <w:rFonts w:ascii="Times New Roman" w:hAnsi="Times New Roman"/>
          <w:color w:val="000000"/>
          <w:sz w:val="24"/>
        </w:rPr>
        <w:t xml:space="preserve"> means material in relation to the business, operations, affairs, financial condition, assets, or properties of the Company and its Subsidiaries taken as a whole.</w:t>
      </w:r>
    </w:p>
    <w:p>
      <w:pPr>
        <w:pStyle w:val="TextBody"/>
        <w:bidi w:val="0"/>
        <w:spacing w:before="280" w:after="283"/>
        <w:ind w:left="0" w:right="0" w:firstLine="720"/>
        <w:jc w:val="both"/>
        <w:rPr/>
      </w:pPr>
      <w:r>
        <w:rPr>
          <w:color w:val="000000"/>
        </w:rPr>
        <w:t>“</w:t>
      </w:r>
      <w:r>
        <w:rPr>
          <w:rFonts w:ascii="Times New Roman" w:hAnsi="Times New Roman"/>
          <w:i/>
          <w:color w:val="000000"/>
          <w:sz w:val="24"/>
        </w:rPr>
        <w:t>Material Adverse Effect”</w:t>
      </w:r>
      <w:r>
        <w:rPr>
          <w:rFonts w:ascii="Times New Roman" w:hAnsi="Times New Roman"/>
          <w:color w:val="000000"/>
          <w:sz w:val="24"/>
        </w:rPr>
        <w:t xml:space="preserve"> means a material adverse effect on (a) the business, operations, affairs, financial condition, assets or properties of the Company and its Subsidiaries taken as a whole, or (b) the ability of the Company to perform its obligations under this Agreement and the Notes, or (c) the validity or enforceability of this Agreement or the Notes, or (d) the ability of any Guarantor to perform its obligations under any Guaranty Agreement.</w:t>
      </w:r>
    </w:p>
    <w:p>
      <w:pPr>
        <w:pStyle w:val="TextBody"/>
        <w:bidi w:val="0"/>
        <w:spacing w:before="280" w:after="283"/>
        <w:ind w:left="0" w:right="0" w:firstLine="720"/>
        <w:jc w:val="both"/>
        <w:rPr/>
      </w:pPr>
      <w:r>
        <w:rPr>
          <w:color w:val="000000"/>
        </w:rPr>
        <w:t>“</w:t>
      </w:r>
      <w:r>
        <w:rPr>
          <w:rFonts w:ascii="Times New Roman" w:hAnsi="Times New Roman"/>
          <w:i/>
          <w:color w:val="000000"/>
          <w:sz w:val="24"/>
        </w:rPr>
        <w:t>Material Credit Facility”</w:t>
      </w:r>
      <w:r>
        <w:rPr>
          <w:rFonts w:ascii="Times New Roman" w:hAnsi="Times New Roman"/>
          <w:color w:val="000000"/>
          <w:sz w:val="24"/>
        </w:rPr>
        <w:t xml:space="preserve"> means, as to the Company and its Subsidiaries,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the Bank Credit Agreement, including any renewals, extensions, amendments, supplements, restatements, replacements or refinancing thereof; and</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(b) any other agreement(s) (other than the Cash Pooling and Loan Agreement) creating or evidencing indebtedness for borrowed money entered into on or after the date of Closing by the Company or any Subsidiary, or in respect of which the Company or any Subsidiary is an obligor or otherwise provides a guarantee or other credit support (“</w:t>
      </w:r>
      <w:r>
        <w:rPr>
          <w:rFonts w:ascii="Times New Roman" w:hAnsi="Times New Roman"/>
          <w:i/>
          <w:color w:val="000000"/>
          <w:sz w:val="24"/>
        </w:rPr>
        <w:t>Credit Facility”</w:t>
      </w:r>
      <w:r>
        <w:rPr>
          <w:rFonts w:ascii="Times New Roman" w:hAnsi="Times New Roman"/>
          <w:color w:val="000000"/>
          <w:sz w:val="24"/>
        </w:rPr>
        <w:t xml:space="preserve">), in a principal amount outstanding or available for borrowing equal to or greater </w:t>
      </w:r>
    </w:p>
    <w:p>
      <w:pPr>
        <w:pStyle w:val="TextBody"/>
        <w:bidi w:val="0"/>
        <w:jc w:val="center"/>
        <w:rPr>
          <w:rFonts w:ascii="Times New Roman" w:hAnsi="Times New Roman"/>
          <w:color w:val="000000"/>
          <w:sz w:val="24"/>
        </w:rPr>
      </w:pPr>
      <w:r>
        <w:rPr>
          <w:rFonts w:ascii="Times New Roman" w:hAnsi="Times New Roman"/>
          <w:color w:val="000000"/>
          <w:sz w:val="24"/>
        </w:rPr>
        <w:t>B-6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than $10,000,000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r>
        <w:rPr>
          <w:rFonts w:ascii="Times New Roman" w:hAnsi="Times New Roman"/>
          <w:i/>
          <w:color w:val="000000"/>
          <w:sz w:val="24"/>
        </w:rPr>
        <w:t>.</w:t>
      </w:r>
      <w:r>
        <w:rPr>
          <w:rFonts w:ascii="Times New Roman" w:hAnsi="Times New Roman"/>
          <w:color w:val="000000"/>
          <w:sz w:val="24"/>
        </w:rPr>
        <w:t xml:space="preserve"> </w:t>
      </w:r>
    </w:p>
    <w:p>
      <w:pPr>
        <w:pStyle w:val="TextBody"/>
        <w:bidi w:val="0"/>
        <w:spacing w:before="280" w:after="283"/>
        <w:ind w:left="0" w:right="0" w:firstLine="720"/>
        <w:jc w:val="both"/>
        <w:rPr/>
      </w:pPr>
      <w:r>
        <w:rPr>
          <w:color w:val="000000"/>
        </w:rPr>
        <w:t>“</w:t>
      </w:r>
      <w:r>
        <w:rPr>
          <w:rFonts w:ascii="Times New Roman" w:hAnsi="Times New Roman"/>
          <w:i/>
          <w:color w:val="000000"/>
          <w:sz w:val="24"/>
        </w:rPr>
        <w:t>Maturity Date”</w:t>
      </w:r>
      <w:r>
        <w:rPr>
          <w:rFonts w:ascii="Times New Roman" w:hAnsi="Times New Roman"/>
          <w:color w:val="000000"/>
          <w:sz w:val="24"/>
        </w:rPr>
        <w:t xml:space="preserve"> is defined in the first paragraph of each Note.</w:t>
      </w:r>
    </w:p>
    <w:p>
      <w:pPr>
        <w:pStyle w:val="TextBody"/>
        <w:bidi w:val="0"/>
        <w:spacing w:before="280" w:after="283"/>
        <w:ind w:left="0" w:right="0" w:firstLine="720"/>
        <w:jc w:val="both"/>
        <w:rPr/>
      </w:pPr>
      <w:r>
        <w:rPr>
          <w:color w:val="000000"/>
        </w:rPr>
        <w:t>“</w:t>
      </w:r>
      <w:r>
        <w:rPr>
          <w:rFonts w:ascii="Times New Roman" w:hAnsi="Times New Roman"/>
          <w:i/>
          <w:color w:val="000000"/>
          <w:sz w:val="24"/>
        </w:rPr>
        <w:t>MPUC”</w:t>
      </w:r>
      <w:r>
        <w:rPr>
          <w:rFonts w:ascii="Times New Roman" w:hAnsi="Times New Roman"/>
          <w:color w:val="000000"/>
          <w:sz w:val="24"/>
        </w:rPr>
        <w:t xml:space="preserve"> means the Maine Public Utilities Commission and any successor Governmental Authority.</w:t>
      </w:r>
    </w:p>
    <w:p>
      <w:pPr>
        <w:pStyle w:val="TextBody"/>
        <w:bidi w:val="0"/>
        <w:spacing w:before="280" w:after="283"/>
        <w:ind w:left="0" w:right="0" w:firstLine="720"/>
        <w:jc w:val="both"/>
        <w:rPr/>
      </w:pPr>
      <w:r>
        <w:rPr>
          <w:color w:val="000000"/>
        </w:rPr>
        <w:t>“</w:t>
      </w:r>
      <w:r>
        <w:rPr>
          <w:rFonts w:ascii="Times New Roman" w:hAnsi="Times New Roman"/>
          <w:i/>
          <w:color w:val="000000"/>
          <w:sz w:val="24"/>
        </w:rPr>
        <w:t>Multiemployer Plan”</w:t>
      </w:r>
      <w:r>
        <w:rPr>
          <w:rFonts w:ascii="Times New Roman" w:hAnsi="Times New Roman"/>
          <w:color w:val="000000"/>
          <w:sz w:val="24"/>
        </w:rPr>
        <w:t xml:space="preserve"> means any Plan that is a “multiemployer plan” (as such term is defined in section 4001(a)(3) of ERISA).</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NAIC” </w:t>
      </w:r>
      <w:r>
        <w:rPr>
          <w:rFonts w:ascii="Times New Roman" w:hAnsi="Times New Roman"/>
          <w:color w:val="000000"/>
          <w:sz w:val="24"/>
        </w:rPr>
        <w:t>means the National Association of Insurance Commissioners or any successor thereto.</w:t>
      </w:r>
    </w:p>
    <w:p>
      <w:pPr>
        <w:pStyle w:val="TextBody"/>
        <w:bidi w:val="0"/>
        <w:spacing w:before="280" w:after="283"/>
        <w:ind w:left="0" w:right="0" w:firstLine="720"/>
        <w:jc w:val="both"/>
        <w:rPr/>
      </w:pPr>
      <w:r>
        <w:rPr>
          <w:color w:val="000000"/>
        </w:rPr>
        <w:t>“</w:t>
      </w:r>
      <w:r>
        <w:rPr>
          <w:rFonts w:ascii="Times New Roman" w:hAnsi="Times New Roman"/>
          <w:i/>
          <w:color w:val="000000"/>
          <w:sz w:val="24"/>
        </w:rPr>
        <w:t>Non</w:t>
        <w:noBreakHyphen/>
        <w:t>U.S. Plan”</w:t>
      </w:r>
      <w:r>
        <w:rPr>
          <w:rFonts w:ascii="Times New Roman" w:hAnsi="Times New Roman"/>
          <w:color w:val="000000"/>
          <w:sz w:val="24"/>
        </w:rPr>
        <w:t xml:space="preserve">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pStyle w:val="TextBody"/>
        <w:bidi w:val="0"/>
        <w:spacing w:before="280" w:after="283"/>
        <w:ind w:left="0" w:right="0" w:firstLine="720"/>
        <w:jc w:val="both"/>
        <w:rPr/>
      </w:pPr>
      <w:r>
        <w:rPr>
          <w:color w:val="000000"/>
        </w:rPr>
        <w:t>“</w:t>
      </w:r>
      <w:r>
        <w:rPr>
          <w:rFonts w:ascii="Times New Roman" w:hAnsi="Times New Roman"/>
          <w:i/>
          <w:color w:val="000000"/>
          <w:sz w:val="24"/>
        </w:rPr>
        <w:t>Notes”</w:t>
      </w:r>
      <w:r>
        <w:rPr>
          <w:rFonts w:ascii="Times New Roman" w:hAnsi="Times New Roman"/>
          <w:color w:val="000000"/>
          <w:sz w:val="24"/>
        </w:rPr>
        <w:t xml:space="preserve"> is defined in </w:t>
      </w:r>
      <w:r>
        <w:rPr>
          <w:rFonts w:ascii="Times New Roman" w:hAnsi="Times New Roman"/>
          <w:b/>
          <w:color w:val="000000"/>
          <w:sz w:val="24"/>
        </w:rPr>
        <w:t>Section 1</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OFAC”</w:t>
      </w:r>
      <w:r>
        <w:rPr>
          <w:rFonts w:ascii="Times New Roman" w:hAnsi="Times New Roman"/>
          <w:color w:val="000000"/>
          <w:sz w:val="24"/>
        </w:rPr>
        <w:t xml:space="preserve"> means the Office of Foreign Assets Control of the United States Department of the Treasury.</w:t>
      </w:r>
    </w:p>
    <w:p>
      <w:pPr>
        <w:pStyle w:val="TextBody"/>
        <w:bidi w:val="0"/>
        <w:spacing w:before="280" w:after="283"/>
        <w:ind w:left="0" w:right="0" w:firstLine="720"/>
        <w:jc w:val="both"/>
        <w:rPr/>
      </w:pPr>
      <w:r>
        <w:rPr>
          <w:color w:val="000000"/>
        </w:rPr>
        <w:t>“</w:t>
      </w:r>
      <w:r>
        <w:rPr>
          <w:rFonts w:ascii="Times New Roman" w:hAnsi="Times New Roman"/>
          <w:i/>
          <w:color w:val="000000"/>
          <w:sz w:val="24"/>
        </w:rPr>
        <w:t>OFAC Sanctions Program”</w:t>
      </w:r>
      <w:r>
        <w:rPr>
          <w:rFonts w:ascii="Times New Roman" w:hAnsi="Times New Roman"/>
          <w:color w:val="000000"/>
          <w:sz w:val="24"/>
        </w:rPr>
        <w:t xml:space="preserve"> means any economic or trade sanction that OFAC is responsible for administering and enforcing. A list of OFAC Sanctions Programs may be found at </w:t>
      </w:r>
      <w:r>
        <w:rPr>
          <w:rFonts w:ascii="Times New Roman" w:hAnsi="Times New Roman"/>
          <w:sz w:val="24"/>
        </w:rPr>
        <w:t>http://www.treasury.gov/resource-center/sanctions/Programs/Pages/Programs.aspx</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Officer’s Certificate” </w:t>
      </w:r>
      <w:r>
        <w:rPr>
          <w:rFonts w:ascii="Times New Roman" w:hAnsi="Times New Roman"/>
          <w:color w:val="000000"/>
          <w:sz w:val="24"/>
        </w:rPr>
        <w:t>means a certificate of a Senior Financial Officer or of any other officer of the Company whose responsibilities extend to the subject matter of such certificate.</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Person” </w:t>
      </w:r>
      <w:r>
        <w:rPr>
          <w:rFonts w:ascii="Times New Roman" w:hAnsi="Times New Roman"/>
          <w:color w:val="000000"/>
          <w:sz w:val="24"/>
        </w:rPr>
        <w:t>means an individual, partnership, corporation, limited liability company, association, trust, unincorporated organization, business entity or Governmental Authority.</w:t>
      </w:r>
    </w:p>
    <w:p>
      <w:pPr>
        <w:pStyle w:val="TextBody"/>
        <w:bidi w:val="0"/>
        <w:spacing w:before="280" w:after="283"/>
        <w:ind w:left="0" w:right="0" w:firstLine="720"/>
        <w:jc w:val="both"/>
        <w:rPr/>
      </w:pPr>
      <w:r>
        <w:rPr>
          <w:color w:val="000000"/>
        </w:rPr>
        <w:t>“</w:t>
      </w:r>
      <w:r>
        <w:rPr>
          <w:rFonts w:ascii="Times New Roman" w:hAnsi="Times New Roman"/>
          <w:i/>
          <w:color w:val="000000"/>
          <w:sz w:val="24"/>
        </w:rPr>
        <w:t>Plan”</w:t>
      </w:r>
      <w:r>
        <w:rPr>
          <w:rFonts w:ascii="Times New Roman" w:hAnsi="Times New Roman"/>
          <w:color w:val="000000"/>
          <w:sz w:val="24"/>
        </w:rPr>
        <w:t xml:space="preserve"> 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pStyle w:val="TextBody"/>
        <w:bidi w:val="0"/>
        <w:jc w:val="center"/>
        <w:rPr>
          <w:rFonts w:ascii="Times New Roman" w:hAnsi="Times New Roman"/>
          <w:color w:val="000000"/>
          <w:sz w:val="24"/>
        </w:rPr>
      </w:pPr>
      <w:r>
        <w:rPr>
          <w:rFonts w:ascii="Times New Roman" w:hAnsi="Times New Roman"/>
          <w:color w:val="000000"/>
          <w:sz w:val="24"/>
        </w:rPr>
        <w:t>B-7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Preferred Stock” </w:t>
      </w:r>
      <w:r>
        <w:rPr>
          <w:rFonts w:ascii="Times New Roman" w:hAnsi="Times New Roman"/>
          <w:color w:val="000000"/>
          <w:sz w:val="24"/>
        </w:rPr>
        <w:t>means any class of capital stock of a Person that is preferred over any other class of capital stock (or similar equity interests) of such Person as to the payment of dividends or the payment of any amount upon liquidation or dissolution of such Person.</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property” </w:t>
      </w:r>
      <w:r>
        <w:rPr>
          <w:rFonts w:ascii="Times New Roman" w:hAnsi="Times New Roman"/>
          <w:color w:val="000000"/>
          <w:sz w:val="24"/>
        </w:rPr>
        <w:t>or “</w:t>
      </w:r>
      <w:r>
        <w:rPr>
          <w:rFonts w:ascii="Times New Roman" w:hAnsi="Times New Roman"/>
          <w:i/>
          <w:color w:val="000000"/>
          <w:sz w:val="24"/>
        </w:rPr>
        <w:t>properties”</w:t>
      </w:r>
      <w:r>
        <w:rPr>
          <w:rFonts w:ascii="Times New Roman" w:hAnsi="Times New Roman"/>
          <w:color w:val="000000"/>
          <w:sz w:val="24"/>
        </w:rPr>
        <w:t xml:space="preserve"> means, unless otherwise specifically limited, real or personal property of any kind, tangible or intangible, choate or inchoate.</w:t>
      </w:r>
    </w:p>
    <w:p>
      <w:pPr>
        <w:pStyle w:val="TextBody"/>
        <w:bidi w:val="0"/>
        <w:spacing w:before="280" w:after="283"/>
        <w:ind w:left="0" w:right="0" w:firstLine="720"/>
        <w:jc w:val="both"/>
        <w:rPr/>
      </w:pPr>
      <w:r>
        <w:rPr>
          <w:color w:val="000000"/>
        </w:rPr>
        <w:t>“</w:t>
      </w:r>
      <w:r>
        <w:rPr>
          <w:rFonts w:ascii="Times New Roman" w:hAnsi="Times New Roman"/>
          <w:i/>
          <w:color w:val="000000"/>
          <w:sz w:val="24"/>
        </w:rPr>
        <w:t>PTE”</w:t>
      </w:r>
      <w:r>
        <w:rPr>
          <w:rFonts w:ascii="Times New Roman" w:hAnsi="Times New Roman"/>
          <w:color w:val="000000"/>
          <w:sz w:val="24"/>
        </w:rPr>
        <w:t xml:space="preserve"> is defined in </w:t>
      </w:r>
      <w:r>
        <w:rPr>
          <w:rFonts w:ascii="Times New Roman" w:hAnsi="Times New Roman"/>
          <w:b/>
          <w:color w:val="000000"/>
          <w:sz w:val="24"/>
        </w:rPr>
        <w:t>Section 6.2(a)</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Purchaser” </w:t>
      </w:r>
      <w:r>
        <w:rPr>
          <w:rFonts w:ascii="Times New Roman" w:hAnsi="Times New Roman"/>
          <w:color w:val="000000"/>
          <w:sz w:val="24"/>
        </w:rPr>
        <w:t>is defined in the first paragraph of this Agreement.</w:t>
      </w:r>
    </w:p>
    <w:p>
      <w:pPr>
        <w:pStyle w:val="TextBody"/>
        <w:bidi w:val="0"/>
        <w:spacing w:before="280" w:after="283"/>
        <w:ind w:left="0" w:right="0" w:firstLine="720"/>
        <w:jc w:val="both"/>
        <w:rPr/>
      </w:pPr>
      <w:r>
        <w:rPr>
          <w:color w:val="000000"/>
        </w:rPr>
        <w:t>“</w:t>
      </w:r>
      <w:r>
        <w:rPr>
          <w:rFonts w:ascii="Times New Roman" w:hAnsi="Times New Roman"/>
          <w:i/>
          <w:color w:val="000000"/>
          <w:sz w:val="24"/>
        </w:rPr>
        <w:t>Qualified Institutional Buyer”</w:t>
      </w:r>
      <w:r>
        <w:rPr>
          <w:rFonts w:ascii="Times New Roman" w:hAnsi="Times New Roman"/>
          <w:color w:val="000000"/>
          <w:sz w:val="24"/>
        </w:rPr>
        <w:t xml:space="preserve"> means any Person who is a “qualified institutional buyer” within the meaning of such term as set forth in Rule 144A(a)(1) under the Securities Act.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QPAM Exemption” </w:t>
      </w:r>
      <w:r>
        <w:rPr>
          <w:rFonts w:ascii="Times New Roman" w:hAnsi="Times New Roman"/>
          <w:color w:val="000000"/>
          <w:sz w:val="24"/>
        </w:rPr>
        <w:t xml:space="preserve">is defined in </w:t>
      </w:r>
      <w:r>
        <w:rPr>
          <w:rFonts w:ascii="Times New Roman" w:hAnsi="Times New Roman"/>
          <w:b/>
          <w:color w:val="000000"/>
          <w:sz w:val="24"/>
        </w:rPr>
        <w:t>Section 6.2(d)</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Related Fund”</w:t>
      </w:r>
      <w:r>
        <w:rPr>
          <w:rFonts w:ascii="Times New Roman" w:hAnsi="Times New Roman"/>
          <w:color w:val="000000"/>
          <w:sz w:val="24"/>
        </w:rPr>
        <w:t xml:space="preserve"> means, with respect to any holder of any Note, any fund or entity that (i) invests in Securities or bank loans, and (ii) is advised or managed by such holder, the same investment advisor as such holder or by an affiliate of such holder or such investment advisor.</w:t>
      </w:r>
    </w:p>
    <w:p>
      <w:pPr>
        <w:pStyle w:val="TextBody"/>
        <w:bidi w:val="0"/>
        <w:spacing w:before="280" w:after="283"/>
        <w:ind w:left="0" w:right="0" w:firstLine="720"/>
        <w:jc w:val="both"/>
        <w:rPr/>
      </w:pPr>
      <w:r>
        <w:rPr>
          <w:color w:val="000000"/>
        </w:rPr>
        <w:t>“</w:t>
      </w:r>
      <w:r>
        <w:rPr>
          <w:rFonts w:ascii="Times New Roman" w:hAnsi="Times New Roman"/>
          <w:i/>
          <w:color w:val="000000"/>
          <w:sz w:val="24"/>
        </w:rPr>
        <w:t>Required Holders”</w:t>
      </w:r>
      <w:r>
        <w:rPr>
          <w:rFonts w:ascii="Times New Roman" w:hAnsi="Times New Roman"/>
          <w:color w:val="000000"/>
          <w:sz w:val="24"/>
        </w:rPr>
        <w:t xml:space="preserve"> means at any time on or after the Closing, the holders of at least a majority in principal amount of the Notes at the time outstanding (exclusive of Notes then owned by the Company or any of its Affiliates).</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Responsible Officer” </w:t>
      </w:r>
      <w:r>
        <w:rPr>
          <w:rFonts w:ascii="Times New Roman" w:hAnsi="Times New Roman"/>
          <w:color w:val="000000"/>
          <w:sz w:val="24"/>
        </w:rPr>
        <w:t>means any Senior Financial Officer and any other officer of the Company or any Guarantor, as applicable, with responsibility for the administration of the relevant portion of this Agreement.</w:t>
      </w:r>
    </w:p>
    <w:p>
      <w:pPr>
        <w:pStyle w:val="TextBody"/>
        <w:bidi w:val="0"/>
        <w:spacing w:before="280" w:after="283"/>
        <w:ind w:left="0" w:right="0" w:firstLine="720"/>
        <w:jc w:val="both"/>
        <w:rPr/>
      </w:pPr>
      <w:r>
        <w:rPr>
          <w:color w:val="000000"/>
        </w:rPr>
        <w:t>“</w:t>
      </w:r>
      <w:r>
        <w:rPr>
          <w:rFonts w:ascii="Times New Roman" w:hAnsi="Times New Roman"/>
          <w:i/>
          <w:color w:val="000000"/>
          <w:sz w:val="24"/>
        </w:rPr>
        <w:t>SEC”</w:t>
      </w:r>
      <w:r>
        <w:rPr>
          <w:rFonts w:ascii="Times New Roman" w:hAnsi="Times New Roman"/>
          <w:color w:val="000000"/>
          <w:sz w:val="24"/>
        </w:rPr>
        <w:t xml:space="preserve"> shall mean the Securities and Exchange Commission of the United States, or any successor thereto.</w:t>
      </w:r>
    </w:p>
    <w:p>
      <w:pPr>
        <w:pStyle w:val="TextBody"/>
        <w:bidi w:val="0"/>
        <w:spacing w:before="280" w:after="283"/>
        <w:ind w:left="0" w:right="0" w:firstLine="720"/>
        <w:jc w:val="both"/>
        <w:rPr/>
      </w:pPr>
      <w:r>
        <w:rPr>
          <w:color w:val="000000"/>
        </w:rPr>
        <w:t>“</w:t>
      </w:r>
      <w:r>
        <w:rPr>
          <w:rFonts w:ascii="Times New Roman" w:hAnsi="Times New Roman"/>
          <w:i/>
          <w:color w:val="000000"/>
          <w:sz w:val="24"/>
        </w:rPr>
        <w:t>Securities”</w:t>
      </w:r>
      <w:r>
        <w:rPr>
          <w:rFonts w:ascii="Times New Roman" w:hAnsi="Times New Roman"/>
          <w:color w:val="000000"/>
          <w:sz w:val="24"/>
        </w:rPr>
        <w:t xml:space="preserve"> or “</w:t>
      </w:r>
      <w:r>
        <w:rPr>
          <w:rFonts w:ascii="Times New Roman" w:hAnsi="Times New Roman"/>
          <w:i/>
          <w:color w:val="000000"/>
          <w:sz w:val="24"/>
        </w:rPr>
        <w:t>securities”</w:t>
      </w:r>
      <w:r>
        <w:rPr>
          <w:rFonts w:ascii="Times New Roman" w:hAnsi="Times New Roman"/>
          <w:color w:val="000000"/>
          <w:sz w:val="24"/>
        </w:rPr>
        <w:t xml:space="preserve"> shall have the meaning specified in section 2(1) of the Securities Act.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Securities Act” </w:t>
      </w:r>
      <w:r>
        <w:rPr>
          <w:rFonts w:ascii="Times New Roman" w:hAnsi="Times New Roman"/>
          <w:color w:val="000000"/>
          <w:sz w:val="24"/>
        </w:rPr>
        <w:t>means the Securities Act of 1933, as amended from time to time, and the rules and regulations promulgated thereunder from time to time in effect.</w:t>
      </w:r>
    </w:p>
    <w:p>
      <w:pPr>
        <w:pStyle w:val="TextBody"/>
        <w:bidi w:val="0"/>
        <w:spacing w:before="280" w:after="283"/>
        <w:ind w:left="0" w:right="0" w:firstLine="720"/>
        <w:jc w:val="both"/>
        <w:rPr/>
      </w:pPr>
      <w:r>
        <w:rPr>
          <w:color w:val="000000"/>
        </w:rPr>
        <w:t>“</w:t>
      </w:r>
      <w:r>
        <w:rPr>
          <w:rFonts w:ascii="Times New Roman" w:hAnsi="Times New Roman"/>
          <w:i/>
          <w:color w:val="000000"/>
          <w:sz w:val="24"/>
        </w:rPr>
        <w:t>Senior Financial Officer”</w:t>
      </w:r>
      <w:r>
        <w:rPr>
          <w:rFonts w:ascii="Times New Roman" w:hAnsi="Times New Roman"/>
          <w:color w:val="000000"/>
          <w:sz w:val="24"/>
        </w:rPr>
        <w:t xml:space="preserve"> means the chief financial officer, principal accounting officer, treasurer or comptroller of the Company or of Unitil, as applicable.</w:t>
      </w:r>
    </w:p>
    <w:p>
      <w:pPr>
        <w:pStyle w:val="TextBody"/>
        <w:bidi w:val="0"/>
        <w:spacing w:before="280" w:after="283"/>
        <w:ind w:left="0" w:right="0" w:firstLine="720"/>
        <w:jc w:val="both"/>
        <w:rPr/>
      </w:pPr>
      <w:r>
        <w:rPr>
          <w:color w:val="000000"/>
        </w:rPr>
        <w:t>“</w:t>
      </w:r>
      <w:r>
        <w:rPr>
          <w:rFonts w:ascii="Times New Roman" w:hAnsi="Times New Roman"/>
          <w:i/>
          <w:color w:val="000000"/>
          <w:sz w:val="24"/>
        </w:rPr>
        <w:t>State Sanctions List”</w:t>
      </w:r>
      <w:r>
        <w:rPr>
          <w:rFonts w:ascii="Times New Roman" w:hAnsi="Times New Roman"/>
          <w:color w:val="000000"/>
          <w:sz w:val="24"/>
        </w:rPr>
        <w:t xml:space="preserve">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 </w:t>
      </w:r>
    </w:p>
    <w:p>
      <w:pPr>
        <w:pStyle w:val="TextBody"/>
        <w:bidi w:val="0"/>
        <w:spacing w:before="280" w:after="283"/>
        <w:ind w:left="0" w:right="0" w:firstLine="720"/>
        <w:jc w:val="both"/>
        <w:rPr/>
      </w:pPr>
      <w:r>
        <w:rPr>
          <w:color w:val="000000"/>
        </w:rPr>
        <w:t>“</w:t>
      </w:r>
      <w:r>
        <w:rPr>
          <w:rFonts w:ascii="Times New Roman" w:hAnsi="Times New Roman"/>
          <w:i/>
          <w:color w:val="000000"/>
          <w:sz w:val="24"/>
        </w:rPr>
        <w:t>Source”</w:t>
      </w:r>
      <w:r>
        <w:rPr>
          <w:rFonts w:ascii="Times New Roman" w:hAnsi="Times New Roman"/>
          <w:color w:val="000000"/>
          <w:sz w:val="24"/>
        </w:rPr>
        <w:t xml:space="preserve"> is defined in </w:t>
      </w:r>
      <w:r>
        <w:rPr>
          <w:rFonts w:ascii="Times New Roman" w:hAnsi="Times New Roman"/>
          <w:b/>
          <w:color w:val="000000"/>
          <w:sz w:val="24"/>
        </w:rPr>
        <w:t>Section 6.2</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B-8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Subsidiary”</w:t>
      </w:r>
      <w:r>
        <w:rPr>
          <w:rFonts w:ascii="Times New Roman" w:hAnsi="Times New Roman"/>
          <w:color w:val="000000"/>
          <w:sz w:val="24"/>
        </w:rPr>
        <w:t xml:space="preserve">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pStyle w:val="TextBody"/>
        <w:bidi w:val="0"/>
        <w:spacing w:before="280" w:after="283"/>
        <w:ind w:left="0" w:right="0" w:firstLine="720"/>
        <w:jc w:val="both"/>
        <w:rPr/>
      </w:pPr>
      <w:r>
        <w:rPr>
          <w:color w:val="000000"/>
        </w:rPr>
        <w:t>“</w:t>
      </w:r>
      <w:r>
        <w:rPr>
          <w:rFonts w:ascii="Times New Roman" w:hAnsi="Times New Roman"/>
          <w:i/>
          <w:color w:val="000000"/>
          <w:sz w:val="24"/>
        </w:rPr>
        <w:t>SVO”</w:t>
      </w:r>
      <w:r>
        <w:rPr>
          <w:rFonts w:ascii="Times New Roman" w:hAnsi="Times New Roman"/>
          <w:color w:val="000000"/>
          <w:sz w:val="24"/>
        </w:rPr>
        <w:t xml:space="preserve"> means the Securities Valuation Office of the NAIC or any successor to such Office.</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Synthetic Lease” </w:t>
      </w:r>
      <w:r>
        <w:rPr>
          <w:rFonts w:ascii="Times New Roman" w:hAnsi="Times New Roman"/>
          <w:color w:val="000000"/>
          <w:sz w:val="24"/>
        </w:rPr>
        <w:t>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w:t>
      </w:r>
    </w:p>
    <w:p>
      <w:pPr>
        <w:pStyle w:val="TextBody"/>
        <w:bidi w:val="0"/>
        <w:spacing w:before="280" w:after="283"/>
        <w:ind w:left="0" w:right="0" w:firstLine="720"/>
        <w:jc w:val="both"/>
        <w:rPr/>
      </w:pPr>
      <w:r>
        <w:rPr>
          <w:color w:val="000000"/>
        </w:rPr>
        <w:t>“</w:t>
      </w:r>
      <w:r>
        <w:rPr>
          <w:rFonts w:ascii="Times New Roman" w:hAnsi="Times New Roman"/>
          <w:i/>
          <w:color w:val="000000"/>
          <w:sz w:val="24"/>
        </w:rPr>
        <w:t>Total Capitalization”</w:t>
      </w:r>
      <w:r>
        <w:rPr>
          <w:rFonts w:ascii="Times New Roman" w:hAnsi="Times New Roman"/>
          <w:color w:val="000000"/>
          <w:sz w:val="24"/>
        </w:rPr>
        <w:t xml:space="preserve"> at any date means the sum of (x) Funded Indebtedness of the Company and its Subsidiaries, and (y) Total Shareholders’ Equity as of such date. Such Total Capitalization shall be exclusive of Accumulated and Other Comprehensive Income (within the meaning of GAAP) derived from pension and benefit obligations;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to the extent permitted by </w:t>
      </w:r>
      <w:r>
        <w:rPr>
          <w:rFonts w:ascii="Times New Roman" w:hAnsi="Times New Roman"/>
          <w:b/>
          <w:color w:val="000000"/>
          <w:sz w:val="24"/>
        </w:rPr>
        <w:t>Section 10.1(a)(iii)</w:t>
      </w:r>
      <w:r>
        <w:rPr>
          <w:rFonts w:ascii="Times New Roman" w:hAnsi="Times New Roman"/>
          <w:color w:val="000000"/>
          <w:sz w:val="24"/>
        </w:rPr>
        <w:t xml:space="preserve"> hereof, any Funded Indebtedness to be redeemed from the proceeds of the incurrence of Funded Indebtedness as provided for in </w:t>
      </w:r>
      <w:r>
        <w:rPr>
          <w:rFonts w:ascii="Times New Roman" w:hAnsi="Times New Roman"/>
          <w:b/>
          <w:color w:val="000000"/>
          <w:sz w:val="24"/>
        </w:rPr>
        <w:t>Section 10.1(a)(iii)</w:t>
      </w:r>
      <w:r>
        <w:rPr>
          <w:rFonts w:ascii="Times New Roman" w:hAnsi="Times New Roman"/>
          <w:color w:val="000000"/>
          <w:sz w:val="24"/>
        </w:rPr>
        <w:t xml:space="preserve"> hereof, which have not yet been so redeemed, shall not be included in the determination of Total Capitalization. Such Total Capitalization shall be exclusive of accumulated Other Comprehensive Income (within the meaning of GAAP).</w:t>
      </w:r>
    </w:p>
    <w:p>
      <w:pPr>
        <w:pStyle w:val="TextBody"/>
        <w:bidi w:val="0"/>
        <w:spacing w:before="280" w:after="283"/>
        <w:ind w:left="0" w:right="0" w:firstLine="720"/>
        <w:jc w:val="both"/>
        <w:rPr/>
      </w:pPr>
      <w:r>
        <w:rPr>
          <w:color w:val="000000"/>
        </w:rPr>
        <w:t>“</w:t>
      </w:r>
      <w:r>
        <w:rPr>
          <w:rFonts w:ascii="Times New Roman" w:hAnsi="Times New Roman"/>
          <w:i/>
          <w:color w:val="000000"/>
          <w:sz w:val="24"/>
        </w:rPr>
        <w:t>Total Shareholders’ Equity”</w:t>
      </w:r>
      <w:r>
        <w:rPr>
          <w:rFonts w:ascii="Times New Roman" w:hAnsi="Times New Roman"/>
          <w:color w:val="000000"/>
          <w:sz w:val="24"/>
        </w:rPr>
        <w:t xml:space="preserve"> means, as of any date of determination, the aggregate amount for total common stock equity, preference stock and Preferred Stock as presented in accordance with GAAP on a consolidated balance sheet of the Company as of such date.</w:t>
      </w:r>
    </w:p>
    <w:p>
      <w:pPr>
        <w:pStyle w:val="TextBody"/>
        <w:bidi w:val="0"/>
        <w:spacing w:before="280" w:after="283"/>
        <w:ind w:left="0" w:right="0" w:firstLine="720"/>
        <w:jc w:val="both"/>
        <w:rPr/>
      </w:pPr>
      <w:r>
        <w:rPr>
          <w:color w:val="000000"/>
        </w:rPr>
        <w:t>“</w:t>
      </w:r>
      <w:r>
        <w:rPr>
          <w:rFonts w:ascii="Times New Roman" w:hAnsi="Times New Roman"/>
          <w:i/>
          <w:color w:val="000000"/>
          <w:sz w:val="24"/>
        </w:rPr>
        <w:t>Unitil”</w:t>
      </w:r>
      <w:r>
        <w:rPr>
          <w:rFonts w:ascii="Times New Roman" w:hAnsi="Times New Roman"/>
          <w:color w:val="000000"/>
          <w:sz w:val="24"/>
        </w:rPr>
        <w:t xml:space="preserve"> means Unitil Corporation, a New Hampshire corporation.</w:t>
      </w:r>
    </w:p>
    <w:p>
      <w:pPr>
        <w:pStyle w:val="TextBody"/>
        <w:bidi w:val="0"/>
        <w:spacing w:before="280" w:after="283"/>
        <w:ind w:left="0" w:right="0" w:firstLine="720"/>
        <w:jc w:val="both"/>
        <w:rPr/>
      </w:pPr>
      <w:r>
        <w:rPr>
          <w:color w:val="000000"/>
        </w:rPr>
        <w:t>“</w:t>
      </w:r>
      <w:r>
        <w:rPr>
          <w:rFonts w:ascii="Times New Roman" w:hAnsi="Times New Roman"/>
          <w:i/>
          <w:color w:val="000000"/>
          <w:sz w:val="24"/>
        </w:rPr>
        <w:t>USA Patriot Act”</w:t>
      </w:r>
      <w:r>
        <w:rPr>
          <w:rFonts w:ascii="Times New Roman" w:hAnsi="Times New Roman"/>
          <w:color w:val="000000"/>
          <w:sz w:val="24"/>
        </w:rPr>
        <w:t xml:space="preserve"> means United States Public Law 107</w:t>
        <w:noBreakHyphen/>
        <w:t>56, Uniting and Strengthening America by Providing Appropriate Tools Required to Intercept and Obstruct Terrorism (USA PATRIOT ACT) Act of 2001, as amended from time to time, and the rules and regulations promulgated thereunder from time to time in effect.</w:t>
      </w:r>
    </w:p>
    <w:p>
      <w:pPr>
        <w:pStyle w:val="TextBody"/>
        <w:bidi w:val="0"/>
        <w:spacing w:before="280" w:after="283"/>
        <w:ind w:left="0" w:right="0" w:firstLine="720"/>
        <w:jc w:val="both"/>
        <w:rPr/>
      </w:pPr>
      <w:r>
        <w:rPr>
          <w:color w:val="000000"/>
        </w:rPr>
        <w:t>“</w:t>
      </w:r>
      <w:r>
        <w:rPr>
          <w:rFonts w:ascii="Times New Roman" w:hAnsi="Times New Roman"/>
          <w:i/>
          <w:color w:val="000000"/>
          <w:sz w:val="24"/>
        </w:rPr>
        <w:t>U.S. Economic Sanctions Laws”</w:t>
      </w:r>
      <w:r>
        <w:rPr>
          <w:rFonts w:ascii="Times New Roman" w:hAnsi="Times New Roman"/>
          <w:color w:val="000000"/>
          <w:sz w:val="24"/>
        </w:rPr>
        <w:t xml:space="preserve">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pStyle w:val="TextBody"/>
        <w:bidi w:val="0"/>
        <w:jc w:val="center"/>
        <w:rPr>
          <w:rFonts w:ascii="Times New Roman" w:hAnsi="Times New Roman"/>
          <w:color w:val="000000"/>
          <w:sz w:val="24"/>
        </w:rPr>
      </w:pPr>
      <w:r>
        <w:rPr>
          <w:rFonts w:ascii="Times New Roman" w:hAnsi="Times New Roman"/>
          <w:color w:val="000000"/>
          <w:sz w:val="24"/>
        </w:rPr>
        <w:t>B-9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United States Person”</w:t>
      </w:r>
      <w:r>
        <w:rPr>
          <w:rFonts w:ascii="Times New Roman" w:hAnsi="Times New Roman"/>
          <w:color w:val="000000"/>
          <w:sz w:val="24"/>
        </w:rPr>
        <w:t xml:space="preserve"> has the meaning set forth in section 7701(a)(30) of the Code.</w:t>
      </w:r>
    </w:p>
    <w:p>
      <w:pPr>
        <w:pStyle w:val="TextBody"/>
        <w:bidi w:val="0"/>
        <w:spacing w:before="280" w:after="283"/>
        <w:ind w:left="0" w:right="0" w:firstLine="720"/>
        <w:jc w:val="both"/>
        <w:rPr/>
      </w:pPr>
      <w:r>
        <w:rPr>
          <w:color w:val="000000"/>
        </w:rPr>
        <w:t>“</w:t>
      </w:r>
      <w:r>
        <w:rPr>
          <w:rFonts w:ascii="Times New Roman" w:hAnsi="Times New Roman"/>
          <w:i/>
          <w:color w:val="000000"/>
          <w:sz w:val="24"/>
        </w:rPr>
        <w:t>Wholly-Owned Subsidiary”</w:t>
      </w:r>
      <w:r>
        <w:rPr>
          <w:rFonts w:ascii="Times New Roman" w:hAnsi="Times New Roman"/>
          <w:color w:val="000000"/>
          <w:sz w:val="24"/>
        </w:rPr>
        <w:t xml:space="preserve"> means, at any time, any Subsidiary one hundred percent of all of the equity interests (except directors’ qualifying shares) and voting interests of which are owned by any one or more of the Company and the Company’s other Wholly-Owned Subsidiaries at such time.</w:t>
      </w:r>
    </w:p>
    <w:p>
      <w:pPr>
        <w:pStyle w:val="TextBody"/>
        <w:bidi w:val="0"/>
        <w:spacing w:before="280" w:after="283"/>
        <w:ind w:left="0" w:right="0" w:firstLine="720"/>
        <w:jc w:val="both"/>
        <w:rPr/>
      </w:pPr>
      <w:r>
        <w:rPr/>
        <w:t> </w:t>
      </w:r>
    </w:p>
    <w:p>
      <w:pPr>
        <w:pStyle w:val="TextBody"/>
        <w:bidi w:val="0"/>
        <w:spacing w:before="280" w:after="283"/>
        <w:ind w:left="0" w:right="0" w:firstLine="72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smallCaps/>
          <w:color w:val="000000"/>
          <w:sz w:val="24"/>
        </w:rPr>
      </w:pPr>
      <w:r>
        <w:rPr>
          <w:rFonts w:ascii="Times New Roman" w:hAnsi="Times New Roman"/>
          <w:b/>
          <w:smallCaps/>
          <w:color w:val="000000"/>
          <w:sz w:val="24"/>
        </w:rPr>
        <w:t>Existing Indebtedness</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Existing Indebtedness (as of August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0"/>
        <w:gridCol w:w="1546"/>
        <w:gridCol w:w="2096"/>
        <w:gridCol w:w="3122"/>
        <w:gridCol w:w="1891"/>
      </w:tblGrid>
      <w:tr>
        <w:trPr/>
        <w:tc>
          <w:tcPr>
            <w:tcW w:w="1550"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2096" w:type="dxa"/>
            <w:tcBorders/>
            <w:shd w:fill="FFFFFF" w:val="clear"/>
            <w:vAlign w:val="center"/>
          </w:tcPr>
          <w:p>
            <w:pPr>
              <w:pStyle w:val="TableContents"/>
              <w:bidi w:val="0"/>
              <w:spacing w:before="0" w:after="283"/>
              <w:jc w:val="left"/>
              <w:rPr>
                <w:sz w:val="4"/>
                <w:szCs w:val="4"/>
              </w:rPr>
            </w:pPr>
            <w:r>
              <w:rPr>
                <w:sz w:val="4"/>
                <w:szCs w:val="4"/>
              </w:rPr>
            </w:r>
          </w:p>
        </w:tc>
        <w:tc>
          <w:tcPr>
            <w:tcW w:w="3122"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shd w:fill="FFFFFF" w:val="clear"/>
            <w:vAlign w:val="center"/>
          </w:tcPr>
          <w:p>
            <w:pPr>
              <w:pStyle w:val="TableContents"/>
              <w:bidi w:val="0"/>
              <w:spacing w:before="0" w:after="283"/>
              <w:jc w:val="left"/>
              <w:rPr>
                <w:sz w:val="4"/>
                <w:szCs w:val="4"/>
              </w:rPr>
            </w:pPr>
            <w:r>
              <w:rPr>
                <w:sz w:val="4"/>
                <w:szCs w:val="4"/>
              </w:rPr>
            </w:r>
          </w:p>
        </w:tc>
      </w:tr>
      <w:tr>
        <w:trPr/>
        <w:tc>
          <w:tcPr>
            <w:tcW w:w="155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Borrower/Obligor</w:t>
            </w:r>
          </w:p>
        </w:tc>
        <w:tc>
          <w:tcPr>
            <w:tcW w:w="15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Lender/Creditor</w:t>
            </w:r>
          </w:p>
        </w:tc>
        <w:tc>
          <w:tcPr>
            <w:tcW w:w="20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Description and Maturity</w:t>
            </w:r>
          </w:p>
        </w:tc>
        <w:tc>
          <w:tcPr>
            <w:tcW w:w="312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Balance</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(USD)</w:t>
            </w:r>
          </w:p>
        </w:tc>
        <w:tc>
          <w:tcPr>
            <w:tcW w:w="18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Description of Security or other Credit Support</w:t>
            </w:r>
          </w:p>
        </w:tc>
      </w:tr>
      <w:tr>
        <w:trPr/>
        <w:tc>
          <w:tcPr>
            <w:tcW w:w="15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Maine Natural Gas Corporation</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Unitil and certain of its subsidiaries</w:t>
            </w:r>
          </w:p>
        </w:tc>
        <w:tc>
          <w:tcPr>
            <w:tcW w:w="2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Cash Pooling and Loan Agreement, as amended and restated to date</w:t>
            </w:r>
          </w:p>
        </w:tc>
        <w:tc>
          <w:tcPr>
            <w:tcW w:w="31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Currently, Maine Natural Gas Corporation is in a lending position and therefore no balance is owing by Maine Natural Gas Corporation.</w:t>
            </w:r>
          </w:p>
        </w:tc>
        <w:tc>
          <w:tcPr>
            <w:tcW w:w="18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is a party to, or otherwise subject to provisions contained in, instruments set forth on or referred to in this Schedule 5.15, and agreements and other documents relating thereto, that may limit the amount of, or otherwise impose restrictions on the incurring of, Funded Indebtedness of the Company.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4"/>
        </w:rPr>
      </w:pPr>
      <w:r>
        <w:rPr>
          <w:rFonts w:ascii="Times New Roman" w:hAnsi="Times New Roman"/>
          <w:smallCaps/>
          <w:color w:val="000000"/>
          <w:sz w:val="24"/>
        </w:rPr>
        <w:t>Schedule 5.15</w:t>
        <w:br/>
      </w:r>
      <w:r>
        <w:rPr>
          <w:rFonts w:ascii="Times New Roman" w:hAnsi="Times New Roman"/>
          <w:color w:val="000000"/>
          <w:sz w:val="24"/>
        </w:rPr>
        <w:t>(to Note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smallCaps/>
          <w:color w:val="000000"/>
          <w:sz w:val="24"/>
        </w:rPr>
      </w:pPr>
      <w:r>
        <w:rPr>
          <w:rFonts w:ascii="Times New Roman" w:hAnsi="Times New Roman"/>
          <w:b/>
          <w:smallCaps/>
          <w:color w:val="000000"/>
          <w:sz w:val="24"/>
        </w:rPr>
        <w:t>Existing Funded Indebtedness</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Existing Funded Indebtedness (as of August 30, 2026)</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None.</w:t>
      </w:r>
    </w:p>
    <w:p>
      <w:pPr>
        <w:pStyle w:val="TextBody"/>
        <w:bidi w:val="0"/>
        <w:jc w:val="center"/>
        <w:rPr/>
      </w:pPr>
      <w:r>
        <w:rPr/>
        <w:t> </w:t>
      </w:r>
    </w:p>
    <w:p>
      <w:pPr>
        <w:pStyle w:val="TextBody"/>
        <w:bidi w:val="0"/>
        <w:jc w:val="center"/>
        <w:rPr>
          <w:rFonts w:ascii="Times New Roman" w:hAnsi="Times New Roman"/>
          <w:sz w:val="24"/>
        </w:rPr>
      </w:pPr>
      <w:r>
        <w:rPr>
          <w:rFonts w:ascii="Times New Roman" w:hAnsi="Times New Roman"/>
          <w:smallCaps/>
          <w:color w:val="000000"/>
          <w:sz w:val="24"/>
        </w:rPr>
        <w:t>Schedule 10.1</w:t>
        <w:br/>
      </w:r>
      <w:r>
        <w:rPr>
          <w:rFonts w:ascii="Times New Roman" w:hAnsi="Times New Roman"/>
          <w:color w:val="000000"/>
          <w:sz w:val="24"/>
        </w:rPr>
        <w:t>(to Note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Existing Liens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4"/>
        </w:rPr>
      </w:pPr>
      <w:r>
        <w:rPr>
          <w:rFonts w:ascii="Times New Roman" w:hAnsi="Times New Roman"/>
          <w:smallCaps/>
          <w:color w:val="000000"/>
          <w:sz w:val="24"/>
        </w:rPr>
        <w:t>Schedule 10.2</w:t>
        <w:br/>
      </w:r>
      <w:r>
        <w:rPr>
          <w:rFonts w:ascii="Times New Roman" w:hAnsi="Times New Roman"/>
          <w:color w:val="000000"/>
          <w:sz w:val="24"/>
        </w:rPr>
        <w:t>(to Note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[Form of Note]</w:t>
      </w:r>
    </w:p>
    <w:p>
      <w:pPr>
        <w:pStyle w:val="TextBody"/>
        <w:bidi w:val="0"/>
        <w:spacing w:before="360" w:after="283"/>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jc w:val="both"/>
        <w:rPr/>
      </w:pPr>
      <w:r>
        <w:rPr/>
        <w:t>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Maine Natural Gas Corporation</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5.95% Senior Note, due October 21, 2031</w:t>
      </w:r>
    </w:p>
    <w:p>
      <w:pPr>
        <w:pStyle w:val="TextBody"/>
        <w:bidi w:val="0"/>
        <w:jc w:val="left"/>
        <w:rPr/>
      </w:pPr>
      <w:r>
        <w:rPr/>
        <w:t> </w:t>
      </w:r>
    </w:p>
    <w:tbl>
      <w:tblPr>
        <w:tblW w:w="3197" w:type="dxa"/>
        <w:jc w:val="left"/>
        <w:tblInd w:w="0" w:type="dxa"/>
        <w:tblLayout w:type="fixed"/>
        <w:tblCellMar>
          <w:top w:w="28" w:type="dxa"/>
          <w:left w:w="28" w:type="dxa"/>
          <w:bottom w:w="28" w:type="dxa"/>
          <w:right w:w="28" w:type="dxa"/>
        </w:tblCellMar>
      </w:tblPr>
      <w:tblGrid>
        <w:gridCol w:w="1231"/>
        <w:gridCol w:w="1966"/>
      </w:tblGrid>
      <w:tr>
        <w:trPr/>
        <w:tc>
          <w:tcPr>
            <w:tcW w:w="123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R-[__]</w:t>
            </w:r>
          </w:p>
        </w:tc>
        <w:tc>
          <w:tcPr>
            <w:tcW w:w="19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October 21, 2026</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w:t>
            </w:r>
          </w:p>
        </w:tc>
        <w:tc>
          <w:tcPr>
            <w:tcW w:w="19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color w:val="000000"/>
                <w:sz w:val="24"/>
              </w:rPr>
              <w:t xml:space="preserve">PPN </w:t>
            </w:r>
            <w:r>
              <w:rPr>
                <w:rFonts w:ascii="Times New Roman" w:hAnsi="Times New Roman"/>
                <w:color w:val="212121"/>
                <w:sz w:val="24"/>
              </w:rPr>
              <w:t>56047@AA3</w:t>
            </w:r>
          </w:p>
        </w:tc>
      </w:tr>
    </w:tbl>
    <w:p>
      <w:pPr>
        <w:pStyle w:val="TextBody"/>
        <w:bidi w:val="0"/>
        <w:spacing w:before="280" w:after="283"/>
        <w:ind w:left="0" w:right="0" w:firstLine="720"/>
        <w:jc w:val="both"/>
        <w:rPr>
          <w:rFonts w:ascii="Times New Roman" w:hAnsi="Times New Roman"/>
          <w:sz w:val="24"/>
        </w:rPr>
      </w:pPr>
      <w:r>
        <w:rPr>
          <w:rFonts w:ascii="Times New Roman" w:hAnsi="Times New Roman"/>
          <w:smallCaps/>
          <w:color w:val="000000"/>
          <w:sz w:val="24"/>
        </w:rPr>
        <w:t>For Value Received</w:t>
      </w:r>
      <w:r>
        <w:rPr>
          <w:rFonts w:ascii="Times New Roman" w:hAnsi="Times New Roman"/>
          <w:color w:val="000000"/>
          <w:sz w:val="24"/>
        </w:rPr>
        <w:t>, the undersigned, Maine Natural Gas Corporation (herein called the “</w:t>
      </w:r>
      <w:r>
        <w:rPr>
          <w:rFonts w:ascii="Times New Roman" w:hAnsi="Times New Roman"/>
          <w:i/>
          <w:color w:val="000000"/>
          <w:sz w:val="24"/>
        </w:rPr>
        <w:t>Company”</w:t>
      </w:r>
      <w:r>
        <w:rPr>
          <w:rFonts w:ascii="Times New Roman" w:hAnsi="Times New Roman"/>
          <w:color w:val="000000"/>
          <w:sz w:val="24"/>
        </w:rPr>
        <w:t>), a corporation organized and existing under the laws of the State of Maine, hereby promises to pay to [____________], or registered assigns, the principal sum of [_____________________] Dollars (or so much thereof as shall not have been prepaid) on October 21, 2031 (the “</w:t>
      </w:r>
      <w:r>
        <w:rPr>
          <w:rFonts w:ascii="Times New Roman" w:hAnsi="Times New Roman"/>
          <w:i/>
          <w:color w:val="000000"/>
          <w:sz w:val="24"/>
        </w:rPr>
        <w:t>Maturity Date”</w:t>
      </w:r>
      <w:r>
        <w:rPr>
          <w:rFonts w:ascii="Times New Roman" w:hAnsi="Times New Roman"/>
          <w:color w:val="000000"/>
          <w:sz w:val="24"/>
        </w:rPr>
        <w:t>), with interest (computed on the basis of a 360-day year of twelve 30</w:t>
        <w:noBreakHyphen/>
        <w:t>day months) (a) on the unpaid balance hereof at the rate of 5.95% per annum from the date hereof payable semiannually, on the 21st day of April and October in each year, commencing with April 21, 2027 and thereafter the April 21 or October 21 next succeeding the date hereof, and on the Maturity Date, until the principal hereof shall have become due and payable, and (b) without duplication with clause (a) above, to the extent permitted by law, on any overdue payment of interest and, during the continuance of an Event of Default, on such unpaid balance and on any overdue payment of any Make</w:t>
        <w:noBreakHyphen/>
        <w:t>Whole Amount, at a rate per annum from time to time equal to the greater of (i) 7.95% or (ii) 2% over the rate of interest publicly announced by Bank of America, N.A. from time to time in Charlotte, North Carolina as its “base” or “prime” rate, payable semiannually as aforesaid (or, at the option of the registered holder hereof, on demand).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Payments of principal of, interest on and any Make-Whole Amount with respect to this Note are to be made in lawful money of the United States of America at the principal office of the Company in Hampton, New Hampshire, or at such other place as the Company shall have designated by written notice to the holder of this Note as provided in the Note Purchase Agreement referred to below, or as otherwise provided in the Note Purchase Agreement.</w:t>
      </w:r>
    </w:p>
    <w:p>
      <w:pPr>
        <w:pStyle w:val="TextBody"/>
        <w:bidi w:val="0"/>
        <w:jc w:val="center"/>
        <w:rPr>
          <w:rFonts w:ascii="Times New Roman" w:hAnsi="Times New Roman"/>
          <w:sz w:val="24"/>
        </w:rPr>
      </w:pPr>
      <w:r>
        <w:rPr>
          <w:rFonts w:ascii="Times New Roman" w:hAnsi="Times New Roman"/>
          <w:smallCaps/>
          <w:color w:val="000000"/>
          <w:sz w:val="24"/>
        </w:rPr>
        <w:t>Exhibit 1</w:t>
        <w:br/>
      </w:r>
      <w:r>
        <w:rPr>
          <w:rFonts w:ascii="Times New Roman" w:hAnsi="Times New Roman"/>
          <w:color w:val="000000"/>
          <w:sz w:val="24"/>
        </w:rPr>
        <w:t>(to Note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This Note is one of a series of Senior Notes (herein called the “</w:t>
      </w:r>
      <w:r>
        <w:rPr>
          <w:rFonts w:ascii="Times New Roman" w:hAnsi="Times New Roman"/>
          <w:i/>
          <w:color w:val="000000"/>
          <w:sz w:val="24"/>
        </w:rPr>
        <w:t>Notes”</w:t>
      </w:r>
      <w:r>
        <w:rPr>
          <w:rFonts w:ascii="Times New Roman" w:hAnsi="Times New Roman"/>
          <w:color w:val="000000"/>
          <w:sz w:val="24"/>
        </w:rPr>
        <w:t>) issued pursuant to, and subject to, the Note Purchase Agreement, dated as of October 21, 2026 (as from time to time amended, the “</w:t>
      </w:r>
      <w:r>
        <w:rPr>
          <w:rFonts w:ascii="Times New Roman" w:hAnsi="Times New Roman"/>
          <w:i/>
          <w:color w:val="000000"/>
          <w:sz w:val="24"/>
        </w:rPr>
        <w:t>Note Purchase Agreement”</w:t>
      </w:r>
      <w:r>
        <w:rPr>
          <w:rFonts w:ascii="Times New Roman" w:hAnsi="Times New Roman"/>
          <w:color w:val="000000"/>
          <w:sz w:val="24"/>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subject to optional prepayment in whole or from time to time in part, at the times and on the terms specified in the Note Purchase Agreement, but not otherwise.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before="280" w:after="283"/>
        <w:ind w:left="0" w:right="0" w:firstLine="720"/>
        <w:jc w:val="center"/>
        <w:rPr>
          <w:rFonts w:ascii="Times New Roman" w:hAnsi="Times New Roman"/>
          <w:color w:val="000000"/>
          <w:sz w:val="24"/>
        </w:rPr>
      </w:pPr>
      <w:r>
        <w:rPr>
          <w:rFonts w:ascii="Times New Roman" w:hAnsi="Times New Roman"/>
          <w:color w:val="000000"/>
          <w:sz w:val="24"/>
        </w:rPr>
        <w:t>[Remainder of page is intentionally blank]</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mallCaps/>
          <w:color w:val="000000"/>
          <w:sz w:val="24"/>
        </w:rPr>
      </w:pPr>
      <w:r>
        <w:rPr>
          <w:rFonts w:ascii="Times New Roman" w:hAnsi="Times New Roman"/>
          <w:smallCaps/>
          <w:color w:val="000000"/>
          <w:sz w:val="24"/>
        </w:rPr>
        <w:t>Maine Natural Gas Corporation</w:t>
      </w:r>
    </w:p>
    <w:p>
      <w:pPr>
        <w:pStyle w:val="TextBody"/>
        <w:pBdr/>
        <w:bidi w:val="0"/>
        <w:ind w:left="4680" w:right="0" w:hanging="360"/>
        <w:jc w:val="left"/>
        <w:rPr/>
      </w:pPr>
      <w:r>
        <w:rPr/>
        <w:t> </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color w:val="000000"/>
          <w:sz w:val="24"/>
        </w:rPr>
      </w:pPr>
      <w:r>
        <w:rPr>
          <w:rFonts w:ascii="Times New Roman" w:hAnsi="Times New Roman"/>
          <w:color w:val="000000"/>
          <w:sz w:val="24"/>
        </w:rPr>
        <w:t xml:space="preserve">By __________________________________ </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Name: Daniel J. Hurstak</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Title: Senior Vice President and Treasurer</w:t>
      </w:r>
    </w:p>
    <w:p>
      <w:pPr>
        <w:pStyle w:val="TextBody"/>
        <w:pBdr/>
        <w:bidi w:val="0"/>
        <w:ind w:left="4680" w:right="0" w:hanging="360"/>
        <w:jc w:val="left"/>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EXHIBIT 15.3</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[FORM OF] U.S. TAX COMPLIANCE CERTIFICATE</w:t>
      </w:r>
    </w:p>
    <w:p>
      <w:pPr>
        <w:pStyle w:val="TextBody"/>
        <w:bidi w:val="0"/>
        <w:jc w:val="both"/>
        <w:rPr>
          <w:rFonts w:ascii="Times New Roman" w:hAnsi="Times New Roman"/>
          <w:sz w:val="20"/>
        </w:rPr>
      </w:pPr>
      <w:r>
        <w:rPr>
          <w:rFonts w:ascii="Times New Roman" w:hAnsi="Times New Roman"/>
          <w:color w:val="000000"/>
          <w:sz w:val="24"/>
        </w:rPr>
        <w:t xml:space="preserve">Reference is hereby made to the Note Purchase Agreement dated as of October 21, 2026 (as amended, supplemented or otherwise modified from time to time, the </w:t>
      </w:r>
      <w:r>
        <w:rPr>
          <w:rFonts w:ascii="Times New Roman" w:hAnsi="Times New Roman"/>
          <w:color w:val="000000"/>
          <w:sz w:val="20"/>
        </w:rPr>
        <w:t>“</w:t>
      </w:r>
      <w:r>
        <w:rPr>
          <w:rFonts w:ascii="Times New Roman" w:hAnsi="Times New Roman"/>
          <w:i/>
          <w:color w:val="000000"/>
          <w:sz w:val="24"/>
        </w:rPr>
        <w:t>Note Purchase Agreement”</w:t>
      </w:r>
      <w:r>
        <w:rPr>
          <w:rFonts w:ascii="Times New Roman" w:hAnsi="Times New Roman"/>
          <w:color w:val="000000"/>
          <w:sz w:val="24"/>
        </w:rPr>
        <w:t>), among Maine Natural Gas Corporation, a Maine corporation</w:t>
      </w:r>
      <w:r>
        <w:rPr>
          <w:rFonts w:ascii="Times New Roman" w:hAnsi="Times New Roman"/>
          <w:color w:val="000000"/>
          <w:sz w:val="20"/>
        </w:rPr>
        <w:t xml:space="preserve"> </w:t>
      </w:r>
      <w:r>
        <w:rPr>
          <w:rFonts w:ascii="Times New Roman" w:hAnsi="Times New Roman"/>
          <w:color w:val="000000"/>
          <w:sz w:val="24"/>
        </w:rPr>
        <w:t xml:space="preserve">(the </w:t>
      </w:r>
      <w:r>
        <w:rPr>
          <w:rFonts w:ascii="Times New Roman" w:hAnsi="Times New Roman"/>
          <w:color w:val="000000"/>
          <w:sz w:val="20"/>
        </w:rPr>
        <w:t>“</w:t>
      </w:r>
      <w:r>
        <w:rPr>
          <w:rFonts w:ascii="Times New Roman" w:hAnsi="Times New Roman"/>
          <w:i/>
          <w:color w:val="000000"/>
          <w:sz w:val="24"/>
        </w:rPr>
        <w:t>Company”</w:t>
      </w:r>
      <w:r>
        <w:rPr>
          <w:rFonts w:ascii="Times New Roman" w:hAnsi="Times New Roman"/>
          <w:color w:val="000000"/>
          <w:sz w:val="24"/>
        </w:rPr>
        <w:t>) and the holders of Notes that are signatories thereto.</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Unless otherwise defined herein, capitalized terms defined in the Note Purchase Agreement and used herein have the meanings given to them in the Note Purchase Agreement.</w:t>
      </w:r>
    </w:p>
    <w:p>
      <w:pPr>
        <w:pStyle w:val="TextBody"/>
        <w:bidi w:val="0"/>
        <w:jc w:val="both"/>
        <w:rPr>
          <w:rFonts w:ascii="Times New Roman" w:hAnsi="Times New Roman"/>
          <w:color w:val="000000"/>
          <w:sz w:val="24"/>
        </w:rPr>
      </w:pPr>
      <w:r>
        <w:rPr>
          <w:rFonts w:ascii="Times New Roman" w:hAnsi="Times New Roman"/>
          <w:color w:val="000000"/>
          <w:sz w:val="24"/>
        </w:rPr>
        <w:t>Pursuant to the provisions of Section 15.3 of the Note Purchase Agreement, the undersigned hereby certifies that:</w:t>
      </w:r>
    </w:p>
    <w:p>
      <w:pPr>
        <w:pStyle w:val="TextBody"/>
        <w:pBdr/>
        <w:bidi w:val="0"/>
        <w:spacing w:before="0" w:after="240"/>
        <w:ind w:left="720" w:right="0" w:hanging="720"/>
        <w:jc w:val="both"/>
        <w:rPr>
          <w:rFonts w:ascii="Times New Roman" w:hAnsi="Times New Roman"/>
          <w:color w:val="000000"/>
          <w:sz w:val="24"/>
        </w:rPr>
      </w:pPr>
      <w:r>
        <w:rPr>
          <w:rFonts w:ascii="Times New Roman" w:hAnsi="Times New Roman"/>
          <w:color w:val="000000"/>
          <w:sz w:val="24"/>
        </w:rPr>
        <w:t>(i) it is the sole record and beneficial owner of the Notes in respect of which it is providing this certificate;</w:t>
      </w:r>
    </w:p>
    <w:p>
      <w:pPr>
        <w:pStyle w:val="TextBody"/>
        <w:pBdr/>
        <w:bidi w:val="0"/>
        <w:spacing w:before="0" w:after="240"/>
        <w:ind w:left="720" w:right="0" w:hanging="720"/>
        <w:jc w:val="both"/>
        <w:rPr>
          <w:rFonts w:ascii="Times New Roman" w:hAnsi="Times New Roman"/>
          <w:color w:val="000000"/>
          <w:sz w:val="24"/>
        </w:rPr>
      </w:pPr>
      <w:r>
        <w:rPr>
          <w:rFonts w:ascii="Times New Roman" w:hAnsi="Times New Roman"/>
          <w:color w:val="000000"/>
          <w:sz w:val="24"/>
        </w:rPr>
        <w:t>(ii) it is not a bank within the meaning of Section 881(c)(3)(A) of the Code;</w:t>
      </w:r>
    </w:p>
    <w:p>
      <w:pPr>
        <w:pStyle w:val="TextBody"/>
        <w:pBdr/>
        <w:bidi w:val="0"/>
        <w:spacing w:before="0" w:after="240"/>
        <w:ind w:left="720" w:right="0" w:hanging="720"/>
        <w:jc w:val="both"/>
        <w:rPr>
          <w:rFonts w:ascii="Times New Roman" w:hAnsi="Times New Roman"/>
          <w:color w:val="000000"/>
          <w:sz w:val="24"/>
        </w:rPr>
      </w:pPr>
      <w:r>
        <w:rPr>
          <w:rFonts w:ascii="Times New Roman" w:hAnsi="Times New Roman"/>
          <w:color w:val="000000"/>
          <w:sz w:val="24"/>
        </w:rPr>
        <w:t xml:space="preserve">(iii) it is not a ten percent shareholder of the Company within the meaning of Section 871(h)(3)(B) of the Code; and </w:t>
      </w:r>
    </w:p>
    <w:p>
      <w:pPr>
        <w:pStyle w:val="TextBody"/>
        <w:pBdr/>
        <w:bidi w:val="0"/>
        <w:spacing w:before="0" w:after="240"/>
        <w:ind w:left="720" w:right="0" w:hanging="720"/>
        <w:jc w:val="both"/>
        <w:rPr>
          <w:rFonts w:ascii="Times New Roman" w:hAnsi="Times New Roman"/>
          <w:color w:val="000000"/>
          <w:sz w:val="24"/>
        </w:rPr>
      </w:pPr>
      <w:r>
        <w:rPr>
          <w:rFonts w:ascii="Times New Roman" w:hAnsi="Times New Roman"/>
          <w:color w:val="000000"/>
          <w:sz w:val="24"/>
        </w:rPr>
        <w:t>(iv) it is not a controlled foreign corporation related to the Company as described in Section 881(c)(3)(C) of the Code.</w:t>
      </w:r>
    </w:p>
    <w:p>
      <w:pPr>
        <w:pStyle w:val="TextBody"/>
        <w:bidi w:val="0"/>
        <w:jc w:val="both"/>
        <w:rPr>
          <w:rFonts w:ascii="Times New Roman" w:hAnsi="Times New Roman"/>
          <w:sz w:val="18"/>
        </w:rPr>
      </w:pPr>
      <w:r>
        <w:rPr>
          <w:rFonts w:ascii="Times New Roman" w:hAnsi="Times New Roman"/>
          <w:color w:val="000000"/>
          <w:sz w:val="24"/>
        </w:rPr>
        <w:t>The undersigned has furnished the Company with a certificate of its non-U.S. Person status on IRS W-8BEN-E.</w:t>
      </w:r>
      <w:r>
        <w:rPr>
          <w:rFonts w:ascii="Times New Roman" w:hAnsi="Times New Roman"/>
          <w:color w:val="000000"/>
          <w:sz w:val="18"/>
        </w:rPr>
        <w:t xml:space="preserve"> </w:t>
      </w:r>
    </w:p>
    <w:p>
      <w:pPr>
        <w:pStyle w:val="TextBody"/>
        <w:bidi w:val="0"/>
        <w:jc w:val="both"/>
        <w:rPr/>
      </w:pPr>
      <w:r>
        <w:rPr/>
        <w:t> </w:t>
      </w:r>
    </w:p>
    <w:p>
      <w:pPr>
        <w:pStyle w:val="TextBody"/>
        <w:bidi w:val="0"/>
        <w:ind w:left="0" w:right="0" w:firstLine="1482"/>
        <w:jc w:val="both"/>
        <w:rPr/>
      </w:pPr>
      <w:r>
        <w:rPr/>
        <w:t> </w:t>
      </w:r>
    </w:p>
    <w:p>
      <w:pPr>
        <w:pStyle w:val="TextBody"/>
        <w:bidi w:val="0"/>
        <w:ind w:left="0" w:right="0" w:firstLine="1482"/>
        <w:jc w:val="left"/>
        <w:rPr/>
      </w:pPr>
      <w:r>
        <w:rPr/>
        <w:t> </w:t>
      </w:r>
    </w:p>
    <w:tbl>
      <w:tblPr>
        <w:tblW w:w="1722" w:type="dxa"/>
        <w:jc w:val="left"/>
        <w:tblInd w:w="0" w:type="dxa"/>
        <w:tblLayout w:type="fixed"/>
        <w:tblCellMar>
          <w:top w:w="28" w:type="dxa"/>
          <w:left w:w="28" w:type="dxa"/>
          <w:bottom w:w="28" w:type="dxa"/>
          <w:right w:w="28" w:type="dxa"/>
        </w:tblCellMar>
      </w:tblPr>
      <w:tblGrid>
        <w:gridCol w:w="521"/>
        <w:gridCol w:w="1201"/>
      </w:tblGrid>
      <w:tr>
        <w:trPr/>
        <w:tc>
          <w:tcPr>
            <w:tcW w:w="52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722" w:type="dxa"/>
            <w:gridSpan w:val="2"/>
            <w:tcBorders/>
            <w:tcMar>
              <w:top w:w="0" w:type="dxa"/>
              <w:left w:w="0" w:type="dxa"/>
              <w:bottom w:w="0" w:type="dxa"/>
              <w:right w:w="0" w:type="dxa"/>
            </w:tcMar>
            <w:vAlign w:val="center"/>
          </w:tcPr>
          <w:p>
            <w:pPr>
              <w:pStyle w:val="TableContents"/>
              <w:bidi w:val="0"/>
              <w:spacing w:before="0" w:after="360"/>
              <w:ind w:left="0" w:right="0" w:firstLine="63"/>
              <w:jc w:val="left"/>
              <w:rPr>
                <w:rFonts w:ascii="Times New Roman" w:hAnsi="Times New Roman"/>
                <w:color w:val="000000"/>
                <w:sz w:val="24"/>
              </w:rPr>
            </w:pPr>
            <w:r>
              <w:rPr>
                <w:rFonts w:ascii="Times New Roman" w:hAnsi="Times New Roman"/>
                <w:color w:val="000000"/>
                <w:sz w:val="24"/>
              </w:rPr>
              <w:t>[]</w:t>
            </w:r>
          </w:p>
        </w:tc>
      </w:tr>
      <w:tr>
        <w:trPr/>
        <w:tc>
          <w:tcPr>
            <w:tcW w:w="1722"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52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Name: </w:t>
            </w:r>
          </w:p>
        </w:tc>
      </w:tr>
      <w:tr>
        <w:trPr/>
        <w:tc>
          <w:tcPr>
            <w:tcW w:w="52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ind w:left="360" w:right="0" w:firstLine="360"/>
              <w:jc w:val="left"/>
              <w:rPr>
                <w:rFonts w:ascii="Times New Roman" w:hAnsi="Times New Roman"/>
                <w:color w:val="000000"/>
                <w:sz w:val="24"/>
              </w:rPr>
            </w:pPr>
            <w:r>
              <w:rPr>
                <w:rFonts w:ascii="Times New Roman" w:hAnsi="Times New Roman"/>
                <w:color w:val="000000"/>
                <w:sz w:val="24"/>
              </w:rPr>
              <w:t xml:space="preserve">Title: </w:t>
            </w:r>
          </w:p>
        </w:tc>
      </w:tr>
    </w:tbl>
    <w:p>
      <w:pPr>
        <w:pStyle w:val="TextBody"/>
        <w:bidi w:val="0"/>
        <w:jc w:val="left"/>
        <w:rPr>
          <w:rFonts w:ascii="Times New Roman" w:hAnsi="Times New Roman"/>
          <w:color w:val="000000"/>
          <w:sz w:val="24"/>
        </w:rPr>
      </w:pPr>
      <w:r>
        <w:rPr>
          <w:rFonts w:ascii="Times New Roman" w:hAnsi="Times New Roman"/>
          <w:color w:val="000000"/>
          <w:sz w:val="24"/>
        </w:rPr>
        <w:t>Date: ________ __, []</w:t>
      </w:r>
    </w:p>
    <w:p>
      <w:pPr>
        <w:pStyle w:val="TextBody"/>
        <w:bidi w:val="0"/>
        <w:jc w:val="left"/>
        <w:rPr/>
      </w:pPr>
      <w:r>
        <w:rPr/>
        <w:t> </w:t>
      </w:r>
    </w:p>
    <w:p>
      <w:pPr>
        <w:pStyle w:val="TextBody"/>
        <w:bidi w:val="0"/>
        <w:spacing w:before="280" w:after="283"/>
        <w:jc w:val="center"/>
        <w:rPr/>
      </w:pPr>
      <w:r>
        <w:rPr/>
        <w:t> </w:t>
      </w:r>
    </w:p>
    <w:p>
      <w:pPr>
        <w:pStyle w:val="TextBody"/>
        <w:bidi w:val="0"/>
        <w:spacing w:before="280" w:after="283"/>
        <w:jc w:val="center"/>
        <w:rPr/>
      </w:pPr>
      <w:r>
        <w:rPr/>
        <w:t> </w:t>
      </w:r>
    </w:p>
    <w:p>
      <w:pPr>
        <w:pStyle w:val="TextBody"/>
        <w:bidi w:val="0"/>
        <w:jc w:val="center"/>
        <w:rPr>
          <w:rFonts w:ascii="Times New Roman" w:hAnsi="Times New Roman"/>
          <w:sz w:val="24"/>
        </w:rPr>
      </w:pPr>
      <w:r>
        <w:rPr>
          <w:rFonts w:ascii="Times New Roman" w:hAnsi="Times New Roman"/>
          <w:smallCaps/>
          <w:color w:val="000000"/>
          <w:sz w:val="24"/>
        </w:rPr>
        <w:t xml:space="preserve">Exhibit </w:t>
      </w:r>
      <w:r>
        <w:rPr>
          <w:rFonts w:ascii="Times New Roman" w:hAnsi="Times New Roman"/>
          <w:color w:val="000000"/>
          <w:sz w:val="24"/>
        </w:rPr>
        <w:t>15.3</w:t>
        <w:br/>
        <w:t>(to Note Purchase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utl-ex4_2.htm"/>
      <w:bookmarkStart w:id="5" w:name="ksutlex4_2"/>
      <w:bookmarkEnd w:id="4"/>
      <w:bookmarkEnd w:id="5"/>
      <w:r>
        <w:rPr>
          <w:rFonts w:ascii="Times New Roman" w:hAnsi="Times New Roman"/>
          <w:b/>
          <w:color w:val="000000"/>
          <w:sz w:val="24"/>
        </w:rPr>
        <w:t>Exhibit 4.2</w:t>
      </w:r>
      <w:r>
        <w:br w:type="page"/>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Maine Natural Gas Corporation</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5.95% Senior Note, due October 21, 2031</w:t>
      </w:r>
    </w:p>
    <w:p>
      <w:pPr>
        <w:pStyle w:val="TextBody"/>
        <w:bidi w:val="0"/>
        <w:jc w:val="left"/>
        <w:rPr/>
      </w:pPr>
      <w:r>
        <w:rPr/>
        <w:t> </w:t>
      </w:r>
    </w:p>
    <w:tbl>
      <w:tblPr>
        <w:tblW w:w="3287" w:type="dxa"/>
        <w:jc w:val="left"/>
        <w:tblInd w:w="0" w:type="dxa"/>
        <w:tblLayout w:type="fixed"/>
        <w:tblCellMar>
          <w:top w:w="28" w:type="dxa"/>
          <w:left w:w="28" w:type="dxa"/>
          <w:bottom w:w="28" w:type="dxa"/>
          <w:right w:w="28" w:type="dxa"/>
        </w:tblCellMar>
      </w:tblPr>
      <w:tblGrid>
        <w:gridCol w:w="1321"/>
        <w:gridCol w:w="1966"/>
      </w:tblGrid>
      <w:tr>
        <w:trPr/>
        <w:tc>
          <w:tcPr>
            <w:tcW w:w="132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R-1</w:t>
            </w:r>
          </w:p>
        </w:tc>
        <w:tc>
          <w:tcPr>
            <w:tcW w:w="19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October 21, 2026</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$10,000,000</w:t>
            </w:r>
          </w:p>
        </w:tc>
        <w:tc>
          <w:tcPr>
            <w:tcW w:w="19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color w:val="000000"/>
                <w:sz w:val="24"/>
              </w:rPr>
              <w:t xml:space="preserve">PPN </w:t>
            </w:r>
            <w:r>
              <w:rPr>
                <w:rFonts w:ascii="Times New Roman" w:hAnsi="Times New Roman"/>
                <w:color w:val="212121"/>
                <w:sz w:val="24"/>
              </w:rPr>
              <w:t>56047@AA3</w:t>
            </w:r>
          </w:p>
        </w:tc>
      </w:tr>
    </w:tbl>
    <w:p>
      <w:pPr>
        <w:pStyle w:val="TextBody"/>
        <w:bidi w:val="0"/>
        <w:ind w:left="0" w:right="0" w:firstLine="720"/>
        <w:jc w:val="both"/>
        <w:rPr>
          <w:rFonts w:ascii="Times New Roman" w:hAnsi="Times New Roman"/>
          <w:sz w:val="24"/>
        </w:rPr>
      </w:pPr>
      <w:r>
        <w:rPr>
          <w:rFonts w:ascii="Times New Roman" w:hAnsi="Times New Roman"/>
          <w:smallCaps/>
          <w:color w:val="000000"/>
          <w:sz w:val="24"/>
        </w:rPr>
        <w:t>For Value Received</w:t>
      </w:r>
      <w:r>
        <w:rPr>
          <w:rFonts w:ascii="Times New Roman" w:hAnsi="Times New Roman"/>
          <w:color w:val="000000"/>
          <w:sz w:val="24"/>
        </w:rPr>
        <w:t>, the undersigned, Maine Natural Gas Corporation (herein called the “</w:t>
      </w:r>
      <w:r>
        <w:rPr>
          <w:rFonts w:ascii="Times New Roman" w:hAnsi="Times New Roman"/>
          <w:i/>
          <w:color w:val="000000"/>
          <w:sz w:val="24"/>
        </w:rPr>
        <w:t>Company”</w:t>
      </w:r>
      <w:r>
        <w:rPr>
          <w:rFonts w:ascii="Times New Roman" w:hAnsi="Times New Roman"/>
          <w:color w:val="000000"/>
          <w:sz w:val="24"/>
        </w:rPr>
        <w:t xml:space="preserve">), a corporation organized and existing under the laws of the State of Maine, hereby promises to pay to </w:t>
      </w:r>
      <w:r>
        <w:rPr>
          <w:rFonts w:ascii="Times New Roman" w:hAnsi="Times New Roman"/>
          <w:smallCaps/>
          <w:color w:val="000000"/>
          <w:sz w:val="24"/>
        </w:rPr>
        <w:t>Lincoln National Reinsurance Company (Barbados) Limited</w:t>
      </w:r>
      <w:r>
        <w:rPr>
          <w:rFonts w:ascii="Times New Roman" w:hAnsi="Times New Roman"/>
          <w:color w:val="000000"/>
          <w:sz w:val="24"/>
        </w:rPr>
        <w:t xml:space="preserve">, or registered assigns, the principal sum of </w:t>
      </w:r>
      <w:r>
        <w:rPr>
          <w:rFonts w:ascii="Times New Roman" w:hAnsi="Times New Roman"/>
          <w:smallCaps/>
          <w:color w:val="000000"/>
          <w:sz w:val="24"/>
        </w:rPr>
        <w:t xml:space="preserve">Ten Million Dollars </w:t>
      </w:r>
      <w:r>
        <w:rPr>
          <w:rFonts w:ascii="Times New Roman" w:hAnsi="Times New Roman"/>
          <w:color w:val="000000"/>
          <w:sz w:val="24"/>
        </w:rPr>
        <w:t>(or so much thereof as shall not have been prepaid) on October 21, 2031 (the “</w:t>
      </w:r>
      <w:r>
        <w:rPr>
          <w:rFonts w:ascii="Times New Roman" w:hAnsi="Times New Roman"/>
          <w:i/>
          <w:color w:val="000000"/>
          <w:sz w:val="24"/>
        </w:rPr>
        <w:t>Maturity Date”</w:t>
      </w:r>
      <w:r>
        <w:rPr>
          <w:rFonts w:ascii="Times New Roman" w:hAnsi="Times New Roman"/>
          <w:color w:val="000000"/>
          <w:sz w:val="24"/>
        </w:rPr>
        <w:t>), with interest (computed on the basis of a 360-day year of twelve 30</w:t>
        <w:noBreakHyphen/>
        <w:t>day months) (a) on the unpaid balance hereof at the rate of 5.95% per annum from the date hereof payable semiannually, on the 21st day of April and October in each year, commencing with April 21, 2027 and thereafter the April 21 or October 21 next succeeding the date hereof, and on the Maturity Date, until the principal hereof shall have become due and payable, and (b) without duplication with clause (a) above, to the extent permitted by law, on any overdue payment of interest and, during the continuance of an Event of Default, on such unpaid balance and on any overdue payment of any Make</w:t>
        <w:noBreakHyphen/>
        <w:t>Whole Amount, at a rate per annum from time to time equal to the greater of (i) 7.95% or (ii) 2% over the rate of interest publicly announced by Bank of America, N.A. from time to time in Charlotte, North Carolina as its “base” or “prime” rate, payable semiannually as aforesaid (or, at the option of the registered holder hereof, on demand).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Payments of principal of, interest on and any Make-Whole Amount with respect to this Note are to be made in lawful money of the United States of America at the principal office of the Company in Hampton, New Hampshire, or at such other place as the Company shall have designated by written notice to the holder of this Note as provided in the Note Purchase Agreement referred to below, or as otherwise provided in the Note Purchase Agreement.</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This Note is one of a series of Senior Notes (herein called the “</w:t>
      </w:r>
      <w:r>
        <w:rPr>
          <w:rFonts w:ascii="Times New Roman" w:hAnsi="Times New Roman"/>
          <w:i/>
          <w:color w:val="000000"/>
          <w:sz w:val="24"/>
        </w:rPr>
        <w:t>Notes”</w:t>
      </w:r>
      <w:r>
        <w:rPr>
          <w:rFonts w:ascii="Times New Roman" w:hAnsi="Times New Roman"/>
          <w:color w:val="000000"/>
          <w:sz w:val="24"/>
        </w:rPr>
        <w:t>) issued pursuant to, and subject to, the Note Purchase Agreement, dated as of October 21, 2026 (as from time to time amended, the “</w:t>
      </w:r>
      <w:r>
        <w:rPr>
          <w:rFonts w:ascii="Times New Roman" w:hAnsi="Times New Roman"/>
          <w:i/>
          <w:color w:val="000000"/>
          <w:sz w:val="24"/>
        </w:rPr>
        <w:t>Note Purchase Agreement”</w:t>
      </w:r>
      <w:r>
        <w:rPr>
          <w:rFonts w:ascii="Times New Roman" w:hAnsi="Times New Roman"/>
          <w:color w:val="000000"/>
          <w:sz w:val="24"/>
        </w:rPr>
        <w:t xml:space="preserve">), between the Company and the respective Purchasers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subject to optional prepayment in whole or from time to time in part, at the times and on the terms specified in the Note Purchase Agreement, but not otherwise.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before="280" w:after="283"/>
        <w:ind w:left="0" w:right="0" w:firstLine="720"/>
        <w:jc w:val="center"/>
        <w:rPr>
          <w:rFonts w:ascii="Times New Roman" w:hAnsi="Times New Roman"/>
          <w:color w:val="000000"/>
          <w:sz w:val="24"/>
        </w:rPr>
      </w:pPr>
      <w:r>
        <w:rPr>
          <w:rFonts w:ascii="Times New Roman" w:hAnsi="Times New Roman"/>
          <w:color w:val="000000"/>
          <w:sz w:val="24"/>
        </w:rPr>
        <w:t>[Remainder of page is intentionally blank]</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mallCaps/>
          <w:color w:val="000000"/>
          <w:sz w:val="24"/>
        </w:rPr>
      </w:pPr>
      <w:r>
        <w:rPr>
          <w:rFonts w:ascii="Times New Roman" w:hAnsi="Times New Roman"/>
          <w:smallCaps/>
          <w:color w:val="000000"/>
          <w:sz w:val="24"/>
        </w:rPr>
        <w:t>Maine Natural Gas Corporation</w:t>
      </w:r>
    </w:p>
    <w:p>
      <w:pPr>
        <w:pStyle w:val="TextBody"/>
        <w:pBdr/>
        <w:bidi w:val="0"/>
        <w:ind w:left="4680" w:right="0" w:hanging="360"/>
        <w:jc w:val="left"/>
        <w:rPr/>
      </w:pPr>
      <w:r>
        <w:rPr/>
        <w:t> </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Daniel J. Hurstak</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Name: Daniel J. Hurstak</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Title: Senior Vice President and Treasurer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Notes (including omitted Notes)</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Maine Natural Gas Corporation</w:t>
      </w:r>
    </w:p>
    <w:p>
      <w:pPr>
        <w:pStyle w:val="TextBody"/>
        <w:bidi w:val="0"/>
        <w:jc w:val="center"/>
        <w:rPr>
          <w:rFonts w:ascii="Times New Roman" w:hAnsi="Times New Roman"/>
          <w:color w:val="000000"/>
          <w:sz w:val="24"/>
        </w:rPr>
      </w:pPr>
      <w:r>
        <w:rPr>
          <w:rFonts w:ascii="Times New Roman" w:hAnsi="Times New Roman"/>
          <w:color w:val="000000"/>
          <w:sz w:val="24"/>
        </w:rPr>
        <w:t>$40,000,000 5.95% Senior Notes, due October 21, 2031</w:t>
      </w:r>
    </w:p>
    <w:p>
      <w:pPr>
        <w:pStyle w:val="TextBody"/>
        <w:bidi w:val="0"/>
        <w:jc w:val="center"/>
        <w:rPr>
          <w:rFonts w:ascii="Times New Roman" w:hAnsi="Times New Roman"/>
          <w:smallCaps/>
          <w:color w:val="000000"/>
          <w:sz w:val="24"/>
        </w:rPr>
      </w:pPr>
      <w:r>
        <w:rPr>
          <w:rFonts w:ascii="Times New Roman" w:hAnsi="Times New Roman"/>
          <w:smallCaps/>
          <w:color w:val="000000"/>
          <w:sz w:val="24"/>
        </w:rPr>
        <w:t>PPN 56047@AA3</w:t>
      </w:r>
    </w:p>
    <w:p>
      <w:pPr>
        <w:pStyle w:val="TextBody"/>
        <w:bidi w:val="0"/>
        <w:jc w:val="center"/>
        <w:rPr/>
      </w:pPr>
      <w:r>
        <w:rPr/>
        <w:t> </w:t>
      </w:r>
    </w:p>
    <w:tbl>
      <w:tblPr>
        <w:tblW w:w="9828" w:type="dxa"/>
        <w:jc w:val="left"/>
        <w:tblInd w:w="0" w:type="dxa"/>
        <w:tblLayout w:type="fixed"/>
        <w:tblCellMar>
          <w:top w:w="28" w:type="dxa"/>
          <w:left w:w="28" w:type="dxa"/>
          <w:bottom w:w="28" w:type="dxa"/>
          <w:right w:w="28" w:type="dxa"/>
        </w:tblCellMar>
      </w:tblPr>
      <w:tblGrid>
        <w:gridCol w:w="6736"/>
        <w:gridCol w:w="1331"/>
        <w:gridCol w:w="1761"/>
      </w:tblGrid>
      <w:tr>
        <w:trPr/>
        <w:tc>
          <w:tcPr>
            <w:tcW w:w="6736"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761" w:type="dxa"/>
            <w:tcBorders/>
            <w:shd w:fill="FFFFFF" w:val="clear"/>
            <w:vAlign w:val="center"/>
          </w:tcPr>
          <w:p>
            <w:pPr>
              <w:pStyle w:val="TableContents"/>
              <w:bidi w:val="0"/>
              <w:spacing w:before="0" w:after="283"/>
              <w:jc w:val="left"/>
              <w:rPr>
                <w:sz w:val="4"/>
                <w:szCs w:val="4"/>
              </w:rPr>
            </w:pPr>
            <w:r>
              <w:rPr>
                <w:sz w:val="4"/>
                <w:szCs w:val="4"/>
              </w:rPr>
            </w:r>
          </w:p>
        </w:tc>
      </w:tr>
      <w:tr>
        <w:trPr/>
        <w:tc>
          <w:tcPr>
            <w:tcW w:w="6736" w:type="dxa"/>
            <w:tcBorders>
              <w:top w:val="single" w:sz="4" w:space="0" w:color="000000"/>
              <w:left w:val="single" w:sz="4" w:space="0" w:color="000000"/>
              <w:bottom w:val="single" w:sz="18" w:space="0" w:color="000000"/>
              <w:right w:val="single" w:sz="4" w:space="0" w:color="000000"/>
            </w:tcBorders>
            <w:tcMar>
              <w:left w:w="86" w:type="dxa"/>
              <w:right w:w="86" w:type="dxa"/>
            </w:tcMar>
            <w:vAlign w:val="center"/>
          </w:tcPr>
          <w:p>
            <w:pPr>
              <w:pStyle w:val="TableContents"/>
              <w:bidi w:val="0"/>
              <w:spacing w:before="160" w:after="160"/>
              <w:jc w:val="center"/>
              <w:rPr>
                <w:rFonts w:ascii="Times New Roman" w:hAnsi="Times New Roman"/>
                <w:smallCaps/>
                <w:color w:val="000000"/>
                <w:sz w:val="24"/>
              </w:rPr>
            </w:pPr>
            <w:r>
              <w:rPr>
                <w:rFonts w:ascii="Times New Roman" w:hAnsi="Times New Roman"/>
                <w:smallCaps/>
                <w:color w:val="000000"/>
                <w:sz w:val="24"/>
              </w:rPr>
              <w:br/>
              <w:t>Name of Registered Payee</w:t>
            </w:r>
          </w:p>
        </w:tc>
        <w:tc>
          <w:tcPr>
            <w:tcW w:w="1331" w:type="dxa"/>
            <w:tcBorders>
              <w:top w:val="single" w:sz="4" w:space="0" w:color="000000"/>
              <w:bottom w:val="single" w:sz="18" w:space="0" w:color="000000"/>
              <w:right w:val="single" w:sz="4" w:space="0" w:color="000000"/>
            </w:tcBorders>
            <w:tcMar>
              <w:left w:w="0" w:type="dxa"/>
              <w:right w:w="86" w:type="dxa"/>
            </w:tcMar>
            <w:vAlign w:val="center"/>
          </w:tcPr>
          <w:p>
            <w:pPr>
              <w:pStyle w:val="TableContents"/>
              <w:bidi w:val="0"/>
              <w:spacing w:before="160" w:after="160"/>
              <w:ind w:left="0" w:right="10" w:hanging="0"/>
              <w:jc w:val="center"/>
              <w:rPr>
                <w:rFonts w:ascii="Times New Roman" w:hAnsi="Times New Roman"/>
                <w:smallCaps/>
                <w:color w:val="000000"/>
                <w:sz w:val="24"/>
              </w:rPr>
            </w:pPr>
            <w:r>
              <w:rPr>
                <w:rFonts w:ascii="Times New Roman" w:hAnsi="Times New Roman"/>
                <w:smallCaps/>
                <w:color w:val="000000"/>
                <w:sz w:val="24"/>
              </w:rPr>
              <w:t>Identifying</w:t>
              <w:br/>
              <w:t>Number</w:t>
            </w:r>
          </w:p>
        </w:tc>
        <w:tc>
          <w:tcPr>
            <w:tcW w:w="1761" w:type="dxa"/>
            <w:tcBorders>
              <w:top w:val="single" w:sz="4" w:space="0" w:color="000000"/>
              <w:bottom w:val="single" w:sz="18" w:space="0" w:color="000000"/>
              <w:right w:val="single" w:sz="4" w:space="0" w:color="000000"/>
            </w:tcBorders>
            <w:tcMar>
              <w:left w:w="0" w:type="dxa"/>
              <w:right w:w="86" w:type="dxa"/>
            </w:tcMar>
            <w:vAlign w:val="center"/>
          </w:tcPr>
          <w:p>
            <w:pPr>
              <w:pStyle w:val="TableContents"/>
              <w:bidi w:val="0"/>
              <w:spacing w:before="160" w:after="160"/>
              <w:ind w:left="0" w:right="0" w:firstLine="180"/>
              <w:jc w:val="center"/>
              <w:rPr>
                <w:rFonts w:ascii="Times New Roman" w:hAnsi="Times New Roman"/>
                <w:smallCaps/>
                <w:color w:val="000000"/>
                <w:sz w:val="24"/>
              </w:rPr>
            </w:pPr>
            <w:r>
              <w:rPr>
                <w:rFonts w:ascii="Times New Roman" w:hAnsi="Times New Roman"/>
                <w:smallCaps/>
                <w:color w:val="000000"/>
                <w:sz w:val="24"/>
              </w:rPr>
              <w:t xml:space="preserve">Principal </w:t>
              <w:br/>
              <w:t>Amount</w:t>
            </w:r>
          </w:p>
        </w:tc>
      </w:tr>
      <w:tr>
        <w:trPr/>
        <w:tc>
          <w:tcPr>
            <w:tcW w:w="6736" w:type="dxa"/>
            <w:tcBorders>
              <w:left w:val="single" w:sz="4" w:space="0" w:color="000000"/>
              <w:bottom w:val="single" w:sz="8" w:space="0" w:color="000000"/>
              <w:right w:val="single" w:sz="4" w:space="0" w:color="000000"/>
            </w:tcBorders>
            <w:tcMar>
              <w:top w:w="0" w:type="dxa"/>
              <w:left w:w="86" w:type="dxa"/>
              <w:right w:w="86" w:type="dxa"/>
            </w:tcMar>
            <w:vAlign w:val="center"/>
          </w:tcPr>
          <w:p>
            <w:pPr>
              <w:pStyle w:val="TableContents"/>
              <w:pBdr/>
              <w:bidi w:val="0"/>
              <w:spacing w:before="40" w:after="40"/>
              <w:ind w:left="0" w:right="0" w:hanging="180"/>
              <w:jc w:val="left"/>
              <w:rPr>
                <w:rFonts w:ascii="Times New Roman" w:hAnsi="Times New Roman"/>
                <w:smallCaps/>
                <w:color w:val="000000"/>
                <w:sz w:val="24"/>
              </w:rPr>
            </w:pPr>
            <w:r>
              <w:rPr>
                <w:rFonts w:ascii="Times New Roman" w:hAnsi="Times New Roman"/>
                <w:smallCaps/>
                <w:color w:val="000000"/>
                <w:sz w:val="24"/>
              </w:rPr>
              <w:t>Lincoln National Reinsurance Company (Barbados) Limited</w:t>
            </w:r>
          </w:p>
        </w:tc>
        <w:tc>
          <w:tcPr>
            <w:tcW w:w="1331" w:type="dxa"/>
            <w:tcBorders>
              <w:bottom w:val="single" w:sz="8" w:space="0" w:color="000000"/>
              <w:right w:val="single" w:sz="4" w:space="0" w:color="000000"/>
            </w:tcBorders>
            <w:tcMar>
              <w:top w:w="0" w:type="dxa"/>
              <w:left w:w="0" w:type="dxa"/>
              <w:right w:w="86" w:type="dxa"/>
            </w:tcMar>
            <w:vAlign w:val="center"/>
          </w:tcPr>
          <w:p>
            <w:pPr>
              <w:pStyle w:val="TableContents"/>
              <w:bidi w:val="0"/>
              <w:spacing w:before="40" w:after="40"/>
              <w:ind w:left="0" w:right="0" w:firstLine="164"/>
              <w:jc w:val="center"/>
              <w:rPr>
                <w:rFonts w:ascii="Times New Roman" w:hAnsi="Times New Roman"/>
                <w:smallCaps/>
                <w:color w:val="000000"/>
                <w:sz w:val="24"/>
              </w:rPr>
            </w:pPr>
            <w:r>
              <w:rPr>
                <w:rFonts w:ascii="Times New Roman" w:hAnsi="Times New Roman"/>
                <w:smallCaps/>
                <w:color w:val="000000"/>
                <w:sz w:val="24"/>
              </w:rPr>
              <w:t>R-1</w:t>
            </w:r>
          </w:p>
        </w:tc>
        <w:tc>
          <w:tcPr>
            <w:tcW w:w="1761" w:type="dxa"/>
            <w:tcBorders>
              <w:bottom w:val="single" w:sz="8" w:space="0" w:color="000000"/>
              <w:right w:val="single" w:sz="4" w:space="0" w:color="000000"/>
            </w:tcBorders>
            <w:tcMar>
              <w:top w:w="0" w:type="dxa"/>
              <w:left w:w="0" w:type="dxa"/>
              <w:right w:w="86" w:type="dxa"/>
            </w:tcMar>
            <w:vAlign w:val="center"/>
          </w:tcPr>
          <w:p>
            <w:pPr>
              <w:pStyle w:val="TableContents"/>
              <w:bidi w:val="0"/>
              <w:spacing w:before="40" w:after="40"/>
              <w:ind w:left="0" w:right="0" w:firstLine="180"/>
              <w:jc w:val="left"/>
              <w:rPr>
                <w:rFonts w:ascii="Times New Roman" w:hAnsi="Times New Roman"/>
                <w:smallCaps/>
                <w:color w:val="000000"/>
                <w:sz w:val="24"/>
              </w:rPr>
            </w:pPr>
            <w:r>
              <w:rPr>
                <w:rFonts w:ascii="Times New Roman" w:hAnsi="Times New Roman"/>
                <w:smallCaps/>
                <w:color w:val="000000"/>
                <w:sz w:val="24"/>
              </w:rPr>
              <w:t>$10,000,000</w:t>
            </w:r>
          </w:p>
        </w:tc>
      </w:tr>
      <w:tr>
        <w:trPr/>
        <w:tc>
          <w:tcPr>
            <w:tcW w:w="6736" w:type="dxa"/>
            <w:tcBorders>
              <w:left w:val="single" w:sz="8" w:space="0" w:color="000000"/>
              <w:bottom w:val="single" w:sz="8" w:space="0" w:color="000000"/>
              <w:right w:val="single" w:sz="8" w:space="0" w:color="000000"/>
            </w:tcBorders>
            <w:tcMar>
              <w:top w:w="0" w:type="dxa"/>
              <w:left w:w="86" w:type="dxa"/>
              <w:right w:w="86" w:type="dxa"/>
            </w:tcMar>
            <w:vAlign w:val="center"/>
          </w:tcPr>
          <w:p>
            <w:pPr>
              <w:pStyle w:val="TableContents"/>
              <w:pBdr/>
              <w:bidi w:val="0"/>
              <w:spacing w:before="40" w:after="40"/>
              <w:ind w:left="0" w:right="0" w:hanging="180"/>
              <w:jc w:val="left"/>
              <w:rPr>
                <w:rFonts w:ascii="Times New Roman" w:hAnsi="Times New Roman"/>
                <w:smallCaps/>
                <w:color w:val="000000"/>
                <w:sz w:val="24"/>
              </w:rPr>
            </w:pPr>
            <w:r>
              <w:rPr>
                <w:rFonts w:ascii="Times New Roman" w:hAnsi="Times New Roman"/>
                <w:smallCaps/>
                <w:color w:val="000000"/>
                <w:sz w:val="24"/>
              </w:rPr>
              <w:t>The Lincoln National Life Insurance Company</w:t>
            </w:r>
          </w:p>
        </w:tc>
        <w:tc>
          <w:tcPr>
            <w:tcW w:w="1331" w:type="dxa"/>
            <w:tcBorders>
              <w:bottom w:val="single" w:sz="8" w:space="0" w:color="000000"/>
              <w:right w:val="single" w:sz="8" w:space="0" w:color="000000"/>
            </w:tcBorders>
            <w:tcMar>
              <w:top w:w="0" w:type="dxa"/>
              <w:left w:w="0" w:type="dxa"/>
              <w:right w:w="86" w:type="dxa"/>
            </w:tcMar>
            <w:vAlign w:val="center"/>
          </w:tcPr>
          <w:p>
            <w:pPr>
              <w:pStyle w:val="TableContents"/>
              <w:bidi w:val="0"/>
              <w:spacing w:before="40" w:after="40"/>
              <w:ind w:left="0" w:right="0" w:firstLine="164"/>
              <w:jc w:val="center"/>
              <w:rPr>
                <w:rFonts w:ascii="Times New Roman" w:hAnsi="Times New Roman"/>
                <w:smallCaps/>
                <w:color w:val="000000"/>
                <w:sz w:val="24"/>
              </w:rPr>
            </w:pPr>
            <w:r>
              <w:rPr>
                <w:rFonts w:ascii="Times New Roman" w:hAnsi="Times New Roman"/>
                <w:smallCaps/>
                <w:color w:val="000000"/>
                <w:sz w:val="24"/>
              </w:rPr>
              <w:t>R-2</w:t>
            </w:r>
          </w:p>
        </w:tc>
        <w:tc>
          <w:tcPr>
            <w:tcW w:w="1761" w:type="dxa"/>
            <w:tcBorders>
              <w:bottom w:val="single" w:sz="8" w:space="0" w:color="000000"/>
              <w:right w:val="single" w:sz="8" w:space="0" w:color="000000"/>
            </w:tcBorders>
            <w:tcMar>
              <w:top w:w="0" w:type="dxa"/>
              <w:left w:w="0" w:type="dxa"/>
              <w:right w:w="86" w:type="dxa"/>
            </w:tcMar>
            <w:vAlign w:val="center"/>
          </w:tcPr>
          <w:p>
            <w:pPr>
              <w:pStyle w:val="TableContents"/>
              <w:bidi w:val="0"/>
              <w:spacing w:before="40" w:after="40"/>
              <w:ind w:left="0" w:right="0" w:firstLine="180"/>
              <w:jc w:val="left"/>
              <w:rPr>
                <w:rFonts w:ascii="Times New Roman" w:hAnsi="Times New Roman"/>
                <w:smallCaps/>
                <w:color w:val="000000"/>
                <w:sz w:val="24"/>
              </w:rPr>
            </w:pPr>
            <w:r>
              <w:rPr>
                <w:rFonts w:ascii="Times New Roman" w:hAnsi="Times New Roman"/>
                <w:smallCaps/>
                <w:color w:val="000000"/>
                <w:sz w:val="24"/>
              </w:rPr>
              <w:t>$5,000,000</w:t>
            </w:r>
          </w:p>
        </w:tc>
      </w:tr>
      <w:tr>
        <w:trPr/>
        <w:tc>
          <w:tcPr>
            <w:tcW w:w="6736" w:type="dxa"/>
            <w:tcBorders>
              <w:left w:val="single" w:sz="8" w:space="0" w:color="000000"/>
              <w:bottom w:val="single" w:sz="8" w:space="0" w:color="000000"/>
              <w:right w:val="single" w:sz="8" w:space="0" w:color="000000"/>
            </w:tcBorders>
            <w:tcMar>
              <w:top w:w="0" w:type="dxa"/>
              <w:left w:w="86" w:type="dxa"/>
              <w:right w:w="86" w:type="dxa"/>
            </w:tcMar>
            <w:vAlign w:val="center"/>
          </w:tcPr>
          <w:p>
            <w:pPr>
              <w:pStyle w:val="TableContents"/>
              <w:pBdr/>
              <w:bidi w:val="0"/>
              <w:spacing w:before="40" w:after="40"/>
              <w:ind w:left="0" w:right="0" w:hanging="180"/>
              <w:jc w:val="left"/>
              <w:rPr>
                <w:rFonts w:ascii="Times New Roman" w:hAnsi="Times New Roman"/>
                <w:smallCaps/>
                <w:color w:val="000000"/>
                <w:sz w:val="24"/>
              </w:rPr>
            </w:pPr>
            <w:r>
              <w:rPr>
                <w:rFonts w:ascii="Times New Roman" w:hAnsi="Times New Roman"/>
                <w:smallCaps/>
                <w:color w:val="000000"/>
                <w:sz w:val="24"/>
              </w:rPr>
              <w:t>The Lincoln National Life Insurance Company</w:t>
            </w:r>
          </w:p>
        </w:tc>
        <w:tc>
          <w:tcPr>
            <w:tcW w:w="1331" w:type="dxa"/>
            <w:tcBorders>
              <w:bottom w:val="single" w:sz="8" w:space="0" w:color="000000"/>
              <w:right w:val="single" w:sz="8" w:space="0" w:color="000000"/>
            </w:tcBorders>
            <w:tcMar>
              <w:top w:w="0" w:type="dxa"/>
              <w:left w:w="0" w:type="dxa"/>
              <w:right w:w="86" w:type="dxa"/>
            </w:tcMar>
            <w:vAlign w:val="center"/>
          </w:tcPr>
          <w:p>
            <w:pPr>
              <w:pStyle w:val="TableContents"/>
              <w:bidi w:val="0"/>
              <w:spacing w:before="40" w:after="40"/>
              <w:ind w:left="0" w:right="0" w:firstLine="164"/>
              <w:jc w:val="center"/>
              <w:rPr>
                <w:rFonts w:ascii="Times New Roman" w:hAnsi="Times New Roman"/>
                <w:smallCaps/>
                <w:color w:val="000000"/>
                <w:sz w:val="24"/>
              </w:rPr>
            </w:pPr>
            <w:r>
              <w:rPr>
                <w:rFonts w:ascii="Times New Roman" w:hAnsi="Times New Roman"/>
                <w:smallCaps/>
                <w:color w:val="000000"/>
                <w:sz w:val="24"/>
              </w:rPr>
              <w:t>R-3</w:t>
            </w:r>
          </w:p>
        </w:tc>
        <w:tc>
          <w:tcPr>
            <w:tcW w:w="1761" w:type="dxa"/>
            <w:tcBorders>
              <w:bottom w:val="single" w:sz="8" w:space="0" w:color="000000"/>
              <w:right w:val="single" w:sz="8" w:space="0" w:color="000000"/>
            </w:tcBorders>
            <w:tcMar>
              <w:top w:w="0" w:type="dxa"/>
              <w:left w:w="0" w:type="dxa"/>
              <w:right w:w="86" w:type="dxa"/>
            </w:tcMar>
            <w:vAlign w:val="center"/>
          </w:tcPr>
          <w:p>
            <w:pPr>
              <w:pStyle w:val="TableContents"/>
              <w:bidi w:val="0"/>
              <w:spacing w:before="40" w:after="40"/>
              <w:ind w:left="0" w:right="0" w:firstLine="180"/>
              <w:jc w:val="left"/>
              <w:rPr>
                <w:rFonts w:ascii="Times New Roman" w:hAnsi="Times New Roman"/>
                <w:smallCaps/>
                <w:color w:val="000000"/>
                <w:sz w:val="24"/>
              </w:rPr>
            </w:pPr>
            <w:r>
              <w:rPr>
                <w:rFonts w:ascii="Times New Roman" w:hAnsi="Times New Roman"/>
                <w:smallCaps/>
                <w:color w:val="000000"/>
                <w:sz w:val="24"/>
              </w:rPr>
              <w:t>$7,000,000</w:t>
            </w:r>
          </w:p>
        </w:tc>
      </w:tr>
      <w:tr>
        <w:trPr/>
        <w:tc>
          <w:tcPr>
            <w:tcW w:w="6736" w:type="dxa"/>
            <w:tcBorders>
              <w:left w:val="single" w:sz="8" w:space="0" w:color="000000"/>
              <w:bottom w:val="single" w:sz="8" w:space="0" w:color="000000"/>
              <w:right w:val="single" w:sz="8" w:space="0" w:color="000000"/>
            </w:tcBorders>
            <w:tcMar>
              <w:top w:w="0" w:type="dxa"/>
              <w:left w:w="86" w:type="dxa"/>
              <w:right w:w="86" w:type="dxa"/>
            </w:tcMar>
            <w:vAlign w:val="center"/>
          </w:tcPr>
          <w:p>
            <w:pPr>
              <w:pStyle w:val="TableContents"/>
              <w:pBdr/>
              <w:bidi w:val="0"/>
              <w:spacing w:before="40" w:after="40"/>
              <w:ind w:left="0" w:right="0" w:hanging="180"/>
              <w:jc w:val="left"/>
              <w:rPr>
                <w:rFonts w:ascii="Times New Roman" w:hAnsi="Times New Roman"/>
                <w:smallCaps/>
                <w:color w:val="000000"/>
                <w:sz w:val="24"/>
              </w:rPr>
            </w:pPr>
            <w:r>
              <w:rPr>
                <w:rFonts w:ascii="Times New Roman" w:hAnsi="Times New Roman"/>
                <w:smallCaps/>
                <w:color w:val="000000"/>
                <w:sz w:val="24"/>
              </w:rPr>
              <w:t>CoBank, ACB</w:t>
            </w:r>
          </w:p>
        </w:tc>
        <w:tc>
          <w:tcPr>
            <w:tcW w:w="1331" w:type="dxa"/>
            <w:tcBorders>
              <w:bottom w:val="single" w:sz="8" w:space="0" w:color="000000"/>
              <w:right w:val="single" w:sz="8" w:space="0" w:color="000000"/>
            </w:tcBorders>
            <w:tcMar>
              <w:top w:w="0" w:type="dxa"/>
              <w:left w:w="0" w:type="dxa"/>
              <w:right w:w="86" w:type="dxa"/>
            </w:tcMar>
            <w:vAlign w:val="center"/>
          </w:tcPr>
          <w:p>
            <w:pPr>
              <w:pStyle w:val="TableContents"/>
              <w:bidi w:val="0"/>
              <w:spacing w:before="40" w:after="40"/>
              <w:ind w:left="0" w:right="0" w:firstLine="164"/>
              <w:jc w:val="center"/>
              <w:rPr>
                <w:rFonts w:ascii="Times New Roman" w:hAnsi="Times New Roman"/>
                <w:smallCaps/>
                <w:color w:val="000000"/>
                <w:sz w:val="24"/>
              </w:rPr>
            </w:pPr>
            <w:r>
              <w:rPr>
                <w:rFonts w:ascii="Times New Roman" w:hAnsi="Times New Roman"/>
                <w:smallCaps/>
                <w:color w:val="000000"/>
                <w:sz w:val="24"/>
              </w:rPr>
              <w:t>R-4</w:t>
            </w:r>
          </w:p>
        </w:tc>
        <w:tc>
          <w:tcPr>
            <w:tcW w:w="1761" w:type="dxa"/>
            <w:tcBorders>
              <w:bottom w:val="single" w:sz="8" w:space="0" w:color="000000"/>
              <w:right w:val="single" w:sz="8" w:space="0" w:color="000000"/>
            </w:tcBorders>
            <w:tcMar>
              <w:top w:w="0" w:type="dxa"/>
              <w:left w:w="0" w:type="dxa"/>
              <w:right w:w="86" w:type="dxa"/>
            </w:tcMar>
            <w:vAlign w:val="center"/>
          </w:tcPr>
          <w:p>
            <w:pPr>
              <w:pStyle w:val="TableContents"/>
              <w:bidi w:val="0"/>
              <w:spacing w:before="40" w:after="40"/>
              <w:ind w:left="164" w:right="246" w:firstLine="164"/>
              <w:jc w:val="left"/>
              <w:rPr>
                <w:rFonts w:ascii="Times New Roman" w:hAnsi="Times New Roman"/>
                <w:smallCaps/>
                <w:color w:val="000000"/>
                <w:sz w:val="24"/>
              </w:rPr>
            </w:pPr>
            <w:r>
              <w:rPr>
                <w:rFonts w:ascii="Times New Roman" w:hAnsi="Times New Roman"/>
                <w:smallCaps/>
                <w:color w:val="000000"/>
                <w:sz w:val="24"/>
              </w:rPr>
              <w:t>$18,000,000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55001/000075500126000026/utl-ex4_1.htm" TargetMode="External"/><Relationship Id="rId3" Type="http://schemas.openxmlformats.org/officeDocument/2006/relationships/hyperlink" Target="https://www.sec.gov/Archives/edgar/data/755001/000075500126000026/utl-ex4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32465</Words>
  <Characters>168080</Characters>
  <CharactersWithSpaces>199738</CharactersWithSpaces>
  <Paragraphs>1373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